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/>
        <w:jc w:val="center"/>
      </w:pPr>
      <w:r>
        <w:rPr>
          <w:rFonts w:ascii="Times New Roman" w:hAnsi="Times New Roman"/>
          <w:b/>
          <w:sz w:val="28"/>
        </w:rPr>
        <w:t>CHAPTER III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METHODOLOGY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3.0  Introduction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This chapter details data, graph construction, HostScaler, GraphSAGE autoencoder, calibration, multi-window fusion, HELD-OUT protocol, metrics, reproducibility and tools. Every choice is traceable to a gotcha or report card (RC). Time-based windows, directed edges, SAGE over GCN, log1p before scaling, and edge-level alerts are defended decisions.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3.1  Datasets and Preprocessing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Primary: CICIDS2017 GeneratedLabelledFlows (Mon benign → Fri attacks, 85 cols, latin-1, Thursday 63% junk NaN IPs handled by drop_unusable_rows). Two releases only latter builds graphs (GOTCHA #3). Naming drift handled by schema_mapper. Never dropna(axis=1) per-file (GOTCHA #5) — pin via pin_canonical. Health gate rejects collapsed/degenerate synthetic data (GOTCHA #6). External: IDS2018 only Thuesday-20-02-2018 graphable (GOTCHA #13), CTU-13 and planned UNSW-NB15.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0"/>
        </w:rPr>
        <w:t>Table 3.1 : Dataset releases and graph capability.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008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Cols</w:t>
            </w:r>
          </w:p>
        </w:tc>
        <w:tc>
          <w:tcPr>
            <w:tcW w:type="dxa" w:w="1296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Has IPs?</w:t>
            </w:r>
          </w:p>
        </w:tc>
        <w:tc>
          <w:tcPr>
            <w:tcW w:type="dxa" w:w="3888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168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MachineLearningCSV</w:t>
            </w:r>
          </w:p>
        </w:tc>
        <w:tc>
          <w:tcPr>
            <w:tcW w:type="dxa" w:w="1008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79</w:t>
            </w:r>
          </w:p>
        </w:tc>
        <w:tc>
          <w:tcPr>
            <w:tcW w:type="dxa" w:w="1296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3888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Per-flow M5a only</w:t>
            </w:r>
          </w:p>
        </w:tc>
      </w:tr>
      <w:tr>
        <w:tc>
          <w:tcPr>
            <w:tcW w:type="dxa" w:w="3168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GeneratedLabelledFlows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85 (latin-1)</w:t>
            </w:r>
          </w:p>
        </w:tc>
        <w:tc>
          <w:tcPr>
            <w:tcW w:type="dxa" w:w="1296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3888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Host graphs (production gate)</w:t>
            </w:r>
          </w:p>
        </w:tc>
      </w:tr>
      <w:tr>
        <w:tc>
          <w:tcPr>
            <w:tcW w:type="dxa" w:w="3168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IDS2018 (10 CSVs)</w:t>
            </w:r>
          </w:p>
        </w:tc>
        <w:tc>
          <w:tcPr>
            <w:tcW w:type="dxa" w:w="1008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varies</w:t>
            </w:r>
          </w:p>
        </w:tc>
        <w:tc>
          <w:tcPr>
            <w:tcW w:type="dxa" w:w="1296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1/10 only</w:t>
            </w:r>
          </w:p>
        </w:tc>
        <w:tc>
          <w:tcPr>
            <w:tcW w:type="dxa" w:w="3888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Thuesday only graphable, bytes_sent zero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sz w:val="24"/>
        </w:rPr>
        <w:t>3.2  Host-Graph Construction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Time windows: 60s and 300s time-based (not fixed-count). 60s→1800s AUC 0.917→0.983 but P@100 0.244→0.093 (RC-02) — 60s maximises P@100; we fuse both. Nodes=hosts, Edges=directed (scan vs DDoS distinct), no self-loops, SAGEConv chosen because GCN symmetric norm washes out degree.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Node features: v1 8 dims (degree, bytes, counts), v2 19 dims (+entropy, port diversity, flags). Indices 0–7 stable; never unpack positionally (GOTCHA #23). Edge_attr (4-dim) scored via rank_mean lifts edge AUC 0.712→0.789 — only change improving both (GOTCHA #19).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HostScaler(log=True) log1p before min-max is default since 2026-08-12: x_log=log(1+x), x_scaled=(x_log-min)/range fit on benign only. Fixes power-law squash: P@100 0.250→0.413, Patator 0.000→0.618 (GOTCHA #14).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3.3  Models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M5a revived: MLP 87→64→32→16→32→64→87, MSE, benign only — not in production defaults (pending). M5b GraphSAGE: 2×SAGEConv N×8/19→N×32→N×8 latent (=in_dim, no bottleneck — capacity via features not width, latent 2→12 moves mean 0.003, hidden 32→64 0.0002). Decoder reconstructs x and edge_attr; loss MSE(node)+MSE(edge); score = ||x-x̂||² + λ·||a-â||².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Determinism: set_seed() sets torch.manual_seed, cuda.manual_seed_all, cudnn.deterministic=True, benchmark=False, CUBLAS_WORKSPACE_CONFIG=:4096:8. Same seed CPU 0.5048 vs GPU 0.9948 on WebAttacks (GOTCHA #24). Always --seed; single-seed differences &lt;6 pts are noise (GOTCHA #11).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3.4  Fusion and Scoring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Calibration: per-window percentile against 20% Monday holdout (80/20). Ensemble checkpoint emits percentiles, not raw errors (GOTCHA #18). Uncalibrated fuse until 2026-08-12 was M5b alone 99.9% (GOTCHA #21). Fusion rules (6 configs, 4 seeds): mean, max (saturated M5a overwrites), rank_mean, fused_rank_max (+0.0398 AUC but batch-only), noisyor (production 0.9996±0.0001). Production default is rank noisy-or over 60s+300s, edge rank_mean. score_window(feature_columns=None)=M5b-only 0.8322 edge AUC best consistent (GOTCHA #22).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0"/>
        </w:rPr>
        <w:t>Table 3.2 : Fusion rules evaluated (eval_mw_ablation_4seed.py).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2592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4464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Property</w:t>
            </w:r>
          </w:p>
        </w:tc>
      </w:tr>
      <w:tr>
        <w:tc>
          <w:tcPr>
            <w:tcW w:type="dxa" w:w="2304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259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(p60+p300)/2</w:t>
            </w:r>
          </w:p>
        </w:tc>
        <w:tc>
          <w:tcPr>
            <w:tcW w:type="dxa" w:w="4464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Baseline</w:t>
            </w:r>
          </w:p>
        </w:tc>
      </w:tr>
      <w:tr>
        <w:tc>
          <w:tcPr>
            <w:tcW w:type="dxa" w:w="2304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max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max(p60,p300,pM5a)</w:t>
            </w:r>
          </w:p>
        </w:tc>
        <w:tc>
          <w:tcPr>
            <w:tcW w:type="dxa" w:w="4464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Lets saturated M5a overwrite</w:t>
            </w:r>
          </w:p>
        </w:tc>
      </w:tr>
      <w:tr>
        <w:tc>
          <w:tcPr>
            <w:tcW w:type="dxa" w:w="2304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rank_mean</w:t>
            </w:r>
          </w:p>
        </w:tc>
        <w:tc>
          <w:tcPr>
            <w:tcW w:type="dxa" w:w="259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rank(pop)→mean</w:t>
            </w:r>
          </w:p>
        </w:tc>
        <w:tc>
          <w:tcPr>
            <w:tcW w:type="dxa" w:w="4464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Window-local, lifts 0.712→0.789</w:t>
            </w:r>
          </w:p>
        </w:tc>
      </w:tr>
      <w:tr>
        <w:tc>
          <w:tcPr>
            <w:tcW w:type="dxa" w:w="2304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fused_rank_max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rank positions</w:t>
            </w:r>
          </w:p>
        </w:tc>
        <w:tc>
          <w:tcPr>
            <w:tcW w:type="dxa" w:w="4464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+0.0398 AUC but batch-only</w:t>
            </w:r>
          </w:p>
        </w:tc>
      </w:tr>
      <w:tr>
        <w:tc>
          <w:tcPr>
            <w:tcW w:type="dxa" w:w="2304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noisyor (prod)</w:t>
            </w:r>
          </w:p>
        </w:tc>
        <w:tc>
          <w:tcPr>
            <w:tcW w:type="dxa" w:w="259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1-Π(1-p)</w:t>
            </w:r>
          </w:p>
        </w:tc>
        <w:tc>
          <w:tcPr>
            <w:tcW w:type="dxa" w:w="4464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0.9996±0.0001 best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sz w:val="24"/>
        </w:rPr>
        <w:t>3.5  Drift, Explainability, Harness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M6 DetectorDriftMonitors on 3 streams via init_drift_monitors (queue noise is drift RC-28). M7 SHAP + ATT&amp;CK (never unpack positionally). Harness: 4 techniques — port-hiding no effect, slow scan 20× time, distributed 16-way succeeds but costs 16 machines, camouflage fails (RC-14). Privacy k-anonymity out of scope sem 7.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3.6  Evaluation Protocol (HELD-OUT) and Metrics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HELD-OUT: train Monday benign only (80/20 cal), test each of 7 families held-out one-by-one, mean±std over seeds 0–3 (reference eval_mw_ablation_4seed.py --seeds 0 1 2 3 --epochs 60). Metrics: ROC-AUC (primary), attacker rank &amp; recall@100 (operational, attackers in top ~35, recall 1.0), P@100 diagnostic only capped at bad/100 (RC-27, 60s→1800s 0.244→0.093). Node AUC for modelling, edge AUC for operational (gap 22pts). Closed negatives: LODO, k=5, temporal, small-window, latent width — do not revisit.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3.7  Tools and Environment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Python 3.11, PyTorch 2.5.1+cu121, PyG; venv per-machine never portable (GOTCHA #1); paths via Path(__file__).resolve().parent (GOTCHA #2); data/ gitignored (CIC gates), *.pt tracked. One-command: python detection/eval_mw_ablation_4seed.py --seeds 0 1 2 3 --epochs 60 (GPU deterministic).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