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Times New Roman" w:hAnsi="Times New Roman"/>
          <w:b/>
          <w:sz w:val="28"/>
        </w:rPr>
        <w:t xml:space="preserve">CHAPTER 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REFERENCES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i/>
          <w:sz w:val="20"/>
        </w:rPr>
        <w:t>Formatted IEEE-style per guide; code/supplementary in Appendices, not References. Use before Appendices.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[1] Debar, H. et al. Towards a taxonomy of IDS. Comput. Networks, 1999.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[2] Axelsson, S. IDS: A survey and taxonomy. Chalmers, 2000.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[3] Chandola, V. et al. Anomaly detection: A survey. ACM CSUR, 2009.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[4] Garcia-Teodoro, P. et al. Anomaly-based NIDS. IEEE Commun. Surv. Tuts., 2009.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[5] Bhuyan, M. et al. Network anomaly detection. IEEE Commun. Surv. Tuts., 2014.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[6] Sommer, R. &amp; Paxson, V. Outside the closed world. IEEE S&amp;P, 2010.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[7] Patcha, A. &amp; Park, J. An overview of anomaly detection. Comput. Networks, 2007.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[8] Hodge, V. &amp; Austin, J. A survey of outlier detection. Artif. Intell. Rev., 2004.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[9] Lashkari, A.H. et al. CICFlowMeter. CIC, 2017.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[10] Moore, A. et al. Discriminators for flow classification. 2005.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[11] Williams, N. et al. Comparison of five ML algorithms for flow classification. 2006.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[12] Sharafaldin, I. et al. CICIDS2017. CIC, 2018.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[13] Ring, M. et al. Survey of NIDS datasets. 2019.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[14] Heng, M. et al. Dataset realism. 2024.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[15] Durieux, V. &amp; Gevenois, P. Bibliometric indicators. 2010.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[16] Franceschini, F. h-index. 2010.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[17] Zitt, M. &amp; Bassecoulard, E. Challenges for indicators. 2008.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[18] Biglia &amp; Butler. Bibliometric analysis. 2005.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[19] Sakurada, M. &amp; Yairi, T. Anomaly detection using autoencoders. MLSDA, 2014.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[20] An, J. &amp; Cho, S. Variational autoencoder anomaly detection. 2015.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[21] Liu, F. et al. Isolation Forest. ICDM, 2008.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[22] Scholkopf, B. et al. Support vector novelty. NeurIPS, 1999.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[23] Merton, R. 1963. Publication collaboration.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[24] Manten. 1968. Earth Science authorship.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[25] Zuckerman. 1968. Nobel laureates.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[26] Meadows, A. 1974. Communication in science.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[27] Klaic. 1990. Chemists of Rugjer Boskovic.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[28] Vimala &amp; Pulla Reddy. 1996. Zoology theses.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[29] Gupta &amp; Karisiddappa. 1998. Population genetics.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[30] Mahapatra &amp; Bhagavan Doss. 2000. Geology.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[31] Seglen &amp; Aksnes. 2000. Norwegian microbiology.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[32] Moed, H. 2000. Biotechnology departments.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[33] Arunachalam &amp; Doss. 2000. Asian collaboration.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[34] Kannappanavar &amp; Vijayakumar. 2001. Authorship trend.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[35] Farahat, H. 2002. Egyptian journals.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[36] Suresh Kumar &amp; Garg. 2005. China vs India CS.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[37] Calero, C. et al. 2006. Bibliometric mapping.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[38] Park, T. 2008. Library science authorship.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[39] Tijssen &amp; Van Leeuwen. 2001. Scientometric evaluation.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[40] Thomaidis, N. et al. 2003. Balkan chemistry.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[41] Leydesdorff, L. 2004. Research evaluation.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[42] Surulinathi et al. 2007. Knowledge management India.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[43] Tseng, Y. et al. 2009. Trend analysis.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[44] Annibaldi et al. 2010. Italian analytical chemistry.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[45] Padma, P. 2010. Madurai Kamaraj thesis.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[46] Garfield, E. 1983. World research 1973.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[47] Mehrotra &amp; Lancaster. 1984. Indian science.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[48] Raghuram &amp; Madhavi. 1996. Decline in Indian science. Nature.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[49] Raina, D. et al. 1995. Indian research 1800-1950.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[50] Bandyopadhyay, A.K. 2001. Indian research 1950-1990.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[51] Arunachalam et al. 1998. 42,000 Indian papers.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[52] Arunachalam. 2000. Is science in India on decline.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[53] Arunachalam &amp; Gunasekaran. 2002. Tuberculosis.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[54] Kademani, B.S. et al. 2006. Thorium India.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[55] Kademani et al. 2007. Indian S&amp;T 1990-2004.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[56] UNEP E-waste Manual; NIST CSF; ENISA.</w:t>
      </w:r>
    </w:p>
    <w:p>
      <w:pPr>
        <w:pStyle w:val="ListBullet"/>
        <w:spacing w:after="40"/>
        <w:ind w:left="288"/>
      </w:pPr>
      <w:r>
        <w:rPr>
          <w:rFonts w:ascii="Times New Roman" w:hAnsi="Times New Roman"/>
          <w:sz w:val="18"/>
        </w:rPr>
        <w:t>[57] MTRE CVE, VERIZON DBIR, CIC IDS2018, UNSW-NB15, CTU-13.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