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A1F3D"/>
          <w:sz w:val="56"/>
          <w:szCs w:val="56"/>
        </w:rPr>
        <w:t xml:space="preserve">MAMAGUARD</w:t>
      </w:r>
    </w:p>
    <w:p>
      <w:pPr>
        <w:spacing w:after="40"/>
      </w:pPr>
      <w:r>
        <w:rPr>
          <w:color w:val="1A1A2E"/>
          <w:sz w:val="28"/>
          <w:szCs w:val="28"/>
        </w:rPr>
        <w:t xml:space="preserve">Closing the Postpartum Monitoring Gap for Nigerian Mothers</w:t>
      </w:r>
    </w:p>
    <w:p>
      <w:pPr>
        <w:spacing w:after="40"/>
      </w:pPr>
      <w:r>
        <w:rPr>
          <w:i/>
          <w:iCs/>
          <w:color w:val="555555"/>
          <w:sz w:val="22"/>
          <w:szCs w:val="22"/>
        </w:rPr>
        <w:t xml:space="preserve">HER Hackathon 2026  |  NITHUB</w:t>
      </w:r>
    </w:p>
    <w:p>
      <w:pPr>
        <w:spacing w:after="360"/>
      </w:pPr>
      <w:r>
        <w:rPr>
          <w:color w:val="555555"/>
          <w:sz w:val="20"/>
          <w:szCs w:val="20"/>
        </w:rPr>
        <w:t xml:space="preserve">Strategy &amp; Pitch Document — Confidential</w:t>
      </w:r>
    </w:p>
    <w:p>
      <w:pPr>
        <w:pBdr>
          <w:bottom w:val="single" w:color="7A1F3D" w:sz="6" w:space="1"/>
        </w:pBdr>
        <w:spacing w:after="200" w:before="100"/>
      </w:pPr>
      <w:r>
        <w:t xml:space="preserve"/>
      </w:r>
    </w:p>
    <w:p>
      <w:pPr>
        <w:pStyle w:val="Heading1"/>
      </w:pPr>
      <w:r>
        <w:t xml:space="preserve">1. The Problem: The Danger Window Nobody Is Watching</w:t>
      </w:r>
    </w:p>
    <w:p>
      <w:pPr>
        <w:spacing w:after="160"/>
      </w:pPr>
      <w:r>
        <w:rPr>
          <w:b w:val="false"/>
          <w:bCs w:val="false"/>
          <w:i w:val="false"/>
          <w:iCs w:val="false"/>
        </w:rPr>
        <w:t xml:space="preserve">Hospitals in Nigeria do not abandon mothers at the delivery ward door. Blood pressure is checked, mothers are observed, and discharge happens once a clinical team is satisfied things look stable. The danger is not what happens before discharge — it is what happens in the days and weeks after, when the formal follow-up system that exists on paper quietly fails to reach the woman who needs it.</w:t>
      </w:r>
    </w:p>
    <w:p>
      <w:pPr>
        <w:pStyle w:val="Heading2"/>
      </w:pPr>
      <w:r>
        <w:t xml:space="preserve">1.1  Scale of the Crisis</w:t>
      </w:r>
    </w:p>
    <w:p>
      <w:pPr>
        <w:spacing w:after="160"/>
      </w:pPr>
      <w:r>
        <w:rPr>
          <w:b w:val="false"/>
          <w:bCs w:val="false"/>
          <w:i w:val="false"/>
          <w:iCs w:val="false"/>
        </w:rPr>
        <w:t xml:space="preserve">Hypertensive disorders of pregnancy — including postpartum preeclampsia and eclampsia — are not a minor complication. They are Nigeria's leading cause of maternal death, and the data shows most of these deaths are preventable with timely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A1F3D" w:val="clear"/>
            <w:tcMar>
              <w:top w:type="dxa" w:w="100"/>
              <w:left w:type="dxa" w:w="140"/>
              <w:bottom w:type="dxa" w:w="100"/>
              <w:right w:type="dxa" w:w="140"/>
            </w:tcMar>
            <w:vAlign w:val="center"/>
          </w:tcPr>
          <w:p>
            <w:pPr>
              <w:jc w:val="center"/>
            </w:pPr>
            <w:r>
              <w:rPr>
                <w:b/>
                <w:bCs/>
                <w:i w:val="false"/>
                <w:iCs w:val="false"/>
                <w:color w:val="FFFFFF"/>
                <w:sz w:val="21"/>
                <w:szCs w:val="21"/>
              </w:rPr>
              <w:t xml:space="preserve">29%</w:t>
            </w:r>
          </w:p>
        </w:tc>
        <w:tc>
          <w:tcPr>
            <w:tcW w:type="dxa" w:w="2340"/>
            <w:tcBorders>
              <w:top w:val="single" w:color="CCCCCC" w:sz="1"/>
              <w:left w:val="single" w:color="CCCCCC" w:sz="1"/>
              <w:bottom w:val="single" w:color="CCCCCC" w:sz="1"/>
              <w:right w:val="single" w:color="CCCCCC" w:sz="1"/>
            </w:tcBorders>
            <w:shd w:fill="7A1F3D" w:val="clear"/>
            <w:tcMar>
              <w:top w:type="dxa" w:w="100"/>
              <w:left w:type="dxa" w:w="140"/>
              <w:bottom w:type="dxa" w:w="100"/>
              <w:right w:type="dxa" w:w="140"/>
            </w:tcMar>
            <w:vAlign w:val="center"/>
          </w:tcPr>
          <w:p>
            <w:pPr>
              <w:jc w:val="center"/>
            </w:pPr>
            <w:r>
              <w:rPr>
                <w:b/>
                <w:bCs/>
                <w:i w:val="false"/>
                <w:iCs w:val="false"/>
                <w:color w:val="FFFFFF"/>
                <w:sz w:val="21"/>
                <w:szCs w:val="21"/>
              </w:rPr>
              <w:t xml:space="preserve">32%</w:t>
            </w:r>
          </w:p>
        </w:tc>
        <w:tc>
          <w:tcPr>
            <w:tcW w:type="dxa" w:w="2340"/>
            <w:tcBorders>
              <w:top w:val="single" w:color="CCCCCC" w:sz="1"/>
              <w:left w:val="single" w:color="CCCCCC" w:sz="1"/>
              <w:bottom w:val="single" w:color="CCCCCC" w:sz="1"/>
              <w:right w:val="single" w:color="CCCCCC" w:sz="1"/>
            </w:tcBorders>
            <w:shd w:fill="7A1F3D" w:val="clear"/>
            <w:tcMar>
              <w:top w:type="dxa" w:w="100"/>
              <w:left w:type="dxa" w:w="140"/>
              <w:bottom w:type="dxa" w:w="100"/>
              <w:right w:type="dxa" w:w="140"/>
            </w:tcMar>
            <w:vAlign w:val="center"/>
          </w:tcPr>
          <w:p>
            <w:pPr>
              <w:jc w:val="center"/>
            </w:pPr>
            <w:r>
              <w:rPr>
                <w:b/>
                <w:bCs/>
                <w:i w:val="false"/>
                <w:iCs w:val="false"/>
                <w:color w:val="FFFFFF"/>
                <w:sz w:val="21"/>
                <w:szCs w:val="21"/>
              </w:rPr>
              <w:t xml:space="preserve">7.6M</w:t>
            </w:r>
          </w:p>
        </w:tc>
        <w:tc>
          <w:tcPr>
            <w:tcW w:type="dxa" w:w="2340"/>
            <w:tcBorders>
              <w:top w:val="single" w:color="CCCCCC" w:sz="1"/>
              <w:left w:val="single" w:color="CCCCCC" w:sz="1"/>
              <w:bottom w:val="single" w:color="CCCCCC" w:sz="1"/>
              <w:right w:val="single" w:color="CCCCCC" w:sz="1"/>
            </w:tcBorders>
            <w:shd w:fill="7A1F3D" w:val="clear"/>
            <w:tcMar>
              <w:top w:type="dxa" w:w="100"/>
              <w:left w:type="dxa" w:w="140"/>
              <w:bottom w:type="dxa" w:w="100"/>
              <w:right w:type="dxa" w:w="140"/>
            </w:tcMar>
            <w:vAlign w:val="center"/>
          </w:tcPr>
          <w:p>
            <w:pPr>
              <w:jc w:val="center"/>
            </w:pPr>
            <w:r>
              <w:rPr>
                <w:b/>
                <w:bCs/>
                <w:i w:val="false"/>
                <w:iCs w:val="false"/>
                <w:color w:val="FFFFFF"/>
                <w:sz w:val="21"/>
                <w:szCs w:val="21"/>
              </w:rPr>
              <w:t xml:space="preserve">38%</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i w:val="false"/>
                <w:iCs w:val="false"/>
                <w:sz w:val="21"/>
                <w:szCs w:val="21"/>
              </w:rPr>
              <w:t xml:space="preserve">Share of global maternal deaths that occur in Nigeria</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i w:val="false"/>
                <w:iCs w:val="false"/>
                <w:sz w:val="21"/>
                <w:szCs w:val="21"/>
              </w:rPr>
              <w:t xml:space="preserve">Of Nigerian maternal deaths caused by hypertensive disorders of pregnancy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i w:val="false"/>
                <w:iCs w:val="false"/>
                <w:sz w:val="21"/>
                <w:szCs w:val="21"/>
              </w:rPr>
              <w:t xml:space="preserve">Babies born in Nigeria every year — the size of the at-risk population</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i w:val="false"/>
                <w:iCs w:val="false"/>
                <w:sz w:val="21"/>
                <w:szCs w:val="21"/>
              </w:rPr>
              <w:t xml:space="preserve">Of mothers who received any postnatal check within 2 days of birth (NDHS 2018)</w:t>
            </w:r>
          </w:p>
        </w:tc>
      </w:tr>
    </w:tbl>
    <w:p>
      <w:pPr>
        <w:spacing w:before="200"/>
      </w:pPr>
    </w:p>
    <w:p>
      <w:pPr>
        <w:pStyle w:val="Heading2"/>
      </w:pPr>
      <w:r>
        <w:t xml:space="preserve">1.2  Why This Is a Timing Problem, Not a Hospital-Negligence Problem</w:t>
      </w:r>
    </w:p>
    <w:p>
      <w:pPr>
        <w:spacing w:after="160"/>
      </w:pPr>
      <w:r>
        <w:rPr>
          <w:b w:val="false"/>
          <w:bCs w:val="false"/>
          <w:i w:val="false"/>
          <w:iCs w:val="false"/>
        </w:rPr>
        <w:t xml:space="preserve">A reasonable first reaction to this pitch is: “wouldn’t the hospital catch this before discharge?” They often do — at that single point in time. The clinical reality is that postpartum preeclampsia frequently develops after that point, in a window the system is structurally weak at 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Clinical Fact</w:t>
            </w:r>
          </w:p>
        </w:tc>
        <w:tc>
          <w:tcPr>
            <w:tcW w:type="dxa" w:w="624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What the Evidence Shows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Onset timing</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Postpartum preeclampsia most commonly develops within the first 7 days after delivery, though risk continues for up to 6 weeks postpartum — squarely inside the window where formal monitoring has already stopped.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Predictability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It often presents with few warning signs and can occur even in a mother who was previously cleared as low-risk — a normal discharge does not guarantee safety days later.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The official plan exists…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Nigeria follows the WHO-recommended postnatal contact schedule: within 24 hours, day 3, days 10–14, and 6 weeks postpartum.</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…but follow-through fails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Only 17% of women nationally utilize postnatal care services at all, and national postnatal coverage has ranged from just 37.1% to 41.8% between 2012 and 2018. Distance, transport cost, and a cultural focus shifting entirely to the newborn all drive this gap.</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2E8" w:val="clear"/>
            <w:tcMar>
              <w:top w:type="dxa" w:w="160"/>
              <w:left w:type="dxa" w:w="200"/>
              <w:bottom w:type="dxa" w:w="160"/>
              <w:right w:type="dxa" w:w="200"/>
            </w:tcMar>
          </w:tcPr>
          <w:p>
            <w:pPr>
              <w:spacing w:after="80"/>
            </w:pPr>
            <w:r>
              <w:rPr>
                <w:b/>
                <w:bCs/>
                <w:color w:val="7A1F3D"/>
              </w:rPr>
              <w:t xml:space="preserve">KEY INSIGHT</w:t>
            </w:r>
          </w:p>
          <w:p>
            <w:r>
              <w:t xml:space="preserve">Hospitals own the moment of discharge. Nobody owns the six weeks after it. That ownership gap — not hospital negligence — is exactly where postpartum preeclampsia kills, and exactly where MamaGuard is built to sit.</w:t>
            </w:r>
          </w:p>
        </w:tc>
      </w:tr>
    </w:tbl>
    <w:p>
      <w:pPr>
        <w:spacing w:before="200"/>
      </w:pPr>
    </w:p>
    <w:p>
      <w:pPr>
        <w:pStyle w:val="Heading2"/>
      </w:pPr>
      <w:r>
        <w:t xml:space="preserve">1.3  Why Existing Approaches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Existing Approach</w:t>
            </w:r>
          </w:p>
        </w:tc>
        <w:tc>
          <w:tcPr>
            <w:tcW w:type="dxa" w:w="624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Why It Fails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Scheduled clinic follow-up (Day 3 / 10–14 / Week 6)</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Depends on the mother having transport, money, and time to physically return — exactly the constraints that drag national coverage below 42%.</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Manual home BP cuffs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Cost and unfamiliarity with reading results put this out of reach for most households; a cuff alone gives a number with no interpretation or escalation path.</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“Just go to hospital if you feel unwell” advice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Preeclampsia frequently presents with few or subtle warning signs, so the mother often does not know something is wrong until it is severe.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Generic pregnancy apps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Almost all are built for the pregnancy phase and stop tracking the mother once the baby is born — the opposite of where the danger is concentrated.</w:t>
            </w:r>
          </w:p>
        </w:tc>
      </w:tr>
    </w:tbl>
    <w:p>
      <w:pPr>
        <w:spacing w:before="100"/>
      </w:pPr>
    </w:p>
    <w:p>
      <w:pPr>
        <w:pStyle w:val="Heading1"/>
      </w:pPr>
      <w:r>
        <w:t xml:space="preserve">2. The Solution: MamaGuard</w:t>
      </w:r>
    </w:p>
    <w:p>
      <w:pPr>
        <w:spacing w:after="160"/>
      </w:pPr>
      <w:r>
        <w:rPr>
          <w:b w:val="false"/>
          <w:bCs w:val="false"/>
          <w:i w:val="false"/>
          <w:iCs w:val="false"/>
        </w:rPr>
        <w:t xml:space="preserve">MamaGuard is a postpartum risk-screening and escalation platform that helps a new mother monitor her own danger signs at home — without expensive equipment — and connects her to real care fast when risk is detected. It does not try to replace the hospital. It exists for the six weeks after the hospital can no longer see her.</w:t>
      </w:r>
    </w:p>
    <w:p>
      <w:pPr>
        <w:pStyle w:val="Heading2"/>
      </w:pPr>
      <w:r>
        <w:t xml:space="preserve">2.1  Core Architecture</w:t>
      </w:r>
    </w:p>
    <w:p>
      <w:pPr>
        <w:spacing w:after="80"/>
      </w:pPr>
      <w:r>
        <w:rPr>
          <w:b w:val="false"/>
          <w:bCs w:val="false"/>
          <w:i w:val="false"/>
          <w:iCs w:val="false"/>
        </w:rPr>
        <w:t xml:space="preserve">MamaGuard operates on three integrated layers:</w:t>
      </w:r>
    </w:p>
    <w:p>
      <w:pPr>
        <w:spacing w:after="60"/>
      </w:pPr>
      <w:r>
        <w:rPr>
          <w:b/>
          <w:bCs/>
          <w:i w:val="false"/>
          <w:iCs w:val="false"/>
        </w:rPr>
        <w:t xml:space="preserve">Layer 1 — rPPG Vitals Capture (Objective Signal Layer)</w:t>
      </w:r>
    </w:p>
    <w:p>
      <w:pPr>
        <w:pStyle w:val="ListParagraph"/>
        <w:numPr>
          <w:ilvl w:val="0"/>
          <w:numId w:val="2"/>
        </w:numPr>
        <w:spacing w:after="100"/>
      </w:pPr>
      <w:r>
        <w:t xml:space="preserve">A 30–60 second face scan via phone camera using remote photoplethysmography (rPPG)</w:t>
      </w:r>
    </w:p>
    <w:p>
      <w:pPr>
        <w:pStyle w:val="ListParagraph"/>
        <w:numPr>
          <w:ilvl w:val="0"/>
          <w:numId w:val="2"/>
        </w:numPr>
        <w:spacing w:after="100"/>
      </w:pPr>
      <w:r>
        <w:t xml:space="preserve">Extracts heart rate and heart rate variability — a well-established, accurate use of rPPG today</w:t>
      </w:r>
    </w:p>
    <w:p>
      <w:pPr>
        <w:pStyle w:val="ListParagraph"/>
        <w:numPr>
          <w:ilvl w:val="0"/>
          <w:numId w:val="2"/>
        </w:numPr>
        <w:spacing w:after="100"/>
      </w:pPr>
      <w:r>
        <w:t xml:space="preserve">Deliberately does NOT claim to measure blood pressure from the face; that remains research-grade and unreliable without per-person calibration</w:t>
      </w:r>
    </w:p>
    <w:p>
      <w:pPr>
        <w:pStyle w:val="ListParagraph"/>
        <w:numPr>
          <w:ilvl w:val="0"/>
          <w:numId w:val="2"/>
        </w:numPr>
        <w:spacing w:after="100"/>
      </w:pPr>
      <w:r>
        <w:t xml:space="preserve">Functions as one objective input into the risk engine, not a standalone diagnosis</w:t>
      </w:r>
    </w:p>
    <w:p>
      <w:pPr>
        <w:spacing w:after="60"/>
      </w:pPr>
      <w:r>
        <w:rPr>
          <w:b/>
          <w:bCs/>
          <w:i w:val="false"/>
          <w:iCs w:val="false"/>
        </w:rPr>
        <w:t xml:space="preserve">Layer 2 — Clinical Danger-Sign Checklist (Credibility Layer)</w:t>
      </w:r>
    </w:p>
    <w:p>
      <w:pPr>
        <w:pStyle w:val="ListParagraph"/>
        <w:numPr>
          <w:ilvl w:val="0"/>
          <w:numId w:val="2"/>
        </w:numPr>
        <w:spacing w:after="100"/>
      </w:pPr>
      <w:r>
        <w:t xml:space="preserve">A short, WHO-aligned checklist: severe headache, blurred/flashing vision, upper abdominal pain, sudden swelling, shortness of breath</w:t>
      </w:r>
    </w:p>
    <w:p>
      <w:pPr>
        <w:pStyle w:val="ListParagraph"/>
        <w:numPr>
          <w:ilvl w:val="0"/>
          <w:numId w:val="2"/>
        </w:numPr>
        <w:spacing w:after="100"/>
      </w:pPr>
      <w:r>
        <w:t xml:space="preserve">These signs are clinically established and not in dispute — this layer carries no accuracy risk</w:t>
      </w:r>
    </w:p>
    <w:p>
      <w:pPr>
        <w:pStyle w:val="ListParagraph"/>
        <w:numPr>
          <w:ilvl w:val="0"/>
          <w:numId w:val="2"/>
        </w:numPr>
        <w:spacing w:after="100"/>
      </w:pPr>
      <w:r>
        <w:t xml:space="preserve">Combined score with Layer 1 produces a risk tier: Low / Watch / Urgent</w:t>
      </w:r>
    </w:p>
    <w:p>
      <w:pPr>
        <w:spacing w:after="60"/>
      </w:pPr>
      <w:r>
        <w:rPr>
          <w:b/>
          <w:bCs/>
          <w:i w:val="false"/>
          <w:iCs w:val="false"/>
        </w:rPr>
        <w:t xml:space="preserve">Layer 3 — Escalation &amp; Support (Action Layer)</w:t>
      </w:r>
    </w:p>
    <w:p>
      <w:pPr>
        <w:pStyle w:val="ListParagraph"/>
        <w:numPr>
          <w:ilvl w:val="0"/>
          <w:numId w:val="2"/>
        </w:numPr>
        <w:spacing w:after="100"/>
      </w:pPr>
      <w:r>
        <w:t xml:space="preserve">Urgent tier captures the mother's live GPS location and immediately surfaces the nearest hospitals from that exact point, with turn-by-turn directions, with no extra steps required</w:t>
      </w:r>
    </w:p>
    <w:p>
      <w:pPr>
        <w:pStyle w:val="ListParagraph"/>
        <w:numPr>
          <w:ilvl w:val="0"/>
          <w:numId w:val="2"/>
        </w:numPr>
        <w:spacing w:after="100"/>
      </w:pPr>
      <w:r>
        <w:t xml:space="preserve">A static newborn-care information hub (feeding, sleep, teething, when baby symptoms warrant concern) addresses the anxiety that pulls attention away from the mother's own recovery</w:t>
      </w:r>
    </w:p>
    <w:p>
      <w:pPr>
        <w:spacing w:before="100"/>
      </w:pPr>
    </w:p>
    <w:p>
      <w:pPr>
        <w:pStyle w:val="Heading2"/>
      </w:pPr>
      <w:r>
        <w:t xml:space="preserve">2.2  How It Works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Stage</w:t>
            </w:r>
          </w:p>
        </w:tc>
        <w:tc>
          <w:tcPr>
            <w:tcW w:type="dxa" w:w="716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What Happens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1. Onboarding</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Mother creates a lightweight profile at or shortly after discharge: gestational history, known risk factors (e.g. prior hypertension, prior C-section), emergency contact.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2. Daily/periodic check-in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Mother opens the app, completes a face scan (heart rate/HRV captured) and the short danger-sign checklist — under two minutes total.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3. Risk scoring</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Backend combines the rPPG reading with checklist answers using a transparent, rules-based scoring engine to produce Low / Watch / Urgent.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4. Result &amp; guidance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Low: brief reassurance + reminder to check again later. Watch: specific signs to monitor. Urgent: app captures her live GPS location and immediately shows the nearest hospitals from that point, with directions.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5. Newborn support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Mother can separately access the newborn info hub at any time, reducing the anxiety that competes with her own self-monitoring.</w:t>
            </w:r>
          </w:p>
        </w:tc>
      </w:tr>
    </w:tbl>
    <w:p>
      <w:pPr>
        <w:spacing w:before="200"/>
      </w:pPr>
    </w:p>
    <w:p>
      <w:pPr>
        <w:pStyle w:val="Heading2"/>
      </w:pPr>
      <w:r>
        <w:t xml:space="preserve">2.3  Why This Is Credible, Not Overclaiming</w:t>
      </w:r>
    </w:p>
    <w:p>
      <w:pPr>
        <w:spacing w:after="160"/>
      </w:pPr>
      <w:r>
        <w:rPr>
          <w:b w:val="false"/>
          <w:bCs w:val="false"/>
          <w:i w:val="false"/>
          <w:iCs w:val="false"/>
        </w:rPr>
        <w:t xml:space="preserve">We are explicit about the boundary of what rPPG can do. Heart rate and HRV extraction from facial video is accurate and demoable today. Blood pressure estimation from a face scan alone is not — it remains an active, uncalibrated area of research, and we do not claim it. The clinical weight of this product sits on the WHO-recognized danger-sign checklist, which carries no such accuracy risk. The rPPG layer adds an objective, quantifiable signal on top of that — making the tool more informative than a checklist alone, without overstating what a phone camera can diagnose.</w:t>
      </w:r>
    </w:p>
    <w:p>
      <w:pPr>
        <w:pStyle w:val="Heading1"/>
      </w:pPr>
      <w:r>
        <w:t xml:space="preserve">3. Technology Stack</w:t>
      </w:r>
    </w:p>
    <w:p>
      <w:pPr>
        <w:pStyle w:val="Heading2"/>
      </w:pPr>
      <w:r>
        <w:t xml:space="preserve">3.1  Backend &amp; Data</w:t>
      </w:r>
    </w:p>
    <w:p>
      <w:pPr>
        <w:pStyle w:val="ListParagraph"/>
        <w:numPr>
          <w:ilvl w:val="0"/>
          <w:numId w:val="2"/>
        </w:numPr>
        <w:spacing w:after="100"/>
      </w:pPr>
      <w:r>
        <w:t xml:space="preserve">FastAPI backend with PostgreSQL (Neon) for relational data: profiles, checklist entries, scan results, risk scores</w:t>
      </w:r>
    </w:p>
    <w:p>
      <w:pPr>
        <w:pStyle w:val="ListParagraph"/>
        <w:numPr>
          <w:ilvl w:val="0"/>
          <w:numId w:val="2"/>
        </w:numPr>
        <w:spacing w:after="100"/>
      </w:pPr>
      <w:r>
        <w:t xml:space="preserve">SQLAlchemy models + Alembic migrations; JWT-based authentication, kept lightweight for hackathon scope</w:t>
      </w:r>
    </w:p>
    <w:p>
      <w:pPr>
        <w:pStyle w:val="ListParagraph"/>
        <w:numPr>
          <w:ilvl w:val="0"/>
          <w:numId w:val="2"/>
        </w:numPr>
        <w:spacing w:after="100"/>
      </w:pPr>
      <w:r>
        <w:t xml:space="preserve">A transparent, rules-based risk-scoring engine — explainable in Q&amp;A, not a black box</w:t>
      </w:r>
    </w:p>
    <w:p>
      <w:pPr>
        <w:pStyle w:val="ListParagraph"/>
        <w:numPr>
          <w:ilvl w:val="0"/>
          <w:numId w:val="2"/>
        </w:numPr>
        <w:spacing w:after="100"/>
      </w:pPr>
      <w:r>
        <w:t xml:space="preserve">Device GPS captures the mother's live current location on Urgent tier, paired with Google Places API for the nearest-hospital locator and turn-by-turn directions</w:t>
      </w:r>
    </w:p>
    <w:p>
      <w:pPr>
        <w:pStyle w:val="Heading2"/>
      </w:pPr>
      <w:r>
        <w:t xml:space="preserve">3.2  rPPG Implementation (MVP)</w:t>
      </w:r>
    </w:p>
    <w:p>
      <w:pPr>
        <w:pStyle w:val="ListParagraph"/>
        <w:numPr>
          <w:ilvl w:val="0"/>
          <w:numId w:val="2"/>
        </w:numPr>
        <w:spacing w:after="100"/>
      </w:pPr>
      <w:r>
        <w:t xml:space="preserve">Phone camera captures 30–60 seconds of facial video under reasonable lighting</w:t>
      </w:r>
    </w:p>
    <w:p>
      <w:pPr>
        <w:pStyle w:val="ListParagraph"/>
        <w:numPr>
          <w:ilvl w:val="0"/>
          <w:numId w:val="2"/>
        </w:numPr>
        <w:spacing w:after="100"/>
      </w:pPr>
      <w:r>
        <w:t xml:space="preserve">Signal-processing pipeline (open-source rPPG approach) extracts pulse waveform → heart rate and HRV</w:t>
      </w:r>
    </w:p>
    <w:p>
      <w:pPr>
        <w:pStyle w:val="ListParagraph"/>
        <w:numPr>
          <w:ilvl w:val="0"/>
          <w:numId w:val="2"/>
        </w:numPr>
        <w:spacing w:after="100"/>
      </w:pPr>
      <w:r>
        <w:t xml:space="preserve">Output is surfaced as a clear number with the result feeding into the risk engine — never presented as a blood pressure reading</w:t>
      </w:r>
    </w:p>
    <w:p>
      <w:pPr>
        <w:pStyle w:val="Heading2"/>
      </w:pPr>
      <w:r>
        <w:t xml:space="preserve">3.3  Frontend &amp; Experience</w:t>
      </w:r>
    </w:p>
    <w:p>
      <w:pPr>
        <w:pStyle w:val="ListParagraph"/>
        <w:numPr>
          <w:ilvl w:val="0"/>
          <w:numId w:val="2"/>
        </w:numPr>
        <w:spacing w:after="100"/>
      </w:pPr>
      <w:r>
        <w:t xml:space="preserve">Camera capture component for the face scan, calm and low-anxiety in design (color-coded risk result screen: green/amber/red)</w:t>
      </w:r>
    </w:p>
    <w:p>
      <w:pPr>
        <w:pStyle w:val="ListParagraph"/>
        <w:numPr>
          <w:ilvl w:val="0"/>
          <w:numId w:val="2"/>
        </w:numPr>
        <w:spacing w:after="100"/>
      </w:pPr>
      <w:r>
        <w:t xml:space="preserve">Checklist UI built for low-literacy clarity — icon-led, minimal text</w:t>
      </w:r>
    </w:p>
    <w:p>
      <w:pPr>
        <w:pStyle w:val="ListParagraph"/>
        <w:numPr>
          <w:ilvl w:val="0"/>
          <w:numId w:val="2"/>
        </w:numPr>
        <w:spacing w:after="100"/>
      </w:pPr>
      <w:r>
        <w:t xml:space="preserve">Static newborn-care hub, content-driven, no chatbot dependency in this version</w:t>
      </w:r>
    </w:p>
    <w:p>
      <w:pPr>
        <w:pStyle w:val="Heading2"/>
      </w:pPr>
      <w:r>
        <w:t xml:space="preserve">3.4  Scaling Roadmap (Beyond the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Phase</w:t>
            </w:r>
          </w:p>
        </w:tc>
        <w:tc>
          <w:tcPr>
            <w:tcW w:type="dxa" w:w="716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Enhancement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MVP (Now)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rPPG heart rate/HRV + danger-sign checklist + GPS-based nearest-hospital locator + newborn hub. Defeats the core problem: no monitoring after discharge.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Phase 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CHW/family-contact escalation alerts (SMS + WhatsApp) when a mother is flagged Urgent, so she is not the only one who knows.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Phase 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Pilot validation with calibrated cuff readings to responsibly explore rPPG-assisted BP estimation, only once properly validated.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Phase 4</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Integration with HMO/NHIA data systems for institutional-scale rollout and outcomes tracking.</w:t>
            </w:r>
          </w:p>
        </w:tc>
      </w:tr>
    </w:tbl>
    <w:p>
      <w:pPr>
        <w:spacing w:before="100"/>
      </w:pPr>
    </w:p>
    <w:p>
      <w:pPr>
        <w:pStyle w:val="Heading1"/>
      </w:pPr>
      <w:r>
        <w:t xml:space="preserve">4. Business Model &amp; Go-To-Market Strategy</w:t>
      </w:r>
    </w:p>
    <w:p>
      <w:pPr>
        <w:pStyle w:val="Heading2"/>
      </w:pPr>
      <w:r>
        <w:t xml:space="preserve">4.1  The Go-To-Market Insight: The Hospital Is the Channel, Not the Customer</w:t>
      </w:r>
    </w:p>
    <w:p>
      <w:pPr>
        <w:spacing w:after="160"/>
      </w:pPr>
      <w:r>
        <w:rPr>
          <w:b w:val="false"/>
          <w:bCs w:val="false"/>
          <w:i w:val="false"/>
          <w:iCs w:val="false"/>
        </w:rPr>
        <w:t xml:space="preserve">A new mother will not discover MamaGuard on her own, and she is not in a position — emotionally or financially — to evaluate and pay for a health app at the exact moment she is exhausted, anxious, and focused entirely on her newborn. So we do not rely on her to find us. We rely on the one moment she is guaranteed to be in a healthcare setting and listening to instructions: discharge.</w:t>
      </w:r>
    </w:p>
    <w:p>
      <w:pPr>
        <w:pStyle w:val="ListParagraph"/>
        <w:numPr>
          <w:ilvl w:val="0"/>
          <w:numId w:val="2"/>
        </w:numPr>
        <w:spacing w:after="100"/>
      </w:pPr>
      <w:r>
        <w:t xml:space="preserve">At discharge, a nurse or doctor hands the mother a simple QR code or flyer: “use this to monitor yourself after you leave — it is part of your care.”</w:t>
      </w:r>
    </w:p>
    <w:p>
      <w:pPr>
        <w:pStyle w:val="ListParagraph"/>
        <w:numPr>
          <w:ilvl w:val="0"/>
          <w:numId w:val="2"/>
        </w:numPr>
        <w:spacing w:after="100"/>
      </w:pPr>
      <w:r>
        <w:t xml:space="preserve">This single recommendation solves two problems at once — discovery (she now knows the app exists) and trust (it carries the hospital's credibility, not an app-store listing's).</w:t>
      </w:r>
    </w:p>
    <w:p>
      <w:pPr>
        <w:pStyle w:val="ListParagraph"/>
        <w:numPr>
          <w:ilvl w:val="0"/>
          <w:numId w:val="2"/>
        </w:numPr>
        <w:spacing w:after="100"/>
      </w:pPr>
      <w:r>
        <w:t xml:space="preserve">It mirrors the only intervention we found evidence for in this exact context: a mobile-health reminder program tied to the formal antenatal/postnatal pathway raised completion of postnatal visits from 3.7% to 30.9% — trust transfer from the care pathway is what moved behavior, not consumer marketing.</w:t>
      </w:r>
    </w:p>
    <w:p>
      <w:pPr>
        <w:pStyle w:val="ListParagraph"/>
        <w:numPr>
          <w:ilvl w:val="0"/>
          <w:numId w:val="2"/>
        </w:numPr>
        <w:spacing w:after="100"/>
      </w:pPr>
      <w:r>
        <w:t xml:space="preserve">Critically, this costs the hospital nothing — a ten-second mention at discharge — which makes adoption a far easier ask than requesting a hospital open its wallet.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2E8" w:val="clear"/>
            <w:tcMar>
              <w:top w:type="dxa" w:w="160"/>
              <w:left w:type="dxa" w:w="200"/>
              <w:bottom w:type="dxa" w:w="160"/>
              <w:right w:type="dxa" w:w="200"/>
            </w:tcMar>
          </w:tcPr>
          <w:p>
            <w:pPr>
              <w:spacing w:after="80"/>
            </w:pPr>
            <w:r>
              <w:rPr>
                <w:b/>
                <w:bCs/>
                <w:color w:val="7A1F3D"/>
              </w:rPr>
              <w:t xml:space="preserve">WHY A HOSPITAL BOTHERS</w:t>
            </w:r>
          </w:p>
          <w:p>
            <w:r>
              <w:t xml:space="preserve">A hospital has every incentive to mention a free tool that visibly demonstrates it is closing a follow-up gap it already knows exists — national postnatal coverage sitting under 42% is not a secret inside Nigerian healthcare circles. Recommending MamaGuard costs a hospital nothing and makes its discharge process look proactive.</w:t>
            </w:r>
          </w:p>
        </w:tc>
      </w:tr>
    </w:tbl>
    <w:p>
      <w:pPr>
        <w:spacing w:before="200"/>
      </w:pPr>
    </w:p>
    <w:p>
      <w:pPr>
        <w:pStyle w:val="Heading2"/>
      </w:pPr>
      <w:r>
        <w:t xml:space="preserve">4.2  Who Actually Pays</w:t>
      </w:r>
    </w:p>
    <w:p>
      <w:pPr>
        <w:spacing w:after="160"/>
      </w:pPr>
      <w:r>
        <w:rPr>
          <w:b w:val="false"/>
          <w:bCs w:val="false"/>
          <w:i w:val="false"/>
          <w:iCs w:val="false"/>
        </w:rPr>
        <w:t xml:space="preserve">The hospital is the referral channel. The mother is the free user. The payer sits one level up, with the institutions who carry the financial consequences of a missed complication:</w:t>
      </w:r>
    </w:p>
    <w:p>
      <w:pPr>
        <w:pStyle w:val="ListParagraph"/>
        <w:numPr>
          <w:ilvl w:val="0"/>
          <w:numId w:val="2"/>
        </w:numPr>
        <w:spacing w:after="100"/>
      </w:pPr>
      <w:r>
        <w:t xml:space="preserve">HMOs — 83 NHIA-accredited HMOs are financially incentivized to prevent expensive emergency complications; early detection directly reduces their ICU/emergency payouts</w:t>
      </w:r>
    </w:p>
    <w:p>
      <w:pPr>
        <w:pStyle w:val="ListParagraph"/>
        <w:numPr>
          <w:ilvl w:val="0"/>
          <w:numId w:val="2"/>
        </w:numPr>
        <w:spacing w:after="100"/>
      </w:pPr>
      <w:r>
        <w:t xml:space="preserve">NHIA's existing maternal health initiative — the National Health Insurance Authority has already signed MOUs with over 200 health facilities to improve access to emergency obstetric care, with its maternal health component already reaching 19,270 women across 242 empanelled facilities. This is a live, funded priority to plug into, not a cold pitch</w:t>
      </w:r>
    </w:p>
    <w:p>
      <w:pPr>
        <w:pStyle w:val="ListParagraph"/>
        <w:numPr>
          <w:ilvl w:val="0"/>
          <w:numId w:val="2"/>
        </w:numPr>
        <w:spacing w:after="100"/>
      </w:pPr>
      <w:r>
        <w:t xml:space="preserve">Hospitals themselves, optionally, as a second tier — some may choose to license the tool directly once they see referral data, since it reduces their own liability and improves outcomes reporting</w:t>
      </w:r>
    </w:p>
    <w:p>
      <w:pPr>
        <w:pStyle w:val="Heading2"/>
      </w:pPr>
      <w:r>
        <w:t xml:space="preserve">4.3  Why Direct Consumer Payment Was the Wrong Model</w:t>
      </w:r>
    </w:p>
    <w:p>
      <w:pPr>
        <w:spacing w:after="160"/>
      </w:pPr>
      <w:r>
        <w:rPr>
          <w:b w:val="false"/>
          <w:bCs w:val="false"/>
          <w:i w:val="false"/>
          <w:iCs w:val="false"/>
        </w:rPr>
        <w:t xml:space="preserve">Roughly 97% of Nigerians have no health insurance, and even now coverage has only risen to about 21.7 million people — around 13% of the population. Over 60% of the population lives below the poverty line, and even comprehensive insurance premiums already represent 10–30% of median household income for those with formal income. A new mother is not a segment with spare healthcare budget — pricing this as a consumer subscription would fail on contact with the market. Routing payment to HMOs/NHIA instead means cost is never a barrier the mother has to clear.</w:t>
      </w:r>
    </w:p>
    <w:p>
      <w:pPr>
        <w:pStyle w:val="Heading2"/>
      </w:pPr>
      <w:r>
        <w:t xml:space="preserve">4.4  Distribution Is Not the Bottleneck</w:t>
      </w:r>
    </w:p>
    <w:p>
      <w:pPr>
        <w:spacing w:after="160"/>
      </w:pPr>
      <w:r>
        <w:rPr>
          <w:b w:val="false"/>
          <w:bCs w:val="false"/>
          <w:i w:val="false"/>
          <w:iCs w:val="false"/>
        </w:rPr>
        <w:t xml:space="preserve">Over 80% of Nigerians own a mobile phone. The constraint on this product has never been reach — it is the discovery and trust moment, which the hospital referral now solves, and the monetization model, which the institutional payer side now solves.</w:t>
      </w:r>
    </w:p>
    <w:p>
      <w:pPr>
        <w:pStyle w:val="Heading2"/>
      </w:pPr>
      <w:r>
        <w:t xml:space="preserve">4.5  Revenue Streams</w:t>
      </w:r>
    </w:p>
    <w:p>
      <w:pPr>
        <w:pStyle w:val="ListParagraph"/>
        <w:numPr>
          <w:ilvl w:val="0"/>
          <w:numId w:val="2"/>
        </w:numPr>
        <w:spacing w:after="100"/>
      </w:pPr>
      <w:r>
        <w:t xml:space="preserve">Stream 1 — Institutional licensing: HMOs and hospital networks pay per enrolled mother for screening and early-warning access, sourced through the hospital discharge referral funnel</w:t>
      </w:r>
    </w:p>
    <w:p>
      <w:pPr>
        <w:pStyle w:val="ListParagraph"/>
        <w:numPr>
          <w:ilvl w:val="0"/>
          <w:numId w:val="2"/>
        </w:numPr>
        <w:spacing w:after="100"/>
      </w:pPr>
      <w:r>
        <w:t xml:space="preserve">Stream 2 — NHIA/government partnership: integration into existing maternal health programs as a monitoring extension of facilities already in the NHIA network</w:t>
      </w:r>
    </w:p>
    <w:p>
      <w:pPr>
        <w:pStyle w:val="ListParagraph"/>
        <w:numPr>
          <w:ilvl w:val="0"/>
          <w:numId w:val="2"/>
        </w:numPr>
        <w:spacing w:after="100"/>
      </w:pPr>
      <w:r>
        <w:t xml:space="preserve">Stream 3 — Aggregated, anonymized risk-pattern data licensed to public health bodies for postpartum care planning</w:t>
      </w:r>
    </w:p>
    <w:p>
      <w:pPr>
        <w:pStyle w:val="ListParagraph"/>
        <w:numPr>
          <w:ilvl w:val="0"/>
          <w:numId w:val="2"/>
        </w:numPr>
        <w:spacing w:after="100"/>
      </w:pPr>
      <w:r>
        <w:t xml:space="preserve">Stream 4 — Free tier for every mother, always — funded entirely by the institutional side, never by her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2E8" w:val="clear"/>
            <w:tcMar>
              <w:top w:type="dxa" w:w="160"/>
              <w:left w:type="dxa" w:w="200"/>
              <w:bottom w:type="dxa" w:w="160"/>
              <w:right w:type="dxa" w:w="200"/>
            </w:tcMar>
          </w:tcPr>
          <w:p>
            <w:pPr>
              <w:spacing w:after="80"/>
            </w:pPr>
            <w:r>
              <w:rPr>
                <w:b/>
                <w:bCs/>
                <w:color w:val="7A1F3D"/>
              </w:rPr>
              <w:t xml:space="preserve">EVIDENCE THAT LOW-TECH NUDGES WORK</w:t>
            </w:r>
          </w:p>
          <w:p>
            <w:r>
              <w:t xml:space="preserve">A mobile-health intervention sending educational and reminder messages from week 35 of pregnancy through six weeks postpartum increased completion of four postnatal visits from 3.7% to 30.9%. This is a strong signal that accessible digital tools, introduced through the formal care pathway, genuinely change postpartum follow-up behavior in this exact context.</w:t>
            </w:r>
          </w:p>
        </w:tc>
      </w:tr>
    </w:tbl>
    <w:p>
      <w:pPr>
        <w:spacing w:before="200"/>
      </w:pPr>
    </w:p>
    <w:p>
      <w:pPr>
        <w:pStyle w:val="Heading1"/>
      </w:pPr>
      <w:r>
        <w:t xml:space="preserve">5. The Team</w:t>
      </w:r>
    </w:p>
    <w:p>
      <w:pPr>
        <w:spacing w:after="160"/>
      </w:pPr>
      <w:r>
        <w:rPr>
          <w:b w:val="false"/>
          <w:bCs w:val="false"/>
          <w:i w:val="false"/>
          <w:iCs w:val="false"/>
        </w:rPr>
        <w:t xml:space="preserve">MamaGuard is built by a four-person team covering every dimension required to execute: product leadership and the backend risk engine, full-stack integration across services, a frontend experience designed for clarity under stress, and a UI/UX direction built around calm, low-literacy-friendly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Name</w:t>
            </w:r>
          </w:p>
        </w:tc>
        <w:tc>
          <w:tcPr>
            <w:tcW w:type="dxa" w:w="220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Role</w:t>
            </w:r>
          </w:p>
        </w:tc>
        <w:tc>
          <w:tcPr>
            <w:tcW w:type="dxa" w:w="476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What They Bring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i w:val="false"/>
                <w:iCs w:val="false"/>
                <w:sz w:val="21"/>
                <w:szCs w:val="21"/>
              </w:rPr>
              <w:t xml:space="preserve">Oshinloye Omodesire Deborah</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Team Lead, Backend Developer &amp; Pitcher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Owns the risk-scoring engine, data models, and API architecture, and carries the narrative to the judges. The person who has to defend the rPPG honesty framing under Q&amp;A is the same person who built it — no gap between what was built and what gets pitched.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i w:val="false"/>
                <w:iCs w:val="false"/>
                <w:sz w:val="21"/>
                <w:szCs w:val="21"/>
              </w:rPr>
              <w:t xml:space="preserve">Oyediran Oluwaseun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Fullstack Developer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Bridges backend and frontend integration, owns the hospital-locator endpoint and the newborn-care info hub end-to-end, and floats to unblock whichever part of the stack is behind.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i w:val="false"/>
                <w:iCs w:val="false"/>
                <w:sz w:val="21"/>
                <w:szCs w:val="21"/>
              </w:rPr>
              <w:t xml:space="preserve">Ebiesuwa Sarah Ayopelumi</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Frontend Developer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Builds the camera-capture flow, checklist UI, and risk-result screens — the most demo-critical surfaces in the product, where clarity under a stressful moment matters most.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i w:val="false"/>
                <w:iCs w:val="false"/>
                <w:sz w:val="21"/>
                <w:szCs w:val="21"/>
              </w:rPr>
              <w:t xml:space="preserve">Udo-Okafor Chimchetaram Favour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UI/UX Designer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Designs the full user flow and the color-coded risk-tier system, with a deliberate focus on calm, icon-led, low-literacy-friendly visual language — critical for a tool used by an anxious new mother, not a power user.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2E8" w:val="clear"/>
            <w:tcMar>
              <w:top w:type="dxa" w:w="160"/>
              <w:left w:type="dxa" w:w="200"/>
              <w:bottom w:type="dxa" w:w="160"/>
              <w:right w:type="dxa" w:w="200"/>
            </w:tcMar>
          </w:tcPr>
          <w:p>
            <w:pPr>
              <w:spacing w:after="80"/>
            </w:pPr>
            <w:r>
              <w:rPr>
                <w:b/>
                <w:bCs/>
                <w:color w:val="7A1F3D"/>
              </w:rPr>
              <w:t xml:space="preserve">WHY THIS TEAM WORKS</w:t>
            </w:r>
          </w:p>
          <w:p>
            <w:r>
              <w:t xml:space="preserve">Four people, four clear lanes: a backend lead who also pitches (so the build and the story never diverge), a full-stack floater who removes bottlenecks, a frontend developer focused on the highest-stakes screens, and a designer whose entire brief is making a frightening moment feel calm. Nothing critical depends on a single point of failure.</w:t>
            </w:r>
          </w:p>
        </w:tc>
      </w:tr>
    </w:tbl>
    <w:p>
      <w:pPr>
        <w:spacing w:before="200"/>
      </w:pPr>
    </w:p>
    <w:p>
      <w:pPr>
        <w:pStyle w:val="Heading1"/>
      </w:pPr>
      <w:r>
        <w:t xml:space="preserve">6. Impact &amp; Alignment with Judging Criteria</w:t>
      </w:r>
    </w:p>
    <w:p>
      <w:pPr>
        <w:pStyle w:val="Heading2"/>
      </w:pPr>
      <w:r>
        <w:t xml:space="preserve">6.1  Direct Impact</w:t>
      </w:r>
    </w:p>
    <w:p>
      <w:pPr>
        <w:spacing w:after="160"/>
      </w:pPr>
      <w:r>
        <w:rPr>
          <w:b w:val="false"/>
          <w:bCs w:val="false"/>
          <w:i w:val="false"/>
          <w:iCs w:val="false"/>
        </w:rPr>
        <w:t xml:space="preserve">Hypertensive disorders already account for roughly a third of Nigeria's maternal deaths, and the literature is explicit that most are preventable with timely care. MamaGuard targets the exact structural gap — the six weeks after discharge where formal follow-up coverage sits below 42% nationally — where early detection has the highest leverage to prevent escalation to eclampsia.</w:t>
      </w:r>
    </w:p>
    <w:p>
      <w:pPr>
        <w:pStyle w:val="Heading2"/>
      </w:pPr>
      <w:r>
        <w:t xml:space="preserve">6.2  Health Equity</w:t>
      </w:r>
    </w:p>
    <w:p>
      <w:pPr>
        <w:spacing w:after="160"/>
      </w:pPr>
      <w:r>
        <w:rPr>
          <w:b w:val="false"/>
          <w:bCs w:val="false"/>
          <w:i w:val="false"/>
          <w:iCs w:val="false"/>
        </w:rPr>
        <w:t xml:space="preserve">With smartphone ownership above 80% and no requirement for expensive medical hardware, MamaGuard is usable by a mother in a rural primary health center catchment area as well as one in a private Lagos hospital — reaching exactly the population least likely to complete a scheduled clinic follow-up visit.</w:t>
      </w:r>
    </w:p>
    <w:p>
      <w:pPr>
        <w:pStyle w:val="Heading2"/>
      </w:pPr>
      <w:r>
        <w:t xml:space="preserve">6.3  Judging Rubric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c>
          <w:tcPr>
            <w:tcW w:type="dxa" w:w="150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Criterion</w:t>
            </w:r>
          </w:p>
        </w:tc>
        <w:tc>
          <w:tcPr>
            <w:tcW w:type="dxa" w:w="110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center"/>
            </w:pPr>
            <w:r>
              <w:rPr>
                <w:b/>
                <w:bCs/>
                <w:i w:val="false"/>
                <w:iCs w:val="false"/>
                <w:sz w:val="21"/>
                <w:szCs w:val="21"/>
              </w:rPr>
              <w:t xml:space="preserve">Weight</w:t>
            </w:r>
          </w:p>
        </w:tc>
        <w:tc>
          <w:tcPr>
            <w:tcW w:type="dxa" w:w="676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How MamaGuard Addresses It</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Problem Definition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i w:val="false"/>
                <w:iCs w:val="false"/>
                <w:sz w:val="21"/>
                <w:szCs w:val="21"/>
              </w:rPr>
              <w:t xml:space="preserve">25%</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Specific, data-backed problem statement: a named clinical window (first 7 days, up to 6 weeks), a named national coverage failure (37.1–41.8%), and a clear distinction from “hospitals are negligent” framing.</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Solution Quality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i w:val="false"/>
                <w:iCs w:val="false"/>
                <w:sz w:val="21"/>
                <w:szCs w:val="21"/>
              </w:rPr>
              <w:t xml:space="preserve">25%</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Two complementary, honestly-scoped signals (rPPG + WHO checklist) combined into one risk tier, with a direct escalation path — practical and original without overclaiming medical accuracy.</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Technical Execution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i w:val="false"/>
                <w:iCs w:val="false"/>
                <w:sz w:val="21"/>
                <w:szCs w:val="21"/>
              </w:rPr>
              <w:t xml:space="preserve">20%</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Working FastAPI risk engine, functioning rPPG heart-rate extraction from live camera input, and a real GPS-based hospital locator — a demoable end-to-end loop, not slideware.</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Business Viability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i w:val="false"/>
                <w:iCs w:val="false"/>
                <w:sz w:val="21"/>
                <w:szCs w:val="21"/>
              </w:rPr>
              <w:t xml:space="preserve">20%</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Hospital-at-discharge referral solves distribution and trust at zero cost to the hospital; realistic B2B2C payment anchored to existing NHIA infrastructure and HMO financial incentives — not a fictional consumer subscription in a 97%-uninsured market.</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Presentation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i w:val="false"/>
                <w:iCs w:val="false"/>
                <w:sz w:val="21"/>
                <w:szCs w:val="21"/>
              </w:rPr>
              <w:t xml:space="preserve">10%</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A pitcher who is also the backend lead, with rehearsed, honest answers to the hardest technical question (rPPG accuracy) prepared in advance.</w:t>
            </w:r>
          </w:p>
        </w:tc>
      </w:tr>
    </w:tbl>
    <w:p>
      <w:pPr>
        <w:spacing w:before="200"/>
      </w:pPr>
    </w:p>
    <w:p>
      <w:pPr>
        <w:pStyle w:val="Heading1"/>
      </w:pPr>
      <w:r>
        <w:t xml:space="preserve">7. Recommended 3-Minute Pitch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Time</w:t>
            </w:r>
          </w:p>
        </w:tc>
        <w:tc>
          <w:tcPr>
            <w:tcW w:type="dxa" w:w="7760"/>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vAlign w:val="center"/>
          </w:tcPr>
          <w:p>
            <w:pPr>
              <w:jc w:val="left"/>
            </w:pPr>
            <w:r>
              <w:rPr>
                <w:b/>
                <w:bCs/>
                <w:i w:val="false"/>
                <w:iCs w:val="false"/>
                <w:sz w:val="21"/>
                <w:szCs w:val="21"/>
              </w:rPr>
              <w:t xml:space="preserve">Content</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0:00 – 0:15</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HOOK: “A mother can be checked, cleared, and discharged — and still develop a life-threatening complication five days later, at home, with no one watching. That window is where MamaGuard lives.”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0:15 – 0:45</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PROBLEM: Hypertensive disorders cause ~32% of Nigerian maternal deaths. National postnatal follow-up coverage sits under 42%. The danger window and the coverage gap line up almost exactly.</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0:45 – 2:00</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SOLUTION + LIVE DEMO: Show the face scan capturing heart rate live. Walk through the checklist. Reveal the risk tier — on Urgent, show it pulling her live GPS location and instantly listing the nearest hospitals with directions. Name explicitly what the rPPG layer does NOT claim to measure.</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2:00 – 2:40</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BUSINESS MODEL: Hospitals recommend it free at discharge — zero cost, instant trust. HMOs and the NHIA's existing maternal health MOUs pay, not the mother, in a market where 97% have no insurance.</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2:40 – 3:00</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i w:val="false"/>
                <w:iCs w:val="false"/>
                <w:sz w:val="21"/>
                <w:szCs w:val="21"/>
              </w:rPr>
              <w:t xml:space="preserve">CLOSE: “We are not building a pregnancy app. We are building the six weeks of care Nigeria's system promises on paper but cannot deliver in practice.”</w:t>
            </w:r>
          </w:p>
        </w:tc>
      </w:tr>
    </w:tbl>
    <w:p>
      <w:pPr>
        <w:spacing w:before="200"/>
      </w:pPr>
    </w:p>
    <w:p>
      <w:pPr>
        <w:pStyle w:val="Heading2"/>
      </w:pPr>
      <w:r>
        <w:t xml:space="preserve">Anticipated Tough Questions — Prepared Answers</w:t>
      </w:r>
    </w:p>
    <w:p>
      <w:pPr>
        <w:spacing w:after="60"/>
      </w:pPr>
      <w:r>
        <w:rPr>
          <w:b/>
          <w:bCs/>
          <w:i w:val="false"/>
          <w:iCs w:val="false"/>
        </w:rPr>
        <w:t xml:space="preserve">“Can a phone camera really measure blood pressure?”</w:t>
      </w:r>
    </w:p>
    <w:p>
      <w:pPr>
        <w:spacing w:after="200"/>
      </w:pPr>
      <w:r>
        <w:rPr>
          <w:b w:val="false"/>
          <w:bCs w:val="false"/>
          <w:i w:val="false"/>
          <w:iCs w:val="false"/>
        </w:rPr>
        <w:t xml:space="preserve">Answer: No, and we do not claim it can. The face scan extracts heart rate and heart rate variability, which is well-established. Blood pressure estimation from rPPG alone remains research-grade. Our clinical confidence comes from the WHO-recognized danger-sign checklist, not from the face scan alone.</w:t>
      </w:r>
    </w:p>
    <w:p>
      <w:pPr>
        <w:spacing w:after="60"/>
      </w:pPr>
      <w:r>
        <w:rPr>
          <w:b/>
          <w:bCs/>
          <w:i w:val="false"/>
          <w:iCs w:val="false"/>
        </w:rPr>
        <w:t xml:space="preserve">“Hospitals already check BP before discharge — isn’t this redundant?”</w:t>
      </w:r>
    </w:p>
    <w:p>
      <w:pPr>
        <w:spacing w:after="200"/>
      </w:pPr>
      <w:r>
        <w:rPr>
          <w:b w:val="false"/>
          <w:bCs w:val="false"/>
          <w:i w:val="false"/>
          <w:iCs w:val="false"/>
        </w:rPr>
        <w:t xml:space="preserve">Answer: Correct, and that is exactly the point. The discharge check is a single moment in time. Postpartum preeclampsia most often develops in the first 7 days after that moment, and national postnatal follow-up coverage is below 42%. We are not duplicating the hospital's job — we are covering the weeks after it ends.</w:t>
      </w:r>
    </w:p>
    <w:p>
      <w:pPr>
        <w:spacing w:after="60"/>
      </w:pPr>
      <w:r>
        <w:rPr>
          <w:b/>
          <w:bCs/>
          <w:i w:val="false"/>
          <w:iCs w:val="false"/>
        </w:rPr>
        <w:t xml:space="preserve">“Who actually pays for this?”</w:t>
      </w:r>
    </w:p>
    <w:p>
      <w:pPr>
        <w:spacing w:after="200"/>
      </w:pPr>
      <w:r>
        <w:rPr>
          <w:b w:val="false"/>
          <w:bCs w:val="false"/>
          <w:i w:val="false"/>
          <w:iCs w:val="false"/>
        </w:rPr>
        <w:t xml:space="preserve">Answer: Not the mother directly — 97% of Nigerians have no health insurance. She gets it free, recommended by the hospital at discharge, which costs the hospital nothing and builds on trust she already has in her care team. The actual payer is one level up: HMOs and NHIA-aligned facilities, who already have a financial incentive to prevent the expensive emergency complications early detection avoids.</w:t>
      </w:r>
    </w:p>
    <w:p>
      <w:pPr>
        <w:spacing w:after="60"/>
      </w:pPr>
      <w:r>
        <w:rPr>
          <w:b/>
          <w:bCs/>
          <w:i w:val="false"/>
          <w:iCs w:val="false"/>
        </w:rPr>
        <w:t xml:space="preserve">“What happens if the risk engine gets it wrong?”</w:t>
      </w:r>
    </w:p>
    <w:p>
      <w:pPr>
        <w:spacing w:after="200"/>
      </w:pPr>
      <w:r>
        <w:rPr>
          <w:b w:val="false"/>
          <w:bCs w:val="false"/>
          <w:i w:val="false"/>
          <w:iCs w:val="false"/>
        </w:rPr>
        <w:t xml:space="preserve">Answer: The system is designed to err toward caution, not certainty — a borderline case is escalated to “Watch,” not dismissed as “Low.” It is explicitly a screening and triage tool that directs mothers to real care, never a replacement for a clinical diagnosis.</w:t>
      </w:r>
    </w:p>
    <w:p>
      <w:pPr>
        <w:spacing w:before="300"/>
      </w:pPr>
    </w:p>
    <w:p>
      <w:pPr>
        <w:pBdr>
          <w:bottom w:val="single" w:color="7A1F3D" w:sz="6" w:space="1"/>
        </w:pBdr>
        <w:spacing w:after="200" w:before="100"/>
      </w:pPr>
      <w:r>
        <w:t xml:space="preserve"/>
      </w:r>
    </w:p>
    <w:p>
      <w:pPr>
        <w:jc w:val="center"/>
      </w:pPr>
      <w:r>
        <w:rPr>
          <w:i/>
          <w:iCs/>
          <w:color w:val="555555"/>
        </w:rPr>
        <w:t xml:space="preserve">Every preventable postpartum death is a failure of follow-up, not a failure of medicine.</w:t>
      </w:r>
    </w:p>
    <w:p>
      <w:pPr>
        <w:spacing w:before="80"/>
        <w:jc w:val="center"/>
      </w:pPr>
      <w:r>
        <w:rPr>
          <w:b/>
          <w:bCs/>
          <w:color w:val="7A1F3D"/>
        </w:rPr>
        <w:t xml:space="preserve">MamaGuard exists to make that failure visible — and avoidable.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HER Hackathon 2026  |  NITHUB  |  Confidential Strategy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A1F3D" w:sz="6" w:space="4"/>
      </w:pBdr>
      <w:spacing w:after="200" w:before="360"/>
      <w:outlineLvl w:val="0"/>
    </w:pPr>
    <w:rPr>
      <w:rFonts w:ascii="Arial" w:cs="Arial" w:eastAsia="Arial" w:hAnsi="Arial"/>
      <w:b/>
      <w:bCs/>
      <w:color w:val="7A1F3D"/>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1A2E"/>
      <w:sz w:val="25"/>
      <w:szCs w:val="25"/>
    </w:rPr>
  </w:style>
  <w:style w:type="paragraph" w:styleId="Heading3">
    <w:name w:val="Heading 3"/>
    <w:basedOn w:val="Normal"/>
    <w:next w:val="Normal"/>
    <w:qFormat/>
    <w:pPr>
      <w:spacing w:after="100" w:before="180"/>
      <w:outlineLvl w:val="2"/>
    </w:pPr>
    <w:rPr>
      <w:rFonts w:ascii="Arial" w:cs="Arial" w:eastAsia="Arial" w:hAnsi="Arial"/>
      <w:b/>
      <w:bCs/>
      <w:i/>
      <w:iCs/>
      <w:color w:val="7A1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2026-06-24T21:02:23.239Z</dcterms:created>
  <dcterms:modified xsi:type="dcterms:W3CDTF">2026-06-24T21:02:23.255Z</dcterms:modified>
</cp:coreProperties>
</file>

<file path=docProps/custom.xml><?xml version="1.0" encoding="utf-8"?>
<Properties xmlns="http://schemas.openxmlformats.org/officeDocument/2006/custom-properties" xmlns:vt="http://schemas.openxmlformats.org/officeDocument/2006/docPropsVTypes"/>
</file>