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Как да създадем собствен AI модел за превод на документи</w:t>
      </w:r>
    </w:p>
    <w:p>
      <w:pPr>
        <w:spacing w:after="120"/>
      </w:pPr>
      <w:r>
        <w:rPr>
          <w:b/>
          <w:bCs/>
        </w:rPr>
        <w:t xml:space="preserve">Най-добрият път зависи от целта, но в повечето случаи не се създава модел от нулата, а се дообучава (fine-tune) готов. </w:t>
      </w:r>
      <w:r>
        <w:t xml:space="preserve">Обучението от нулата изисква милиарди изречения и огромни изчислителни ресурси.</w:t>
      </w:r>
    </w:p>
    <w:p>
      <w:pPr>
        <w:pStyle w:val="Heading1"/>
      </w:pPr>
      <w:r>
        <w:t xml:space="preserve">1. Определете изискванията</w:t>
      </w:r>
    </w:p>
    <w:p>
      <w:pPr>
        <w:pStyle w:val="ListParagraph"/>
        <w:numPr>
          <w:ilvl w:val="0"/>
          <w:numId w:val="2"/>
        </w:numPr>
      </w:pPr>
      <w:r>
        <w:t xml:space="preserve">Кои езикови двойки са ви нужни (напр. BG↔EN)?</w:t>
      </w:r>
    </w:p>
    <w:p>
      <w:pPr>
        <w:pStyle w:val="ListParagraph"/>
        <w:numPr>
          <w:ilvl w:val="0"/>
          <w:numId w:val="2"/>
        </w:numPr>
      </w:pPr>
      <w:r>
        <w:t xml:space="preserve">Каква област: юридически, технически, медицински, общи текстове?</w:t>
      </w:r>
    </w:p>
    <w:p>
      <w:pPr>
        <w:pStyle w:val="ListParagraph"/>
        <w:numPr>
          <w:ilvl w:val="0"/>
          <w:numId w:val="2"/>
        </w:numPr>
      </w:pPr>
      <w:r>
        <w:t xml:space="preserve">Какви са обемите, нужна ли е поверителност (локално изпълнение) и какъв е бюджетът за хардуер?</w:t>
      </w:r>
    </w:p>
    <w:p>
      <w:pPr>
        <w:pStyle w:val="Heading1"/>
      </w:pPr>
      <w:r>
        <w:t xml:space="preserve">2. Изберете базов модел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Специализирани MT модели: </w:t>
      </w:r>
      <w:r>
        <w:t xml:space="preserve">NLLB-200 (Meta), MADLAD-400 (Google), M2M100, Opus-MT/MarianMT. Малки и бързи, лесни за дообучаване. Opus-MT има готови модели за български.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Езикови модели (LLM): </w:t>
      </w:r>
      <w:r>
        <w:t xml:space="preserve">Llama, Qwen, Gemma или Mistral, дообучени с LoRA/QLoRA. Има и български модели като BgGPT на INSAIT. Дават по-добро качество при сложен контекст, но са по-тежки.</w:t>
      </w:r>
    </w:p>
    <w:p>
      <w:pPr>
        <w:spacing w:after="120"/>
      </w:pPr>
      <w:r>
        <w:t xml:space="preserve">Започнете с готов модел и измерете качеството му. Често дообучаването върху вашата терминология е достатъчно.</w:t>
      </w:r>
    </w:p>
    <w:p>
      <w:pPr>
        <w:pStyle w:val="Heading1"/>
      </w:pPr>
      <w:r>
        <w:t xml:space="preserve">3. Съберете данни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Публични паралелни корпуси </w:t>
      </w:r>
      <w:r>
        <w:t xml:space="preserve">(на opus.nlpl.eu): Europarl, JRC-Acquis, DGT-TM, ParaCrawl, OpenSubtitles, CCMatrix.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Собствени преводи: </w:t>
      </w:r>
      <w:r>
        <w:t xml:space="preserve">translation memory (TMX файлове) от преводаческа работа са най-ценният източник за вашата област.</w:t>
      </w:r>
    </w:p>
    <w:p>
      <w:pPr>
        <w:pStyle w:val="ListParagraph"/>
        <w:numPr>
          <w:ilvl w:val="0"/>
          <w:numId w:val="2"/>
        </w:numPr>
      </w:pPr>
      <w:r>
        <w:t xml:space="preserve">Почистете данните: премахнете дубликати, лошо подравнени двойки и грешни езици. Качеството на данните влияе повече от размера им.</w:t>
      </w:r>
    </w:p>
    <w:p>
      <w:pPr>
        <w:pStyle w:val="Heading1"/>
      </w:pPr>
      <w:r>
        <w:t xml:space="preserve">4. Дообучаване</w:t>
      </w:r>
    </w:p>
    <w:p>
      <w:pPr>
        <w:pStyle w:val="ListParagraph"/>
        <w:numPr>
          <w:ilvl w:val="0"/>
          <w:numId w:val="2"/>
        </w:numPr>
      </w:pPr>
      <w:r>
        <w:t xml:space="preserve">С Hugging Face Transformers (или Unsloth/Axolotl за LLM) и техники като LoRA/QLoRA можете да дообучавате и на една GPU с 16–24 GB памет.</w:t>
      </w:r>
    </w:p>
    <w:p>
      <w:pPr>
        <w:pStyle w:val="ListParagraph"/>
        <w:numPr>
          <w:ilvl w:val="0"/>
          <w:numId w:val="2"/>
        </w:numPr>
      </w:pPr>
      <w:r>
        <w:t xml:space="preserve">За по-големи модели ползвайте облак (RunPod, Lambda, Google Colab Pro, AWS).</w:t>
      </w:r>
    </w:p>
    <w:p>
      <w:pPr>
        <w:pStyle w:val="Heading1"/>
      </w:pPr>
      <w:r>
        <w:t xml:space="preserve">5. Оценка</w:t>
      </w:r>
    </w:p>
    <w:p>
      <w:pPr>
        <w:pStyle w:val="ListParagraph"/>
        <w:numPr>
          <w:ilvl w:val="0"/>
          <w:numId w:val="2"/>
        </w:numPr>
      </w:pPr>
      <w:r>
        <w:t xml:space="preserve">Автоматични метрики: </w:t>
      </w:r>
      <w:r>
        <w:rPr>
          <w:b/>
          <w:bCs/>
        </w:rPr>
        <w:t xml:space="preserve">chrF</w:t>
      </w:r>
      <w:r>
        <w:t xml:space="preserve">, </w:t>
      </w:r>
      <w:r>
        <w:rPr>
          <w:b/>
          <w:bCs/>
        </w:rPr>
        <w:t xml:space="preserve">BLEU</w:t>
      </w:r>
      <w:r>
        <w:t xml:space="preserve"> и най-добре </w:t>
      </w:r>
      <w:r>
        <w:rPr>
          <w:b/>
          <w:bCs/>
        </w:rPr>
        <w:t xml:space="preserve">COMET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t xml:space="preserve">Отделете тестов набор, който не участва в обучението, и накрая проверете с човешки преглед.</w:t>
      </w:r>
    </w:p>
    <w:p>
      <w:pPr>
        <w:pStyle w:val="Heading1"/>
      </w:pPr>
      <w:r>
        <w:t xml:space="preserve">6. Работа с цели документи</w:t>
      </w:r>
    </w:p>
    <w:p>
      <w:pPr>
        <w:spacing w:after="120"/>
      </w:pPr>
      <w:r>
        <w:t xml:space="preserve">Това често е по-трудната част от самия превод:</w:t>
      </w:r>
    </w:p>
    <w:p>
      <w:pPr>
        <w:pStyle w:val="ListParagraph"/>
        <w:numPr>
          <w:ilvl w:val="0"/>
          <w:numId w:val="2"/>
        </w:numPr>
      </w:pPr>
      <w:r>
        <w:t xml:space="preserve">Извличане на текст от DOCX/PDF (python-docx, PyMuPDF, OCR с Tesseract за сканирани файлове).</w:t>
      </w:r>
    </w:p>
    <w:p>
      <w:pPr>
        <w:pStyle w:val="ListParagraph"/>
        <w:numPr>
          <w:ilvl w:val="0"/>
          <w:numId w:val="2"/>
        </w:numPr>
      </w:pPr>
      <w:r>
        <w:t xml:space="preserve">Разделяне на изречения, превод и връщане в оригиналния формат (стилове, таблици, изображения).</w:t>
      </w:r>
    </w:p>
    <w:p>
      <w:pPr>
        <w:pStyle w:val="ListParagraph"/>
        <w:numPr>
          <w:ilvl w:val="0"/>
          <w:numId w:val="2"/>
        </w:numPr>
      </w:pPr>
      <w:r>
        <w:t xml:space="preserve">Консистентна терминология чрез глосар.</w:t>
      </w:r>
    </w:p>
    <w:p>
      <w:pPr>
        <w:pStyle w:val="Heading1"/>
      </w:pPr>
      <w:r>
        <w:t xml:space="preserve">7. Внедряване</w:t>
      </w:r>
    </w:p>
    <w:p>
      <w:pPr>
        <w:spacing w:after="120"/>
      </w:pPr>
      <w:r>
        <w:t xml:space="preserve">Конвертирайте модела с CTranslate2 (за MT модели) или vLLM/llama.cpp (за LLM) и го пуснете като API (FastAPI) с малък уеб интерфейс.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240"/>
    </w:pPr>
    <w:rPr>
      <w:rFonts w:ascii="Calibri" w:cs="Calibri" w:eastAsia="Calibri" w:hAnsi="Calibri"/>
      <w:b/>
      <w:bCs/>
      <w:color w:val="1F3864"/>
      <w:sz w:val="40"/>
      <w:szCs w:val="4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Calibri" w:cs="Calibri" w:eastAsia="Calibri" w:hAnsi="Calibri"/>
      <w:b/>
      <w:bCs/>
      <w:color w:val="2F549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2026-10-02T04:58:19.717Z</dcterms:created>
  <dcterms:modified xsi:type="dcterms:W3CDTF">2026-10-02T04:58:19.721Z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