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2F2F2" w:themeColor="background1" w:themeShade="F2"/>
  <w:body>
    <w:tbl>
      <w:tblPr>
        <w:tblStyle w:val="Mkatabulky"/>
        <w:tblW w:w="15546" w:type="dxa"/>
        <w:tblInd w:w="108" w:type="dxa"/>
        <w:tblBorders>
          <w:top w:val="single" w:sz="4" w:space="0" w:color="F2F2F2" w:themeColor="background1" w:themeShade="F2"/>
          <w:left w:val="single" w:sz="4" w:space="0" w:color="F2F2F2" w:themeColor="background1" w:themeShade="F2"/>
          <w:bottom w:val="single" w:sz="4" w:space="0" w:color="F2F2F2" w:themeColor="background1" w:themeShade="F2"/>
          <w:right w:val="single" w:sz="4" w:space="0" w:color="F2F2F2" w:themeColor="background1" w:themeShade="F2"/>
          <w:insideH w:val="single" w:sz="4" w:space="0" w:color="F2F2F2" w:themeColor="background1" w:themeShade="F2"/>
          <w:insideV w:val="single" w:sz="4" w:space="0" w:color="F2F2F2" w:themeColor="background1" w:themeShade="F2"/>
        </w:tblBorders>
        <w:shd w:val="clear" w:color="auto" w:fill="F3F3F3"/>
        <w:tblLayout w:type="fixed"/>
        <w:tblCellMar>
          <w:right w:w="113" w:type="dxa"/>
        </w:tblCellMar>
        <w:tblLook w:val="04A0" w:firstRow="1" w:lastRow="0" w:firstColumn="1" w:lastColumn="0" w:noHBand="0" w:noVBand="1"/>
      </w:tblPr>
      <w:tblGrid>
        <w:gridCol w:w="3119"/>
        <w:gridCol w:w="3071"/>
        <w:gridCol w:w="47"/>
        <w:gridCol w:w="1499"/>
        <w:gridCol w:w="1185"/>
        <w:gridCol w:w="406"/>
        <w:gridCol w:w="6"/>
        <w:gridCol w:w="2706"/>
        <w:gridCol w:w="397"/>
        <w:gridCol w:w="1856"/>
        <w:gridCol w:w="418"/>
        <w:gridCol w:w="836"/>
      </w:tblGrid>
      <w:tr w:rsidR="004B5316" w:rsidRPr="00F076D7" w14:paraId="632A693D" w14:textId="77777777" w:rsidTr="007C13A7">
        <w:trPr>
          <w:trHeight w:val="415"/>
        </w:trPr>
        <w:tc>
          <w:tcPr>
            <w:tcW w:w="3119" w:type="dxa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543A733E" w14:textId="77777777" w:rsidR="00B312C7" w:rsidRPr="00F076D7" w:rsidRDefault="00B312C7" w:rsidP="00B312C7">
            <w:pPr>
              <w:ind w:right="-944"/>
              <w:rPr>
                <w:rFonts w:ascii="Arial" w:hAnsi="Arial"/>
              </w:rPr>
            </w:pPr>
          </w:p>
        </w:tc>
        <w:tc>
          <w:tcPr>
            <w:tcW w:w="3071" w:type="dxa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6163E4D8" w14:textId="77777777" w:rsidR="00B312C7" w:rsidRPr="00F076D7" w:rsidRDefault="00B312C7" w:rsidP="00B312C7">
            <w:pPr>
              <w:ind w:right="-944"/>
              <w:rPr>
                <w:rFonts w:ascii="Arial" w:hAnsi="Arial"/>
              </w:rPr>
            </w:pPr>
          </w:p>
        </w:tc>
        <w:tc>
          <w:tcPr>
            <w:tcW w:w="3143" w:type="dxa"/>
            <w:gridSpan w:val="5"/>
            <w:tcBorders>
              <w:bottom w:val="single" w:sz="4" w:space="0" w:color="F2F2F2" w:themeColor="background1" w:themeShade="F2"/>
            </w:tcBorders>
            <w:shd w:val="clear" w:color="auto" w:fill="F3F3F3"/>
            <w:vAlign w:val="bottom"/>
          </w:tcPr>
          <w:p w14:paraId="504F0BB5" w14:textId="77777777" w:rsidR="00B312C7" w:rsidRPr="00480E3D" w:rsidRDefault="00B312C7" w:rsidP="00B312C7">
            <w:pPr>
              <w:ind w:right="-944"/>
              <w:rPr>
                <w:rFonts w:ascii="Arial" w:hAnsi="Arial"/>
                <w:i/>
                <w:sz w:val="18"/>
              </w:rPr>
            </w:pPr>
            <w:r w:rsidRPr="00480E3D">
              <w:rPr>
                <w:rFonts w:ascii="Arial" w:hAnsi="Arial"/>
                <w:i/>
                <w:sz w:val="18"/>
              </w:rPr>
              <w:t>Designed for:</w:t>
            </w:r>
          </w:p>
        </w:tc>
        <w:tc>
          <w:tcPr>
            <w:tcW w:w="3103" w:type="dxa"/>
            <w:gridSpan w:val="2"/>
            <w:tcBorders>
              <w:bottom w:val="single" w:sz="4" w:space="0" w:color="F2F2F2" w:themeColor="background1" w:themeShade="F2"/>
            </w:tcBorders>
            <w:shd w:val="clear" w:color="auto" w:fill="F3F3F3"/>
            <w:vAlign w:val="bottom"/>
          </w:tcPr>
          <w:p w14:paraId="03810569" w14:textId="77777777" w:rsidR="00B312C7" w:rsidRPr="00480E3D" w:rsidRDefault="00B312C7" w:rsidP="00F076D7">
            <w:pPr>
              <w:ind w:left="-51" w:right="-944"/>
              <w:rPr>
                <w:rFonts w:ascii="Arial" w:hAnsi="Arial"/>
                <w:i/>
                <w:sz w:val="18"/>
              </w:rPr>
            </w:pPr>
            <w:r w:rsidRPr="00480E3D">
              <w:rPr>
                <w:rFonts w:ascii="Arial" w:hAnsi="Arial"/>
                <w:i/>
                <w:sz w:val="18"/>
              </w:rPr>
              <w:t>Designed by:</w:t>
            </w:r>
          </w:p>
        </w:tc>
        <w:tc>
          <w:tcPr>
            <w:tcW w:w="2274" w:type="dxa"/>
            <w:gridSpan w:val="2"/>
            <w:tcBorders>
              <w:bottom w:val="single" w:sz="4" w:space="0" w:color="F2F2F2" w:themeColor="background1" w:themeShade="F2"/>
            </w:tcBorders>
            <w:shd w:val="clear" w:color="auto" w:fill="F3F3F3"/>
            <w:vAlign w:val="bottom"/>
          </w:tcPr>
          <w:p w14:paraId="07B93AC8" w14:textId="77777777" w:rsidR="00B312C7" w:rsidRPr="00480E3D" w:rsidRDefault="00B312C7" w:rsidP="00F076D7">
            <w:pPr>
              <w:ind w:left="-80" w:right="-944"/>
              <w:rPr>
                <w:rFonts w:ascii="Arial" w:hAnsi="Arial"/>
                <w:i/>
                <w:sz w:val="18"/>
              </w:rPr>
            </w:pPr>
            <w:r w:rsidRPr="00480E3D">
              <w:rPr>
                <w:rFonts w:ascii="Arial" w:hAnsi="Arial"/>
                <w:i/>
                <w:sz w:val="18"/>
              </w:rPr>
              <w:t>Date:</w:t>
            </w:r>
          </w:p>
        </w:tc>
        <w:tc>
          <w:tcPr>
            <w:tcW w:w="836" w:type="dxa"/>
            <w:tcBorders>
              <w:bottom w:val="single" w:sz="4" w:space="0" w:color="F2F2F2" w:themeColor="background1" w:themeShade="F2"/>
            </w:tcBorders>
            <w:shd w:val="clear" w:color="auto" w:fill="F3F3F3"/>
            <w:vAlign w:val="bottom"/>
          </w:tcPr>
          <w:p w14:paraId="6810AF85" w14:textId="77777777" w:rsidR="00B312C7" w:rsidRPr="00480E3D" w:rsidRDefault="00B312C7" w:rsidP="00F076D7">
            <w:pPr>
              <w:ind w:left="-108" w:right="-944"/>
              <w:rPr>
                <w:rFonts w:ascii="Arial" w:hAnsi="Arial"/>
                <w:i/>
                <w:sz w:val="18"/>
              </w:rPr>
            </w:pPr>
            <w:r w:rsidRPr="00480E3D">
              <w:rPr>
                <w:rFonts w:ascii="Arial" w:hAnsi="Arial"/>
                <w:i/>
                <w:sz w:val="18"/>
              </w:rPr>
              <w:t>Version</w:t>
            </w:r>
            <w:r w:rsidR="00F076D7" w:rsidRPr="00480E3D">
              <w:rPr>
                <w:rFonts w:ascii="Arial" w:hAnsi="Arial"/>
                <w:i/>
                <w:sz w:val="18"/>
              </w:rPr>
              <w:t>:</w:t>
            </w:r>
          </w:p>
        </w:tc>
      </w:tr>
      <w:tr w:rsidR="004B5316" w:rsidRPr="00F076D7" w14:paraId="3E249D38" w14:textId="77777777" w:rsidTr="007C13A7">
        <w:trPr>
          <w:trHeight w:val="415"/>
        </w:trPr>
        <w:tc>
          <w:tcPr>
            <w:tcW w:w="6190" w:type="dxa"/>
            <w:gridSpan w:val="2"/>
            <w:shd w:val="clear" w:color="auto" w:fill="F3F3F3"/>
            <w:vAlign w:val="center"/>
          </w:tcPr>
          <w:p w14:paraId="6D1446E3" w14:textId="0A5BB16F" w:rsidR="009505CB" w:rsidRPr="00000413" w:rsidRDefault="009505CB" w:rsidP="00B312C7">
            <w:pPr>
              <w:ind w:right="-944"/>
              <w:rPr>
                <w:rFonts w:ascii="Arial" w:hAnsi="Arial"/>
                <w:sz w:val="36"/>
              </w:rPr>
            </w:pPr>
            <w:r w:rsidRPr="00000413">
              <w:rPr>
                <w:rFonts w:ascii="Arial" w:hAnsi="Arial"/>
                <w:b/>
                <w:sz w:val="36"/>
              </w:rPr>
              <w:t xml:space="preserve">Business Model </w:t>
            </w:r>
          </w:p>
        </w:tc>
        <w:tc>
          <w:tcPr>
            <w:tcW w:w="2731" w:type="dxa"/>
            <w:gridSpan w:val="3"/>
            <w:tcBorders>
              <w:bottom w:val="single" w:sz="4" w:space="0" w:color="F2F2F2" w:themeColor="background1" w:themeShade="F2"/>
            </w:tcBorders>
            <w:shd w:val="clear" w:color="auto" w:fill="FFFFFF"/>
            <w:vAlign w:val="center"/>
          </w:tcPr>
          <w:p w14:paraId="3DF06ABA" w14:textId="77777777" w:rsidR="009505CB" w:rsidRPr="00F076D7" w:rsidRDefault="009505CB" w:rsidP="00F076D7">
            <w:pPr>
              <w:ind w:right="-944"/>
              <w:rPr>
                <w:rFonts w:ascii="Arial" w:hAnsi="Arial"/>
              </w:rPr>
            </w:pPr>
          </w:p>
        </w:tc>
        <w:tc>
          <w:tcPr>
            <w:tcW w:w="412" w:type="dxa"/>
            <w:gridSpan w:val="2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4B3B2993" w14:textId="77777777" w:rsidR="009505CB" w:rsidRPr="00F076D7" w:rsidRDefault="009505CB" w:rsidP="00F076D7">
            <w:pPr>
              <w:ind w:right="-944"/>
              <w:rPr>
                <w:rFonts w:ascii="Arial" w:hAnsi="Arial"/>
              </w:rPr>
            </w:pPr>
          </w:p>
        </w:tc>
        <w:tc>
          <w:tcPr>
            <w:tcW w:w="2706" w:type="dxa"/>
            <w:tcBorders>
              <w:bottom w:val="single" w:sz="4" w:space="0" w:color="F2F2F2" w:themeColor="background1" w:themeShade="F2"/>
            </w:tcBorders>
            <w:shd w:val="clear" w:color="auto" w:fill="FFFFFF"/>
            <w:vAlign w:val="center"/>
          </w:tcPr>
          <w:p w14:paraId="012D179B" w14:textId="77777777" w:rsidR="009505CB" w:rsidRPr="00F076D7" w:rsidRDefault="009505CB" w:rsidP="00F076D7">
            <w:pPr>
              <w:ind w:right="-944"/>
              <w:rPr>
                <w:rFonts w:ascii="Arial" w:hAnsi="Arial"/>
              </w:rPr>
            </w:pPr>
          </w:p>
        </w:tc>
        <w:tc>
          <w:tcPr>
            <w:tcW w:w="397" w:type="dxa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37B6DB99" w14:textId="5B215530" w:rsidR="009505CB" w:rsidRPr="00F076D7" w:rsidRDefault="009505CB" w:rsidP="00F076D7">
            <w:pPr>
              <w:ind w:right="-944"/>
              <w:rPr>
                <w:rFonts w:ascii="Arial" w:hAnsi="Arial"/>
              </w:rPr>
            </w:pPr>
          </w:p>
        </w:tc>
        <w:tc>
          <w:tcPr>
            <w:tcW w:w="1856" w:type="dxa"/>
            <w:tcBorders>
              <w:bottom w:val="single" w:sz="4" w:space="0" w:color="F2F2F2" w:themeColor="background1" w:themeShade="F2"/>
            </w:tcBorders>
            <w:shd w:val="clear" w:color="auto" w:fill="FFFFFF"/>
            <w:vAlign w:val="center"/>
          </w:tcPr>
          <w:p w14:paraId="7D134556" w14:textId="77777777" w:rsidR="009505CB" w:rsidRPr="00F076D7" w:rsidRDefault="009505CB" w:rsidP="00F076D7">
            <w:pPr>
              <w:ind w:right="-944"/>
              <w:rPr>
                <w:rFonts w:ascii="Arial" w:hAnsi="Arial"/>
              </w:rPr>
            </w:pPr>
          </w:p>
        </w:tc>
        <w:tc>
          <w:tcPr>
            <w:tcW w:w="418" w:type="dxa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6757DC64" w14:textId="77777777" w:rsidR="009505CB" w:rsidRPr="00F076D7" w:rsidRDefault="009505CB" w:rsidP="00F076D7">
            <w:pPr>
              <w:ind w:right="-944"/>
              <w:rPr>
                <w:rFonts w:ascii="Arial" w:hAnsi="Arial"/>
              </w:rPr>
            </w:pPr>
          </w:p>
        </w:tc>
        <w:tc>
          <w:tcPr>
            <w:tcW w:w="836" w:type="dxa"/>
            <w:tcBorders>
              <w:bottom w:val="single" w:sz="4" w:space="0" w:color="F2F2F2" w:themeColor="background1" w:themeShade="F2"/>
            </w:tcBorders>
            <w:shd w:val="clear" w:color="auto" w:fill="FFFFFF"/>
            <w:vAlign w:val="center"/>
          </w:tcPr>
          <w:p w14:paraId="30AED4C0" w14:textId="77777777" w:rsidR="009505CB" w:rsidRPr="00F076D7" w:rsidRDefault="009505CB" w:rsidP="00F076D7">
            <w:pPr>
              <w:ind w:right="-944"/>
              <w:rPr>
                <w:rFonts w:ascii="Arial" w:hAnsi="Arial"/>
              </w:rPr>
            </w:pPr>
          </w:p>
        </w:tc>
      </w:tr>
      <w:tr w:rsidR="004B5316" w:rsidRPr="00F076D7" w14:paraId="75E6A49A" w14:textId="77777777" w:rsidTr="007C13A7">
        <w:trPr>
          <w:trHeight w:val="262"/>
        </w:trPr>
        <w:tc>
          <w:tcPr>
            <w:tcW w:w="3119" w:type="dxa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1DB05486" w14:textId="77777777" w:rsidR="00B312C7" w:rsidRPr="00F076D7" w:rsidRDefault="00B312C7" w:rsidP="00B312C7">
            <w:pPr>
              <w:ind w:right="-944"/>
              <w:rPr>
                <w:rFonts w:ascii="Arial" w:hAnsi="Arial"/>
              </w:rPr>
            </w:pPr>
          </w:p>
        </w:tc>
        <w:tc>
          <w:tcPr>
            <w:tcW w:w="3071" w:type="dxa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10A750BB" w14:textId="77777777" w:rsidR="00B312C7" w:rsidRPr="00F076D7" w:rsidRDefault="00B312C7" w:rsidP="00B312C7">
            <w:pPr>
              <w:ind w:right="-944"/>
              <w:rPr>
                <w:rFonts w:ascii="Arial" w:hAnsi="Arial"/>
              </w:rPr>
            </w:pPr>
          </w:p>
        </w:tc>
        <w:tc>
          <w:tcPr>
            <w:tcW w:w="3143" w:type="dxa"/>
            <w:gridSpan w:val="5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7DD0C450" w14:textId="77777777" w:rsidR="00B312C7" w:rsidRPr="00F076D7" w:rsidRDefault="00B312C7" w:rsidP="00B312C7">
            <w:pPr>
              <w:ind w:right="-944"/>
              <w:rPr>
                <w:rFonts w:ascii="Arial" w:hAnsi="Arial"/>
              </w:rPr>
            </w:pPr>
          </w:p>
        </w:tc>
        <w:tc>
          <w:tcPr>
            <w:tcW w:w="3103" w:type="dxa"/>
            <w:gridSpan w:val="2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4D081B9C" w14:textId="77777777" w:rsidR="00B312C7" w:rsidRPr="00F076D7" w:rsidRDefault="00B312C7" w:rsidP="00B312C7">
            <w:pPr>
              <w:ind w:right="-944"/>
              <w:rPr>
                <w:rFonts w:ascii="Arial" w:hAnsi="Arial"/>
              </w:rPr>
            </w:pPr>
          </w:p>
        </w:tc>
        <w:tc>
          <w:tcPr>
            <w:tcW w:w="3110" w:type="dxa"/>
            <w:gridSpan w:val="3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4B1814E6" w14:textId="77777777" w:rsidR="00B312C7" w:rsidRPr="00F076D7" w:rsidRDefault="00B312C7" w:rsidP="00B312C7">
            <w:pPr>
              <w:ind w:right="-944"/>
              <w:rPr>
                <w:rFonts w:ascii="Arial" w:hAnsi="Arial"/>
              </w:rPr>
            </w:pPr>
          </w:p>
        </w:tc>
      </w:tr>
      <w:tr w:rsidR="004B5316" w:rsidRPr="00F076D7" w14:paraId="4247E5D5" w14:textId="77777777" w:rsidTr="00031262">
        <w:trPr>
          <w:trHeight w:val="266"/>
        </w:trPr>
        <w:tc>
          <w:tcPr>
            <w:tcW w:w="3119" w:type="dxa"/>
            <w:tcBorders>
              <w:bottom w:val="nil"/>
            </w:tcBorders>
            <w:shd w:val="clear" w:color="auto" w:fill="FFFFFF"/>
          </w:tcPr>
          <w:p w14:paraId="2C459B1D" w14:textId="05BEF8CE" w:rsidR="00B312C7" w:rsidRPr="00000413" w:rsidRDefault="00C14D5E" w:rsidP="00031262">
            <w:pPr>
              <w:ind w:right="-944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Klíčová partnertsví</w:t>
            </w:r>
          </w:p>
        </w:tc>
        <w:tc>
          <w:tcPr>
            <w:tcW w:w="3118" w:type="dxa"/>
            <w:gridSpan w:val="2"/>
            <w:tcBorders>
              <w:bottom w:val="nil"/>
            </w:tcBorders>
            <w:shd w:val="clear" w:color="auto" w:fill="FFFFFF"/>
          </w:tcPr>
          <w:p w14:paraId="055C620F" w14:textId="020E278F" w:rsidR="00B312C7" w:rsidRPr="00000413" w:rsidRDefault="003C2FF9" w:rsidP="00031262">
            <w:pPr>
              <w:ind w:right="-944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Klíčové aktivity</w:t>
            </w:r>
          </w:p>
        </w:tc>
        <w:tc>
          <w:tcPr>
            <w:tcW w:w="3090" w:type="dxa"/>
            <w:gridSpan w:val="3"/>
            <w:tcBorders>
              <w:bottom w:val="nil"/>
            </w:tcBorders>
            <w:shd w:val="clear" w:color="auto" w:fill="FFFFFF"/>
          </w:tcPr>
          <w:p w14:paraId="442A879B" w14:textId="266A8F4B" w:rsidR="00B312C7" w:rsidRPr="00000413" w:rsidRDefault="003C2FF9" w:rsidP="00031262">
            <w:pPr>
              <w:ind w:right="-944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Poskytovaná hodnota</w:t>
            </w:r>
          </w:p>
        </w:tc>
        <w:tc>
          <w:tcPr>
            <w:tcW w:w="3109" w:type="dxa"/>
            <w:gridSpan w:val="3"/>
            <w:tcBorders>
              <w:bottom w:val="nil"/>
            </w:tcBorders>
            <w:shd w:val="clear" w:color="auto" w:fill="FFFFFF"/>
          </w:tcPr>
          <w:p w14:paraId="2EA11AF4" w14:textId="4F23746E" w:rsidR="00B312C7" w:rsidRPr="00000413" w:rsidRDefault="003C2FF9" w:rsidP="00031262">
            <w:pPr>
              <w:ind w:right="-944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Vztahy se zákazníky</w:t>
            </w:r>
          </w:p>
        </w:tc>
        <w:tc>
          <w:tcPr>
            <w:tcW w:w="3110" w:type="dxa"/>
            <w:gridSpan w:val="3"/>
            <w:tcBorders>
              <w:bottom w:val="nil"/>
            </w:tcBorders>
            <w:shd w:val="clear" w:color="auto" w:fill="FFFFFF"/>
          </w:tcPr>
          <w:p w14:paraId="7593CDB7" w14:textId="2DAEC2A7" w:rsidR="00B312C7" w:rsidRPr="00000413" w:rsidRDefault="003C2FF9" w:rsidP="00031262">
            <w:pPr>
              <w:ind w:right="-944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Zákaznické segmenty</w:t>
            </w:r>
          </w:p>
        </w:tc>
      </w:tr>
      <w:tr w:rsidR="004B5316" w:rsidRPr="00F076D7" w14:paraId="15F1698E" w14:textId="77777777" w:rsidTr="00480E3D">
        <w:trPr>
          <w:trHeight w:val="2677"/>
        </w:trPr>
        <w:tc>
          <w:tcPr>
            <w:tcW w:w="3119" w:type="dxa"/>
            <w:vMerge w:val="restart"/>
            <w:tcBorders>
              <w:top w:val="nil"/>
            </w:tcBorders>
            <w:shd w:val="clear" w:color="auto" w:fill="FFFFFF"/>
          </w:tcPr>
          <w:p w14:paraId="45D70519" w14:textId="38287EF0" w:rsidR="00F45E60" w:rsidRDefault="005E0E81" w:rsidP="005E4A07">
            <w:pPr>
              <w:pStyle w:val="Normlnweb"/>
              <w:numPr>
                <w:ilvl w:val="0"/>
                <w:numId w:val="8"/>
              </w:numPr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>Spojení s</w:t>
            </w:r>
            <w:r w:rsidR="00F45E60">
              <w:rPr>
                <w:color w:val="000000"/>
              </w:rPr>
              <w:t> </w:t>
            </w:r>
            <w:r>
              <w:rPr>
                <w:color w:val="000000"/>
              </w:rPr>
              <w:t>VŠPJ</w:t>
            </w:r>
          </w:p>
          <w:p w14:paraId="3AC08449" w14:textId="77777777" w:rsidR="00F45E60" w:rsidRDefault="00F45E60" w:rsidP="005E4A07">
            <w:pPr>
              <w:pStyle w:val="Normlnweb"/>
              <w:numPr>
                <w:ilvl w:val="0"/>
                <w:numId w:val="8"/>
              </w:numPr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>K</w:t>
            </w:r>
            <w:r w:rsidR="005E0E81">
              <w:rPr>
                <w:color w:val="000000"/>
              </w:rPr>
              <w:t>rajským úřadem</w:t>
            </w:r>
          </w:p>
          <w:p w14:paraId="32BBD459" w14:textId="77777777" w:rsidR="00F45E60" w:rsidRDefault="00F45E60" w:rsidP="005E4A07">
            <w:pPr>
              <w:pStyle w:val="Normlnweb"/>
              <w:numPr>
                <w:ilvl w:val="0"/>
                <w:numId w:val="8"/>
              </w:numPr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>K</w:t>
            </w:r>
            <w:r w:rsidR="005E0E81">
              <w:rPr>
                <w:color w:val="000000"/>
              </w:rPr>
              <w:t>nihovnou</w:t>
            </w:r>
          </w:p>
          <w:p w14:paraId="58F09841" w14:textId="02417E58" w:rsidR="000940E4" w:rsidRDefault="00F45E60" w:rsidP="005E4A07">
            <w:pPr>
              <w:pStyle w:val="Normlnweb"/>
              <w:numPr>
                <w:ilvl w:val="0"/>
                <w:numId w:val="8"/>
              </w:numPr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>R</w:t>
            </w:r>
            <w:r w:rsidR="005E0E81">
              <w:rPr>
                <w:color w:val="000000"/>
              </w:rPr>
              <w:t>edakcemi časopisů domácích a zahraničních (i impaktovaných)</w:t>
            </w:r>
          </w:p>
          <w:p w14:paraId="5B48FC10" w14:textId="59C40FC4" w:rsidR="00F076D7" w:rsidRPr="00F076D7" w:rsidRDefault="00F076D7" w:rsidP="00031262">
            <w:pPr>
              <w:rPr>
                <w:rFonts w:ascii="Arial" w:hAnsi="Arial"/>
              </w:rPr>
            </w:pPr>
          </w:p>
        </w:tc>
        <w:tc>
          <w:tcPr>
            <w:tcW w:w="3118" w:type="dxa"/>
            <w:gridSpan w:val="2"/>
            <w:tcBorders>
              <w:top w:val="nil"/>
              <w:bottom w:val="single" w:sz="4" w:space="0" w:color="F2F2F2" w:themeColor="background1" w:themeShade="F2"/>
            </w:tcBorders>
            <w:shd w:val="clear" w:color="auto" w:fill="FFFFFF"/>
          </w:tcPr>
          <w:p w14:paraId="1F54F7A8" w14:textId="6EC28E6B" w:rsidR="00F45E60" w:rsidRDefault="00F45E60" w:rsidP="005E4A07">
            <w:pPr>
              <w:pStyle w:val="Normlnweb"/>
              <w:numPr>
                <w:ilvl w:val="0"/>
                <w:numId w:val="8"/>
              </w:numPr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>Vytvoření webu a jeho pravidelná aktualizace</w:t>
            </w:r>
          </w:p>
          <w:p w14:paraId="79D9A41A" w14:textId="4C5C764B" w:rsidR="000940E4" w:rsidRDefault="00F45E60" w:rsidP="005E4A07">
            <w:pPr>
              <w:pStyle w:val="Normlnweb"/>
              <w:numPr>
                <w:ilvl w:val="0"/>
                <w:numId w:val="8"/>
              </w:numPr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>Komunikace s autory článků</w:t>
            </w:r>
          </w:p>
          <w:p w14:paraId="24F54CD1" w14:textId="7ADACED2" w:rsidR="000940E4" w:rsidRPr="005E4A07" w:rsidRDefault="00F45E60" w:rsidP="005E4A07">
            <w:pPr>
              <w:pStyle w:val="Odstavecseseznamem"/>
              <w:numPr>
                <w:ilvl w:val="0"/>
                <w:numId w:val="8"/>
              </w:numPr>
              <w:rPr>
                <w:color w:val="000000"/>
              </w:rPr>
            </w:pPr>
            <w:r w:rsidRPr="005E4A07">
              <w:rPr>
                <w:color w:val="000000"/>
              </w:rPr>
              <w:t>Údžba sociálních sítí</w:t>
            </w:r>
          </w:p>
          <w:p w14:paraId="373D36F7" w14:textId="5E095EE7" w:rsidR="00F45E60" w:rsidRPr="005E4A07" w:rsidRDefault="00F45E60" w:rsidP="005E4A07">
            <w:pPr>
              <w:pStyle w:val="Odstavecseseznamem"/>
              <w:numPr>
                <w:ilvl w:val="0"/>
                <w:numId w:val="8"/>
              </w:numPr>
              <w:rPr>
                <w:color w:val="000000"/>
              </w:rPr>
            </w:pPr>
            <w:r w:rsidRPr="005E4A07">
              <w:rPr>
                <w:color w:val="000000"/>
              </w:rPr>
              <w:t>Konzultace s autory článků a čtenáři</w:t>
            </w:r>
          </w:p>
          <w:p w14:paraId="19FAC9EE" w14:textId="33630C3F" w:rsidR="00F076D7" w:rsidRPr="00F83D4F" w:rsidRDefault="00F076D7" w:rsidP="00031262">
            <w:pPr>
              <w:rPr>
                <w:rFonts w:ascii="Arial" w:hAnsi="Arial"/>
                <w:color w:val="808080" w:themeColor="background1" w:themeShade="80"/>
                <w:sz w:val="20"/>
              </w:rPr>
            </w:pPr>
          </w:p>
        </w:tc>
        <w:tc>
          <w:tcPr>
            <w:tcW w:w="3096" w:type="dxa"/>
            <w:gridSpan w:val="4"/>
            <w:vMerge w:val="restart"/>
            <w:tcBorders>
              <w:top w:val="nil"/>
            </w:tcBorders>
            <w:shd w:val="clear" w:color="auto" w:fill="FFFFFF"/>
          </w:tcPr>
          <w:p w14:paraId="599159CC" w14:textId="4B11524A" w:rsidR="000940E4" w:rsidRDefault="00F45E60" w:rsidP="005E4A07">
            <w:pPr>
              <w:pStyle w:val="Normlnweb"/>
              <w:numPr>
                <w:ilvl w:val="0"/>
                <w:numId w:val="10"/>
              </w:numPr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>Aktuální články – reagují na nové podněty v publikovaných oblastech</w:t>
            </w:r>
          </w:p>
          <w:p w14:paraId="3888F5D0" w14:textId="1E8905C3" w:rsidR="00F45E60" w:rsidRDefault="00F45E60" w:rsidP="005E4A07">
            <w:pPr>
              <w:pStyle w:val="Normlnweb"/>
              <w:numPr>
                <w:ilvl w:val="0"/>
                <w:numId w:val="10"/>
              </w:numPr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>Kvalita publikovaných článků a jejich věrohodnost a odbornost</w:t>
            </w:r>
          </w:p>
          <w:p w14:paraId="16E2DBAB" w14:textId="22478099" w:rsidR="000940E4" w:rsidRDefault="00F45E60" w:rsidP="005E4A07">
            <w:pPr>
              <w:pStyle w:val="Normlnweb"/>
              <w:numPr>
                <w:ilvl w:val="0"/>
                <w:numId w:val="10"/>
              </w:numPr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>Přístup k článkům je jednoduchý (web nepadá)</w:t>
            </w:r>
          </w:p>
          <w:p w14:paraId="2C1D410E" w14:textId="6ACC225C" w:rsidR="00F45E60" w:rsidRDefault="00F45E60" w:rsidP="005E4A07">
            <w:pPr>
              <w:pStyle w:val="Normlnweb"/>
              <w:numPr>
                <w:ilvl w:val="0"/>
                <w:numId w:val="10"/>
              </w:numPr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>Intuitivní pro uživatele</w:t>
            </w:r>
          </w:p>
          <w:p w14:paraId="64BA3FA7" w14:textId="4DB976A4" w:rsidR="00F45E60" w:rsidRDefault="00F45E60" w:rsidP="005E4A07">
            <w:pPr>
              <w:pStyle w:val="Normlnweb"/>
              <w:numPr>
                <w:ilvl w:val="0"/>
                <w:numId w:val="10"/>
              </w:numPr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>Profesionální webové stránky</w:t>
            </w:r>
          </w:p>
          <w:p w14:paraId="45217A50" w14:textId="6ABAEDD2" w:rsidR="00F076D7" w:rsidRPr="005E4A07" w:rsidRDefault="00F076D7" w:rsidP="005E4A07">
            <w:pPr>
              <w:ind w:left="360"/>
              <w:rPr>
                <w:rFonts w:ascii="Arial" w:hAnsi="Arial"/>
                <w:color w:val="808080" w:themeColor="background1" w:themeShade="80"/>
                <w:sz w:val="20"/>
              </w:rPr>
            </w:pPr>
          </w:p>
        </w:tc>
        <w:tc>
          <w:tcPr>
            <w:tcW w:w="3103" w:type="dxa"/>
            <w:gridSpan w:val="2"/>
            <w:tcBorders>
              <w:top w:val="nil"/>
              <w:bottom w:val="single" w:sz="4" w:space="0" w:color="F2F2F2" w:themeColor="background1" w:themeShade="F2"/>
            </w:tcBorders>
            <w:shd w:val="clear" w:color="auto" w:fill="FFFFFF"/>
          </w:tcPr>
          <w:p w14:paraId="162A05F1" w14:textId="2DF122C4" w:rsidR="000940E4" w:rsidRPr="005E4A07" w:rsidRDefault="000940E4" w:rsidP="005E4A07">
            <w:pPr>
              <w:pStyle w:val="Odstavecseseznamem"/>
              <w:numPr>
                <w:ilvl w:val="0"/>
                <w:numId w:val="10"/>
              </w:numPr>
              <w:rPr>
                <w:color w:val="000000"/>
              </w:rPr>
            </w:pPr>
            <w:r w:rsidRPr="005E4A07">
              <w:rPr>
                <w:color w:val="000000"/>
              </w:rPr>
              <w:t>Osobní asistence – formy konzultace (výběr článků podle kritérií)</w:t>
            </w:r>
          </w:p>
          <w:p w14:paraId="46D1DED3" w14:textId="797DD204" w:rsidR="000940E4" w:rsidRPr="005E4A07" w:rsidRDefault="000940E4" w:rsidP="005E4A07">
            <w:pPr>
              <w:pStyle w:val="Odstavecseseznamem"/>
              <w:numPr>
                <w:ilvl w:val="0"/>
                <w:numId w:val="10"/>
              </w:numPr>
              <w:rPr>
                <w:color w:val="000000"/>
              </w:rPr>
            </w:pPr>
            <w:r w:rsidRPr="005E4A07">
              <w:rPr>
                <w:color w:val="000000"/>
              </w:rPr>
              <w:t>Navigace na domovských stránkách</w:t>
            </w:r>
          </w:p>
          <w:p w14:paraId="6AEECFDF" w14:textId="12E8F2FF" w:rsidR="000940E4" w:rsidRPr="005E4A07" w:rsidRDefault="000940E4" w:rsidP="005E4A07">
            <w:pPr>
              <w:pStyle w:val="Odstavecseseznamem"/>
              <w:numPr>
                <w:ilvl w:val="0"/>
                <w:numId w:val="10"/>
              </w:numPr>
              <w:rPr>
                <w:color w:val="000000"/>
              </w:rPr>
            </w:pPr>
            <w:r w:rsidRPr="005E4A07">
              <w:rPr>
                <w:color w:val="000000"/>
              </w:rPr>
              <w:t>Helpdesk</w:t>
            </w:r>
          </w:p>
          <w:p w14:paraId="0DBEEB45" w14:textId="14EBE1D7" w:rsidR="000940E4" w:rsidRPr="005E4A07" w:rsidRDefault="000940E4" w:rsidP="005E4A07">
            <w:pPr>
              <w:pStyle w:val="Odstavecseseznamem"/>
              <w:numPr>
                <w:ilvl w:val="0"/>
                <w:numId w:val="10"/>
              </w:numPr>
              <w:rPr>
                <w:color w:val="000000"/>
              </w:rPr>
            </w:pPr>
            <w:r w:rsidRPr="005E4A07">
              <w:rPr>
                <w:color w:val="000000"/>
              </w:rPr>
              <w:t>Komunita čtenářů a jejich podpora na sociálních sítích</w:t>
            </w:r>
          </w:p>
          <w:p w14:paraId="3843C368" w14:textId="73110557" w:rsidR="000940E4" w:rsidRPr="005E4A07" w:rsidRDefault="000940E4" w:rsidP="005E4A07">
            <w:pPr>
              <w:pStyle w:val="Odstavecseseznamem"/>
              <w:numPr>
                <w:ilvl w:val="0"/>
                <w:numId w:val="10"/>
              </w:numPr>
              <w:rPr>
                <w:color w:val="000000"/>
              </w:rPr>
            </w:pPr>
            <w:r w:rsidRPr="005E4A07">
              <w:rPr>
                <w:color w:val="000000"/>
              </w:rPr>
              <w:t>Komunita čtenářů domovských stránkách</w:t>
            </w:r>
          </w:p>
          <w:p w14:paraId="6F06C75D" w14:textId="5698F3D8" w:rsidR="000940E4" w:rsidRPr="005E4A07" w:rsidRDefault="000940E4" w:rsidP="005E4A07">
            <w:pPr>
              <w:pStyle w:val="Odstavecseseznamem"/>
              <w:numPr>
                <w:ilvl w:val="0"/>
                <w:numId w:val="10"/>
              </w:numPr>
              <w:rPr>
                <w:color w:val="000000"/>
              </w:rPr>
            </w:pPr>
            <w:r w:rsidRPr="005E4A07">
              <w:rPr>
                <w:color w:val="000000"/>
              </w:rPr>
              <w:t>Spolupráce na článcích</w:t>
            </w:r>
          </w:p>
          <w:p w14:paraId="23C592E6" w14:textId="229092CD" w:rsidR="000940E4" w:rsidRPr="000940E4" w:rsidRDefault="000940E4" w:rsidP="000940E4">
            <w:pPr>
              <w:spacing w:before="100" w:beforeAutospacing="1" w:after="100" w:afterAutospacing="1"/>
              <w:rPr>
                <w:color w:val="000000"/>
              </w:rPr>
            </w:pPr>
          </w:p>
          <w:p w14:paraId="305E3A83" w14:textId="0E908550" w:rsidR="00F076D7" w:rsidRPr="00F83D4F" w:rsidRDefault="000940E4" w:rsidP="000940E4">
            <w:pPr>
              <w:rPr>
                <w:rFonts w:ascii="Arial" w:hAnsi="Arial"/>
                <w:color w:val="808080" w:themeColor="background1" w:themeShade="80"/>
                <w:sz w:val="20"/>
              </w:rPr>
            </w:pP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</w:r>
          </w:p>
        </w:tc>
        <w:tc>
          <w:tcPr>
            <w:tcW w:w="3110" w:type="dxa"/>
            <w:gridSpan w:val="3"/>
            <w:vMerge w:val="restart"/>
            <w:tcBorders>
              <w:top w:val="nil"/>
            </w:tcBorders>
            <w:shd w:val="clear" w:color="auto" w:fill="FFFFFF"/>
          </w:tcPr>
          <w:p w14:paraId="741F4149" w14:textId="719FB532" w:rsidR="00A92C9C" w:rsidRDefault="00A92C9C" w:rsidP="005E4A07">
            <w:pPr>
              <w:pStyle w:val="Normlnweb"/>
              <w:numPr>
                <w:ilvl w:val="0"/>
                <w:numId w:val="10"/>
              </w:numPr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>Studenti</w:t>
            </w:r>
          </w:p>
          <w:p w14:paraId="7B84D975" w14:textId="58B790F8" w:rsidR="00A92C9C" w:rsidRDefault="00A92C9C" w:rsidP="005E4A07">
            <w:pPr>
              <w:pStyle w:val="Normlnweb"/>
              <w:numPr>
                <w:ilvl w:val="0"/>
                <w:numId w:val="10"/>
              </w:numPr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>Vyučující</w:t>
            </w:r>
          </w:p>
          <w:p w14:paraId="1ABB502F" w14:textId="2C05AD63" w:rsidR="00A92C9C" w:rsidRDefault="00A92C9C" w:rsidP="005E4A07">
            <w:pPr>
              <w:pStyle w:val="Normlnweb"/>
              <w:numPr>
                <w:ilvl w:val="0"/>
                <w:numId w:val="10"/>
              </w:numPr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>Odborníci z praxe</w:t>
            </w:r>
          </w:p>
          <w:p w14:paraId="090E1761" w14:textId="14C836D6" w:rsidR="00A92C9C" w:rsidRDefault="00A92C9C" w:rsidP="005E4A07">
            <w:pPr>
              <w:pStyle w:val="Normlnweb"/>
              <w:numPr>
                <w:ilvl w:val="0"/>
                <w:numId w:val="10"/>
              </w:numPr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>Motivovaná veřejnost</w:t>
            </w:r>
          </w:p>
          <w:p w14:paraId="29F77933" w14:textId="6673660F" w:rsidR="00F076D7" w:rsidRPr="00F076D7" w:rsidRDefault="00F076D7" w:rsidP="00031262">
            <w:pPr>
              <w:ind w:right="-18"/>
              <w:rPr>
                <w:rFonts w:ascii="Arial" w:hAnsi="Arial"/>
              </w:rPr>
            </w:pPr>
          </w:p>
        </w:tc>
      </w:tr>
      <w:tr w:rsidR="004B5316" w:rsidRPr="00F076D7" w14:paraId="5A5B5831" w14:textId="77777777" w:rsidTr="00480E3D">
        <w:trPr>
          <w:trHeight w:val="264"/>
        </w:trPr>
        <w:tc>
          <w:tcPr>
            <w:tcW w:w="3119" w:type="dxa"/>
            <w:vMerge/>
            <w:shd w:val="clear" w:color="auto" w:fill="FFFFFF"/>
          </w:tcPr>
          <w:p w14:paraId="696B1FC2" w14:textId="0996921D" w:rsidR="00F076D7" w:rsidRPr="00F076D7" w:rsidRDefault="00F076D7" w:rsidP="00031262">
            <w:pPr>
              <w:ind w:right="-944"/>
              <w:rPr>
                <w:rFonts w:ascii="Arial" w:hAnsi="Arial"/>
              </w:rPr>
            </w:pPr>
          </w:p>
        </w:tc>
        <w:tc>
          <w:tcPr>
            <w:tcW w:w="3118" w:type="dxa"/>
            <w:gridSpan w:val="2"/>
            <w:tcBorders>
              <w:top w:val="single" w:sz="4" w:space="0" w:color="F2F2F2" w:themeColor="background1" w:themeShade="F2"/>
              <w:bottom w:val="nil"/>
            </w:tcBorders>
            <w:shd w:val="clear" w:color="auto" w:fill="FFFFFF"/>
          </w:tcPr>
          <w:p w14:paraId="4DAE5800" w14:textId="18655DB3" w:rsidR="00F076D7" w:rsidRPr="00000413" w:rsidRDefault="003C2FF9" w:rsidP="00031262">
            <w:pPr>
              <w:ind w:right="-944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Klíčové zdroje</w:t>
            </w:r>
          </w:p>
        </w:tc>
        <w:tc>
          <w:tcPr>
            <w:tcW w:w="3096" w:type="dxa"/>
            <w:gridSpan w:val="4"/>
            <w:vMerge/>
            <w:shd w:val="clear" w:color="auto" w:fill="FFFFFF"/>
          </w:tcPr>
          <w:p w14:paraId="3472E1E0" w14:textId="77777777" w:rsidR="00F076D7" w:rsidRPr="00000413" w:rsidRDefault="00F076D7" w:rsidP="00031262">
            <w:pPr>
              <w:ind w:right="-944"/>
              <w:rPr>
                <w:rFonts w:ascii="Arial" w:hAnsi="Arial"/>
                <w:b/>
                <w:sz w:val="22"/>
              </w:rPr>
            </w:pPr>
          </w:p>
        </w:tc>
        <w:tc>
          <w:tcPr>
            <w:tcW w:w="3103" w:type="dxa"/>
            <w:gridSpan w:val="2"/>
            <w:tcBorders>
              <w:top w:val="single" w:sz="4" w:space="0" w:color="F2F2F2" w:themeColor="background1" w:themeShade="F2"/>
              <w:bottom w:val="nil"/>
            </w:tcBorders>
            <w:shd w:val="clear" w:color="auto" w:fill="FFFFFF"/>
          </w:tcPr>
          <w:p w14:paraId="36501B1A" w14:textId="326F5534" w:rsidR="00F076D7" w:rsidRPr="00000413" w:rsidRDefault="003C2FF9" w:rsidP="00031262">
            <w:pPr>
              <w:ind w:right="-944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Distribuční kanály</w:t>
            </w:r>
          </w:p>
        </w:tc>
        <w:tc>
          <w:tcPr>
            <w:tcW w:w="3110" w:type="dxa"/>
            <w:gridSpan w:val="3"/>
            <w:vMerge/>
            <w:shd w:val="clear" w:color="auto" w:fill="FFFFFF"/>
          </w:tcPr>
          <w:p w14:paraId="3A2C8E49" w14:textId="77777777" w:rsidR="00F076D7" w:rsidRPr="00F076D7" w:rsidRDefault="00F076D7" w:rsidP="00031262">
            <w:pPr>
              <w:ind w:right="-944"/>
              <w:rPr>
                <w:rFonts w:ascii="Arial" w:hAnsi="Arial"/>
              </w:rPr>
            </w:pPr>
          </w:p>
        </w:tc>
      </w:tr>
      <w:tr w:rsidR="004B5316" w:rsidRPr="00F076D7" w14:paraId="2346CA49" w14:textId="77777777" w:rsidTr="00031262">
        <w:trPr>
          <w:trHeight w:val="2822"/>
        </w:trPr>
        <w:tc>
          <w:tcPr>
            <w:tcW w:w="3119" w:type="dxa"/>
            <w:vMerge/>
            <w:tcBorders>
              <w:bottom w:val="single" w:sz="4" w:space="0" w:color="F2F2F2" w:themeColor="background1" w:themeShade="F2"/>
            </w:tcBorders>
            <w:shd w:val="clear" w:color="auto" w:fill="FFFFFF"/>
          </w:tcPr>
          <w:p w14:paraId="7D532930" w14:textId="77777777" w:rsidR="00F076D7" w:rsidRPr="00F076D7" w:rsidRDefault="00F076D7" w:rsidP="00031262">
            <w:pPr>
              <w:ind w:right="-944"/>
              <w:rPr>
                <w:rFonts w:ascii="Arial" w:hAnsi="Arial"/>
              </w:rPr>
            </w:pPr>
          </w:p>
        </w:tc>
        <w:tc>
          <w:tcPr>
            <w:tcW w:w="3118" w:type="dxa"/>
            <w:gridSpan w:val="2"/>
            <w:tcBorders>
              <w:top w:val="nil"/>
              <w:bottom w:val="single" w:sz="4" w:space="0" w:color="F2F2F2" w:themeColor="background1" w:themeShade="F2"/>
            </w:tcBorders>
            <w:shd w:val="clear" w:color="auto" w:fill="FFFFFF"/>
          </w:tcPr>
          <w:p w14:paraId="3E972CFB" w14:textId="77777777" w:rsidR="00DC7E9E" w:rsidRPr="005E4A07" w:rsidRDefault="00DC7E9E" w:rsidP="005E4A07">
            <w:pPr>
              <w:pStyle w:val="Odstavecseseznamem"/>
              <w:numPr>
                <w:ilvl w:val="0"/>
                <w:numId w:val="9"/>
              </w:numPr>
              <w:rPr>
                <w:color w:val="000000"/>
              </w:rPr>
            </w:pPr>
            <w:r w:rsidRPr="005E4A07">
              <w:rPr>
                <w:color w:val="000000"/>
              </w:rPr>
              <w:t xml:space="preserve">Vlastnictví serveru </w:t>
            </w:r>
          </w:p>
          <w:p w14:paraId="4E07BC87" w14:textId="77777777" w:rsidR="00DC7E9E" w:rsidRPr="005E4A07" w:rsidRDefault="00DC7E9E" w:rsidP="005E4A07">
            <w:pPr>
              <w:pStyle w:val="Odstavecseseznamem"/>
              <w:numPr>
                <w:ilvl w:val="0"/>
                <w:numId w:val="9"/>
              </w:numPr>
              <w:rPr>
                <w:color w:val="000000"/>
              </w:rPr>
            </w:pPr>
            <w:r w:rsidRPr="005E4A07">
              <w:rPr>
                <w:color w:val="000000"/>
              </w:rPr>
              <w:t>Vlastní kancelář</w:t>
            </w:r>
          </w:p>
          <w:p w14:paraId="3B1775BA" w14:textId="5AE38225" w:rsidR="000940E4" w:rsidRPr="005E4A07" w:rsidRDefault="00DC7E9E" w:rsidP="005E4A07">
            <w:pPr>
              <w:pStyle w:val="Odstavecseseznamem"/>
              <w:numPr>
                <w:ilvl w:val="0"/>
                <w:numId w:val="9"/>
              </w:numPr>
              <w:rPr>
                <w:color w:val="000000"/>
              </w:rPr>
            </w:pPr>
            <w:r w:rsidRPr="005E4A07">
              <w:rPr>
                <w:color w:val="000000"/>
              </w:rPr>
              <w:t>Odborní recenzenti článků</w:t>
            </w:r>
          </w:p>
          <w:p w14:paraId="7A600B06" w14:textId="64CC4C42" w:rsidR="00F076D7" w:rsidRPr="005E4A07" w:rsidRDefault="00DC7E9E" w:rsidP="005E4A07">
            <w:pPr>
              <w:pStyle w:val="Odstavecseseznamem"/>
              <w:numPr>
                <w:ilvl w:val="0"/>
                <w:numId w:val="9"/>
              </w:numPr>
              <w:rPr>
                <w:color w:val="000000"/>
              </w:rPr>
            </w:pPr>
            <w:r w:rsidRPr="005E4A07">
              <w:rPr>
                <w:color w:val="000000"/>
              </w:rPr>
              <w:t>Odborníci na tvorbu webu</w:t>
            </w:r>
          </w:p>
        </w:tc>
        <w:tc>
          <w:tcPr>
            <w:tcW w:w="3096" w:type="dxa"/>
            <w:gridSpan w:val="4"/>
            <w:vMerge/>
            <w:tcBorders>
              <w:bottom w:val="single" w:sz="4" w:space="0" w:color="F2F2F2" w:themeColor="background1" w:themeShade="F2"/>
            </w:tcBorders>
            <w:shd w:val="clear" w:color="auto" w:fill="FFFFFF"/>
          </w:tcPr>
          <w:p w14:paraId="5193D74B" w14:textId="77777777" w:rsidR="00F076D7" w:rsidRPr="00F076D7" w:rsidRDefault="00F076D7" w:rsidP="00031262">
            <w:pPr>
              <w:ind w:right="-944"/>
              <w:rPr>
                <w:rFonts w:ascii="Arial" w:hAnsi="Arial"/>
              </w:rPr>
            </w:pPr>
          </w:p>
        </w:tc>
        <w:tc>
          <w:tcPr>
            <w:tcW w:w="3103" w:type="dxa"/>
            <w:gridSpan w:val="2"/>
            <w:tcBorders>
              <w:top w:val="nil"/>
              <w:bottom w:val="single" w:sz="4" w:space="0" w:color="F2F2F2" w:themeColor="background1" w:themeShade="F2"/>
            </w:tcBorders>
            <w:shd w:val="clear" w:color="auto" w:fill="FFFFFF"/>
          </w:tcPr>
          <w:p w14:paraId="282546E9" w14:textId="418E69E9" w:rsidR="00A92C9C" w:rsidRDefault="000940E4" w:rsidP="005E4A07">
            <w:pPr>
              <w:pStyle w:val="Normlnweb"/>
              <w:numPr>
                <w:ilvl w:val="0"/>
                <w:numId w:val="9"/>
              </w:numPr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>Zasílání newsletteru</w:t>
            </w:r>
          </w:p>
          <w:p w14:paraId="7B921516" w14:textId="3C77E7BE" w:rsidR="00A92C9C" w:rsidRDefault="00A92C9C" w:rsidP="005E4A07">
            <w:pPr>
              <w:pStyle w:val="Normlnweb"/>
              <w:numPr>
                <w:ilvl w:val="0"/>
                <w:numId w:val="9"/>
              </w:numPr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 xml:space="preserve">Sociální síť </w:t>
            </w:r>
          </w:p>
          <w:p w14:paraId="5F023791" w14:textId="1E70E102" w:rsidR="00A92C9C" w:rsidRDefault="00A92C9C" w:rsidP="005E4A07">
            <w:pPr>
              <w:pStyle w:val="Normlnweb"/>
              <w:numPr>
                <w:ilvl w:val="0"/>
                <w:numId w:val="9"/>
              </w:numPr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 xml:space="preserve">Reklama </w:t>
            </w:r>
          </w:p>
          <w:p w14:paraId="6B74DDB8" w14:textId="7A4E0C00" w:rsidR="00A92C9C" w:rsidRDefault="00A92C9C" w:rsidP="005E4A07">
            <w:pPr>
              <w:pStyle w:val="Normlnweb"/>
              <w:numPr>
                <w:ilvl w:val="0"/>
                <w:numId w:val="9"/>
              </w:numPr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 xml:space="preserve">Informace domovských </w:t>
            </w:r>
            <w:r w:rsidR="000940E4">
              <w:rPr>
                <w:color w:val="000000"/>
              </w:rPr>
              <w:t>www stránkách</w:t>
            </w:r>
          </w:p>
          <w:p w14:paraId="2FB74AAA" w14:textId="1E7EFE6D" w:rsidR="00F076D7" w:rsidRPr="00A92C9C" w:rsidRDefault="000940E4" w:rsidP="005E4A07">
            <w:pPr>
              <w:pStyle w:val="Normlnweb"/>
              <w:numPr>
                <w:ilvl w:val="0"/>
                <w:numId w:val="9"/>
              </w:numPr>
              <w:spacing w:before="0" w:beforeAutospacing="0" w:after="0" w:afterAutospacing="0"/>
              <w:rPr>
                <w:rFonts w:asciiTheme="minorHAnsi" w:hAnsiTheme="minorHAnsi"/>
                <w:color w:val="000000"/>
              </w:rPr>
            </w:pPr>
            <w:r>
              <w:rPr>
                <w:color w:val="000000"/>
              </w:rPr>
              <w:t>Tiskoviny</w:t>
            </w:r>
            <w:r w:rsidR="00A92C9C">
              <w:rPr>
                <w:color w:val="000000"/>
              </w:rPr>
              <w:br/>
            </w:r>
            <w:r w:rsidR="00A92C9C">
              <w:rPr>
                <w:color w:val="000000"/>
              </w:rPr>
              <w:br/>
            </w:r>
          </w:p>
        </w:tc>
        <w:tc>
          <w:tcPr>
            <w:tcW w:w="3110" w:type="dxa"/>
            <w:gridSpan w:val="3"/>
            <w:vMerge/>
            <w:tcBorders>
              <w:bottom w:val="single" w:sz="4" w:space="0" w:color="F2F2F2" w:themeColor="background1" w:themeShade="F2"/>
            </w:tcBorders>
            <w:shd w:val="clear" w:color="auto" w:fill="FFFFFF"/>
          </w:tcPr>
          <w:p w14:paraId="25B81D3F" w14:textId="77777777" w:rsidR="00F076D7" w:rsidRPr="00F076D7" w:rsidRDefault="00F076D7" w:rsidP="00031262">
            <w:pPr>
              <w:ind w:right="-944"/>
              <w:rPr>
                <w:rFonts w:ascii="Arial" w:hAnsi="Arial"/>
              </w:rPr>
            </w:pPr>
          </w:p>
        </w:tc>
      </w:tr>
      <w:tr w:rsidR="004B5316" w:rsidRPr="00F076D7" w14:paraId="76B734C2" w14:textId="77777777" w:rsidTr="00031262">
        <w:trPr>
          <w:trHeight w:val="279"/>
        </w:trPr>
        <w:tc>
          <w:tcPr>
            <w:tcW w:w="7736" w:type="dxa"/>
            <w:gridSpan w:val="4"/>
            <w:tcBorders>
              <w:bottom w:val="nil"/>
            </w:tcBorders>
            <w:shd w:val="clear" w:color="auto" w:fill="FFFFFF"/>
          </w:tcPr>
          <w:p w14:paraId="6DCB2889" w14:textId="232E9417" w:rsidR="00B312C7" w:rsidRPr="00000413" w:rsidRDefault="003C2FF9" w:rsidP="00031262">
            <w:pPr>
              <w:ind w:right="-944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lastRenderedPageBreak/>
              <w:t>Struktura nákladů</w:t>
            </w:r>
          </w:p>
        </w:tc>
        <w:tc>
          <w:tcPr>
            <w:tcW w:w="7810" w:type="dxa"/>
            <w:gridSpan w:val="8"/>
            <w:tcBorders>
              <w:bottom w:val="nil"/>
            </w:tcBorders>
            <w:shd w:val="clear" w:color="auto" w:fill="FFFFFF"/>
          </w:tcPr>
          <w:p w14:paraId="25DEFDB1" w14:textId="50CE9D7D" w:rsidR="00B312C7" w:rsidRPr="00000413" w:rsidRDefault="003C2FF9" w:rsidP="00CC7672">
            <w:pPr>
              <w:ind w:right="-944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Zdroje příjmů</w:t>
            </w:r>
          </w:p>
        </w:tc>
      </w:tr>
      <w:tr w:rsidR="004B5316" w:rsidRPr="00F076D7" w14:paraId="508251F7" w14:textId="77777777" w:rsidTr="00031262">
        <w:trPr>
          <w:trHeight w:val="2667"/>
        </w:trPr>
        <w:tc>
          <w:tcPr>
            <w:tcW w:w="7736" w:type="dxa"/>
            <w:gridSpan w:val="4"/>
            <w:tcBorders>
              <w:top w:val="nil"/>
            </w:tcBorders>
            <w:shd w:val="clear" w:color="auto" w:fill="FFFFFF"/>
          </w:tcPr>
          <w:p w14:paraId="279E0BCA" w14:textId="1673287E" w:rsidR="00DC7E9E" w:rsidRDefault="00DC7E9E" w:rsidP="005E4A07">
            <w:pPr>
              <w:pStyle w:val="Normlnweb"/>
              <w:numPr>
                <w:ilvl w:val="0"/>
                <w:numId w:val="7"/>
              </w:numPr>
              <w:rPr>
                <w:color w:val="000000"/>
              </w:rPr>
            </w:pPr>
            <w:r>
              <w:rPr>
                <w:color w:val="000000"/>
              </w:rPr>
              <w:t>Mzdy zaměstnanců</w:t>
            </w:r>
          </w:p>
          <w:p w14:paraId="4184B262" w14:textId="467C961E" w:rsidR="00DC7E9E" w:rsidRDefault="00DC7E9E" w:rsidP="005E4A07">
            <w:pPr>
              <w:pStyle w:val="Normlnweb"/>
              <w:numPr>
                <w:ilvl w:val="0"/>
                <w:numId w:val="7"/>
              </w:numPr>
              <w:rPr>
                <w:color w:val="000000"/>
              </w:rPr>
            </w:pPr>
            <w:r>
              <w:rPr>
                <w:color w:val="000000"/>
              </w:rPr>
              <w:t>Pronájem kanceláře</w:t>
            </w:r>
          </w:p>
          <w:p w14:paraId="3497D757" w14:textId="59A11FB7" w:rsidR="00DC7E9E" w:rsidRDefault="00DC7E9E" w:rsidP="005E4A07">
            <w:pPr>
              <w:pStyle w:val="Normlnweb"/>
              <w:numPr>
                <w:ilvl w:val="0"/>
                <w:numId w:val="7"/>
              </w:numPr>
              <w:rPr>
                <w:color w:val="000000"/>
              </w:rPr>
            </w:pPr>
            <w:r>
              <w:rPr>
                <w:color w:val="000000"/>
              </w:rPr>
              <w:t>Pronájem nebo koupě serveru</w:t>
            </w:r>
          </w:p>
          <w:p w14:paraId="154A8DAB" w14:textId="613E18BC" w:rsidR="00DC7E9E" w:rsidRDefault="00DC7E9E" w:rsidP="005E4A07">
            <w:pPr>
              <w:pStyle w:val="Normlnweb"/>
              <w:numPr>
                <w:ilvl w:val="0"/>
                <w:numId w:val="7"/>
              </w:numPr>
              <w:rPr>
                <w:color w:val="000000"/>
              </w:rPr>
            </w:pPr>
            <w:r>
              <w:rPr>
                <w:color w:val="000000"/>
              </w:rPr>
              <w:t>Platba za registraci, hostingu a domény</w:t>
            </w:r>
          </w:p>
          <w:p w14:paraId="2647D5E4" w14:textId="58BA8697" w:rsidR="00DC7E9E" w:rsidRDefault="00DC7E9E" w:rsidP="005E4A07">
            <w:pPr>
              <w:pStyle w:val="Normlnweb"/>
              <w:numPr>
                <w:ilvl w:val="0"/>
                <w:numId w:val="7"/>
              </w:numPr>
              <w:rPr>
                <w:color w:val="000000"/>
              </w:rPr>
            </w:pPr>
            <w:r>
              <w:rPr>
                <w:color w:val="000000"/>
              </w:rPr>
              <w:t>Spolupráce s dodavateli</w:t>
            </w:r>
          </w:p>
          <w:p w14:paraId="6D6FDEED" w14:textId="740BF9A0" w:rsidR="00F076D7" w:rsidRPr="00F83D4F" w:rsidRDefault="00F076D7" w:rsidP="00031262">
            <w:pPr>
              <w:ind w:right="-32"/>
              <w:rPr>
                <w:rFonts w:ascii="Arial" w:hAnsi="Arial"/>
                <w:color w:val="808080" w:themeColor="background1" w:themeShade="80"/>
                <w:sz w:val="20"/>
              </w:rPr>
            </w:pPr>
          </w:p>
        </w:tc>
        <w:tc>
          <w:tcPr>
            <w:tcW w:w="7810" w:type="dxa"/>
            <w:gridSpan w:val="8"/>
            <w:tcBorders>
              <w:top w:val="nil"/>
            </w:tcBorders>
            <w:shd w:val="clear" w:color="auto" w:fill="FFFFFF"/>
          </w:tcPr>
          <w:p w14:paraId="1797223C" w14:textId="427053AD" w:rsidR="00926512" w:rsidRDefault="00926512" w:rsidP="00926512">
            <w:pPr>
              <w:rPr>
                <w:color w:val="000000"/>
              </w:rPr>
            </w:pPr>
            <w:r>
              <w:rPr>
                <w:rFonts w:hAnsi="Symbol"/>
                <w:color w:val="000000"/>
              </w:rPr>
              <w:t></w:t>
            </w:r>
            <w:r>
              <w:rPr>
                <w:color w:val="000000"/>
              </w:rPr>
              <w:t xml:space="preserve">  Předplatné – pravidelný nebo jednorázový poplatek zajišťující přístup k</w:t>
            </w:r>
            <w:r w:rsidR="00A92C9C">
              <w:rPr>
                <w:color w:val="000000"/>
              </w:rPr>
              <w:t>e</w:t>
            </w:r>
            <w:r>
              <w:rPr>
                <w:color w:val="000000"/>
              </w:rPr>
              <w:t xml:space="preserve"> službám po určitou dobu </w:t>
            </w:r>
          </w:p>
          <w:p w14:paraId="1C0902F5" w14:textId="77777777" w:rsidR="00926512" w:rsidRDefault="00926512" w:rsidP="00926512">
            <w:pPr>
              <w:rPr>
                <w:color w:val="000000"/>
              </w:rPr>
            </w:pPr>
            <w:r>
              <w:rPr>
                <w:rFonts w:hAnsi="Symbol"/>
                <w:color w:val="000000"/>
              </w:rPr>
              <w:t></w:t>
            </w:r>
            <w:r>
              <w:rPr>
                <w:color w:val="000000"/>
              </w:rPr>
              <w:t xml:space="preserve">  Pronájem – pravidelný nebo jednorázový poplatek za dočasné poskytnutí určitého aktiva k užívání </w:t>
            </w:r>
          </w:p>
          <w:p w14:paraId="20C33C75" w14:textId="77777777" w:rsidR="00926512" w:rsidRDefault="00926512" w:rsidP="00926512">
            <w:pPr>
              <w:rPr>
                <w:color w:val="000000"/>
              </w:rPr>
            </w:pPr>
            <w:r>
              <w:rPr>
                <w:rFonts w:hAnsi="Symbol"/>
                <w:color w:val="000000"/>
              </w:rPr>
              <w:t></w:t>
            </w:r>
            <w:r>
              <w:rPr>
                <w:color w:val="000000"/>
              </w:rPr>
              <w:t xml:space="preserve">  Licence – poskytnutí možnosti užívat aktiva </w:t>
            </w:r>
          </w:p>
          <w:p w14:paraId="5B5C0756" w14:textId="11783051" w:rsidR="00926512" w:rsidRPr="00926512" w:rsidRDefault="00926512" w:rsidP="00926512">
            <w:pPr>
              <w:rPr>
                <w:color w:val="000000"/>
              </w:rPr>
            </w:pPr>
            <w:r>
              <w:rPr>
                <w:rFonts w:hAnsi="Symbol"/>
                <w:color w:val="000000"/>
              </w:rPr>
              <w:t></w:t>
            </w:r>
            <w:r>
              <w:rPr>
                <w:color w:val="000000"/>
              </w:rPr>
              <w:t xml:space="preserve">  Brokerage fees – poplatky za zprostředkování služeb od poskytovatele nebo příjemc</w:t>
            </w:r>
            <w:r w:rsidR="00A92C9C">
              <w:rPr>
                <w:color w:val="000000"/>
              </w:rPr>
              <w:t>e</w:t>
            </w:r>
          </w:p>
          <w:p w14:paraId="77C80C07" w14:textId="3D8E9D1F" w:rsidR="00F076D7" w:rsidRPr="00F83D4F" w:rsidRDefault="00F076D7" w:rsidP="00031262">
            <w:pPr>
              <w:ind w:right="-18"/>
              <w:rPr>
                <w:rFonts w:ascii="Arial" w:hAnsi="Arial"/>
                <w:color w:val="808080" w:themeColor="background1" w:themeShade="80"/>
                <w:sz w:val="20"/>
              </w:rPr>
            </w:pPr>
          </w:p>
        </w:tc>
      </w:tr>
      <w:tr w:rsidR="00F076D7" w:rsidRPr="00F076D7" w14:paraId="4173EEF3" w14:textId="77777777" w:rsidTr="007C13A7">
        <w:trPr>
          <w:trHeight w:val="282"/>
        </w:trPr>
        <w:tc>
          <w:tcPr>
            <w:tcW w:w="15546" w:type="dxa"/>
            <w:gridSpan w:val="12"/>
            <w:shd w:val="clear" w:color="auto" w:fill="F3F3F3"/>
            <w:vAlign w:val="center"/>
          </w:tcPr>
          <w:p w14:paraId="328F6073" w14:textId="78ACA9E4" w:rsidR="00F076D7" w:rsidRPr="004B5316" w:rsidRDefault="00F076D7" w:rsidP="003B2072">
            <w:pPr>
              <w:ind w:right="-944"/>
              <w:rPr>
                <w:rFonts w:ascii="Arial" w:hAnsi="Arial"/>
                <w:sz w:val="16"/>
              </w:rPr>
            </w:pPr>
          </w:p>
        </w:tc>
      </w:tr>
    </w:tbl>
    <w:p w14:paraId="17A2AB95" w14:textId="77777777" w:rsidR="00BA4A1A" w:rsidRDefault="00BA4A1A" w:rsidP="00B312C7">
      <w:pPr>
        <w:ind w:right="-944"/>
      </w:pPr>
    </w:p>
    <w:p w14:paraId="49042E5A" w14:textId="77777777" w:rsidR="00812A86" w:rsidRDefault="00812A86" w:rsidP="00B312C7">
      <w:pPr>
        <w:ind w:right="-944"/>
      </w:pPr>
    </w:p>
    <w:sectPr w:rsidR="00812A86" w:rsidSect="00277AE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20" w:h="11900" w:orient="landscape"/>
      <w:pgMar w:top="567" w:right="692" w:bottom="567" w:left="663" w:header="0" w:footer="0" w:gutter="0"/>
      <w:cols w:space="708"/>
      <w:vAlign w:val="center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C2AEF9" w14:textId="77777777" w:rsidR="007C36A7" w:rsidRDefault="007C36A7" w:rsidP="00000413">
      <w:r>
        <w:separator/>
      </w:r>
    </w:p>
  </w:endnote>
  <w:endnote w:type="continuationSeparator" w:id="0">
    <w:p w14:paraId="6A15355A" w14:textId="77777777" w:rsidR="007C36A7" w:rsidRDefault="007C36A7" w:rsidP="000004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60D999" w14:textId="77777777" w:rsidR="00CE5510" w:rsidRDefault="00CE5510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FE07F3" w14:textId="77777777" w:rsidR="00CE5510" w:rsidRDefault="00CE5510">
    <w:pPr>
      <w:pStyle w:val="Zpa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66A7AE" w14:textId="77777777" w:rsidR="00CE5510" w:rsidRDefault="00CE5510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C8AAE8" w14:textId="77777777" w:rsidR="007C36A7" w:rsidRDefault="007C36A7" w:rsidP="00000413">
      <w:r>
        <w:separator/>
      </w:r>
    </w:p>
  </w:footnote>
  <w:footnote w:type="continuationSeparator" w:id="0">
    <w:p w14:paraId="645CC5DC" w14:textId="77777777" w:rsidR="007C36A7" w:rsidRDefault="007C36A7" w:rsidP="000004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847F38" w14:textId="4EFA2766" w:rsidR="00CE5510" w:rsidRDefault="00000000">
    <w:pPr>
      <w:pStyle w:val="Zhlav"/>
    </w:pPr>
    <w:r>
      <w:rPr>
        <w:lang w:val="en-US"/>
      </w:rPr>
      <w:pict w14:anchorId="539324D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" o:spid="_x0000_s1026" type="#_x0000_t136" style="position:absolute;margin-left:0;margin-top:0;width:773.1pt;height:40.65pt;z-index:-251655168;mso-wrap-edited:f;mso-position-horizontal:center;mso-position-horizontal-relative:margin;mso-position-vertical:center;mso-position-vertical-relative:margin" wrapcoords="3352 4800 20 4800 20 16800 21579 16800 21516 4800 3352 4800" fillcolor="silver" stroked="f">
          <v:textpath style="font-family:&quot;Cambria&quot;;font-size:1pt" string="Neos Chronos Business Model Canvas Wor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5670E1" w14:textId="1441B2A4" w:rsidR="00CE5510" w:rsidRDefault="00000000">
    <w:pPr>
      <w:pStyle w:val="Zhlav"/>
    </w:pPr>
    <w:r>
      <w:rPr>
        <w:lang w:val="en-US"/>
      </w:rPr>
      <w:pict w14:anchorId="0D4E69E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" o:spid="_x0000_s1025" type="#_x0000_t136" style="position:absolute;margin-left:0;margin-top:0;width:773.1pt;height:40.65pt;z-index:-251657216;mso-wrap-edited:f;mso-position-horizontal:center;mso-position-horizontal-relative:margin;mso-position-vertical:center;mso-position-vertical-relative:margin" wrapcoords="3352 4800 20 4800 20 16800 21579 16800 21516 4800 3352 4800" fillcolor="silver" stroked="f">
          <v:textpath style="font-family:&quot;Cambria&quot;;font-size:1pt" string="Neos Chronos Business Model Canvas Word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C0236" w14:textId="1DC53D3D" w:rsidR="00CE5510" w:rsidRDefault="00000000">
    <w:pPr>
      <w:pStyle w:val="Zhlav"/>
    </w:pPr>
    <w:r>
      <w:rPr>
        <w:lang w:val="en-US"/>
      </w:rPr>
      <w:pict w14:anchorId="7268139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" o:spid="_x0000_s1027" type="#_x0000_t136" style="position:absolute;margin-left:0;margin-top:0;width:773.1pt;height:40.65pt;z-index:-251653120;mso-wrap-edited:f;mso-position-horizontal:center;mso-position-horizontal-relative:margin;mso-position-vertical:center;mso-position-vertical-relative:margin" wrapcoords="3352 4800 20 4800 20 16800 21579 16800 21516 4800 3352 4800" fillcolor="silver" stroked="f">
          <v:textpath style="font-family:&quot;Cambria&quot;;font-size:1pt" string="Neos Chronos Business Model Canvas Word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2516B"/>
    <w:multiLevelType w:val="multilevel"/>
    <w:tmpl w:val="84123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A36C8F"/>
    <w:multiLevelType w:val="hybridMultilevel"/>
    <w:tmpl w:val="C52A783C"/>
    <w:lvl w:ilvl="0" w:tplc="2EBE7EF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C2529E"/>
    <w:multiLevelType w:val="hybridMultilevel"/>
    <w:tmpl w:val="9E3E314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50028E"/>
    <w:multiLevelType w:val="multilevel"/>
    <w:tmpl w:val="62526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672B67"/>
    <w:multiLevelType w:val="hybridMultilevel"/>
    <w:tmpl w:val="8FAC28A2"/>
    <w:lvl w:ilvl="0" w:tplc="43A0AC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A2D4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09E38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E265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C622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696B0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C6A86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64CCF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A30E5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541B5DC0"/>
    <w:multiLevelType w:val="hybridMultilevel"/>
    <w:tmpl w:val="5F3E28F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AB28DB"/>
    <w:multiLevelType w:val="hybridMultilevel"/>
    <w:tmpl w:val="21B6B54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86579E"/>
    <w:multiLevelType w:val="multilevel"/>
    <w:tmpl w:val="44528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675443"/>
    <w:multiLevelType w:val="multilevel"/>
    <w:tmpl w:val="AE50C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0C70DF"/>
    <w:multiLevelType w:val="hybridMultilevel"/>
    <w:tmpl w:val="F5A8C42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3552196">
    <w:abstractNumId w:val="4"/>
  </w:num>
  <w:num w:numId="2" w16cid:durableId="7104378">
    <w:abstractNumId w:val="1"/>
  </w:num>
  <w:num w:numId="3" w16cid:durableId="263079433">
    <w:abstractNumId w:val="8"/>
  </w:num>
  <w:num w:numId="4" w16cid:durableId="189144992">
    <w:abstractNumId w:val="0"/>
  </w:num>
  <w:num w:numId="5" w16cid:durableId="1631085801">
    <w:abstractNumId w:val="7"/>
  </w:num>
  <w:num w:numId="6" w16cid:durableId="1819835948">
    <w:abstractNumId w:val="3"/>
  </w:num>
  <w:num w:numId="7" w16cid:durableId="698438350">
    <w:abstractNumId w:val="6"/>
  </w:num>
  <w:num w:numId="8" w16cid:durableId="895045396">
    <w:abstractNumId w:val="9"/>
  </w:num>
  <w:num w:numId="9" w16cid:durableId="2079595155">
    <w:abstractNumId w:val="2"/>
  </w:num>
  <w:num w:numId="10" w16cid:durableId="16274265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drawingGridHorizontalSpacing w:val="181"/>
  <w:drawingGridVerticalSpacing w:val="181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E65"/>
    <w:rsid w:val="00000413"/>
    <w:rsid w:val="00031262"/>
    <w:rsid w:val="000940E4"/>
    <w:rsid w:val="00277AE1"/>
    <w:rsid w:val="00312950"/>
    <w:rsid w:val="003B2072"/>
    <w:rsid w:val="003C2FF9"/>
    <w:rsid w:val="00480E3D"/>
    <w:rsid w:val="00494DA4"/>
    <w:rsid w:val="004B5316"/>
    <w:rsid w:val="004C52B9"/>
    <w:rsid w:val="004F4172"/>
    <w:rsid w:val="005E0E81"/>
    <w:rsid w:val="005E4A07"/>
    <w:rsid w:val="00642C0E"/>
    <w:rsid w:val="006760EB"/>
    <w:rsid w:val="007C13A7"/>
    <w:rsid w:val="007C36A7"/>
    <w:rsid w:val="00812A86"/>
    <w:rsid w:val="00926512"/>
    <w:rsid w:val="009505CB"/>
    <w:rsid w:val="009A02B2"/>
    <w:rsid w:val="00A35899"/>
    <w:rsid w:val="00A86846"/>
    <w:rsid w:val="00A92C9C"/>
    <w:rsid w:val="00AB7D2A"/>
    <w:rsid w:val="00B01DDB"/>
    <w:rsid w:val="00B312C7"/>
    <w:rsid w:val="00B3180C"/>
    <w:rsid w:val="00B566F7"/>
    <w:rsid w:val="00BA4A1A"/>
    <w:rsid w:val="00C054AF"/>
    <w:rsid w:val="00C14D5E"/>
    <w:rsid w:val="00C9225D"/>
    <w:rsid w:val="00CA30DE"/>
    <w:rsid w:val="00CC7672"/>
    <w:rsid w:val="00CE5510"/>
    <w:rsid w:val="00DC7E9E"/>
    <w:rsid w:val="00DE2CF7"/>
    <w:rsid w:val="00F076D7"/>
    <w:rsid w:val="00F45E60"/>
    <w:rsid w:val="00F72E65"/>
    <w:rsid w:val="00F83D4F"/>
    <w:rsid w:val="00FA6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690695A3"/>
  <w14:defaultImageDpi w14:val="300"/>
  <w15:docId w15:val="{515108E4-033B-420B-8035-C4FF9E157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Pr>
      <w:noProof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B312C7"/>
    <w:rPr>
      <w:rFonts w:ascii="Lucida Grande" w:hAnsi="Lucida Grande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B312C7"/>
    <w:rPr>
      <w:rFonts w:ascii="Lucida Grande" w:hAnsi="Lucida Grande"/>
      <w:noProof/>
      <w:sz w:val="18"/>
      <w:szCs w:val="18"/>
    </w:rPr>
  </w:style>
  <w:style w:type="table" w:styleId="Mkatabulky">
    <w:name w:val="Table Grid"/>
    <w:basedOn w:val="Normlntabulka"/>
    <w:uiPriority w:val="59"/>
    <w:rsid w:val="00B312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textovodkaz">
    <w:name w:val="Hyperlink"/>
    <w:basedOn w:val="Standardnpsmoodstavce"/>
    <w:uiPriority w:val="99"/>
    <w:unhideWhenUsed/>
    <w:rsid w:val="004B5316"/>
    <w:rPr>
      <w:color w:val="0000FF" w:themeColor="hyperlink"/>
      <w:u w:val="single"/>
    </w:rPr>
  </w:style>
  <w:style w:type="paragraph" w:styleId="Zhlav">
    <w:name w:val="header"/>
    <w:basedOn w:val="Normln"/>
    <w:link w:val="ZhlavChar"/>
    <w:uiPriority w:val="99"/>
    <w:unhideWhenUsed/>
    <w:rsid w:val="00000413"/>
    <w:pPr>
      <w:tabs>
        <w:tab w:val="center" w:pos="4320"/>
        <w:tab w:val="right" w:pos="8640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000413"/>
    <w:rPr>
      <w:noProof/>
    </w:rPr>
  </w:style>
  <w:style w:type="paragraph" w:styleId="Zpat">
    <w:name w:val="footer"/>
    <w:basedOn w:val="Normln"/>
    <w:link w:val="ZpatChar"/>
    <w:uiPriority w:val="99"/>
    <w:unhideWhenUsed/>
    <w:rsid w:val="00000413"/>
    <w:pPr>
      <w:tabs>
        <w:tab w:val="center" w:pos="4320"/>
        <w:tab w:val="right" w:pos="8640"/>
      </w:tabs>
    </w:pPr>
  </w:style>
  <w:style w:type="character" w:customStyle="1" w:styleId="ZpatChar">
    <w:name w:val="Zápatí Char"/>
    <w:basedOn w:val="Standardnpsmoodstavce"/>
    <w:link w:val="Zpat"/>
    <w:uiPriority w:val="99"/>
    <w:rsid w:val="00000413"/>
    <w:rPr>
      <w:noProof/>
    </w:rPr>
  </w:style>
  <w:style w:type="paragraph" w:styleId="Normlnweb">
    <w:name w:val="Normal (Web)"/>
    <w:basedOn w:val="Normln"/>
    <w:uiPriority w:val="99"/>
    <w:unhideWhenUsed/>
    <w:rsid w:val="00A92C9C"/>
    <w:pPr>
      <w:spacing w:before="100" w:beforeAutospacing="1" w:after="100" w:afterAutospacing="1"/>
    </w:pPr>
    <w:rPr>
      <w:rFonts w:ascii="Times New Roman" w:eastAsia="Times New Roman" w:hAnsi="Times New Roman" w:cs="Times New Roman"/>
      <w:noProof w:val="0"/>
      <w:lang w:val="cs-CZ" w:eastAsia="cs-CZ"/>
    </w:rPr>
  </w:style>
  <w:style w:type="paragraph" w:styleId="Odstavecseseznamem">
    <w:name w:val="List Paragraph"/>
    <w:basedOn w:val="Normln"/>
    <w:uiPriority w:val="34"/>
    <w:qFormat/>
    <w:rsid w:val="005E4A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23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8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017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75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167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65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9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0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4280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91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6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4971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55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239</Words>
  <Characters>1412</Characters>
  <Application>Microsoft Office Word</Application>
  <DocSecurity>0</DocSecurity>
  <Lines>11</Lines>
  <Paragraphs>3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Business Model Canvas Template Word DOC</vt:lpstr>
      <vt:lpstr>Business Model Canvas Template Word DOC</vt:lpstr>
    </vt:vector>
  </TitlesOfParts>
  <Manager/>
  <Company>Neos Chronos Limited</Company>
  <LinksUpToDate>false</LinksUpToDate>
  <CharactersWithSpaces>1648</CharactersWithSpaces>
  <SharedDoc>false</SharedDoc>
  <HyperlinkBase>https://neoschronos.com/assets/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Model Canvas Template Word DOC</dc:title>
  <dc:subject/>
  <dc:creator>Thomas Papanikolaou</dc:creator>
  <cp:keywords>Business Model Canvas, Free, Template, Word, docx</cp:keywords>
  <dc:description>The Business Model Canvas (www.businessmodelgeneration.com/canvas) by Alex Osterwalder. This work is licensed under the Creative Commons Attribution-Share Alike 3.0 Unported License.</dc:description>
  <cp:lastModifiedBy>Bc. Veronika Marečková</cp:lastModifiedBy>
  <cp:revision>7</cp:revision>
  <cp:lastPrinted>2019-05-23T09:25:00Z</cp:lastPrinted>
  <dcterms:created xsi:type="dcterms:W3CDTF">2022-10-13T15:08:00Z</dcterms:created>
  <dcterms:modified xsi:type="dcterms:W3CDTF">2022-10-13T17:53:00Z</dcterms:modified>
  <cp:category>Word Template DOC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ublisher">
    <vt:lpwstr>Neos Chronos</vt:lpwstr>
  </property>
  <property fmtid="{D5CDD505-2E9C-101B-9397-08002B2CF9AE}" pid="3" name="Purpose">
    <vt:lpwstr>Business Model Canvas Word Template</vt:lpwstr>
  </property>
  <property fmtid="{D5CDD505-2E9C-101B-9397-08002B2CF9AE}" pid="4" name="Language">
    <vt:lpwstr>English</vt:lpwstr>
  </property>
</Properties>
</file>