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ADC" w:rsidRPr="00D33A64" w:rsidRDefault="00E40312">
      <w:pPr>
        <w:pStyle w:val="Title"/>
        <w:rPr>
          <w:color w:val="auto"/>
        </w:rPr>
      </w:pPr>
      <w:r w:rsidRPr="00D33A64">
        <w:rPr>
          <w:color w:val="auto"/>
        </w:rPr>
        <w:t xml:space="preserve">Use </w:t>
      </w:r>
      <w:r w:rsidR="00E95911">
        <w:rPr>
          <w:color w:val="auto"/>
        </w:rPr>
        <w:t xml:space="preserve">and Impact </w:t>
      </w:r>
      <w:r w:rsidRPr="00D33A64">
        <w:rPr>
          <w:color w:val="auto"/>
        </w:rPr>
        <w:t>of Recovery Units</w:t>
      </w:r>
    </w:p>
    <w:p w:rsidR="00347ADC" w:rsidRPr="00D33A64" w:rsidRDefault="00E40312">
      <w:pPr>
        <w:pStyle w:val="Author"/>
      </w:pPr>
      <w:r w:rsidRPr="00D33A64">
        <w:t>Michael Evans, Jacob Malcom, Ya-Wei Li, Ryan Covington</w:t>
      </w:r>
    </w:p>
    <w:p w:rsidR="00347ADC" w:rsidRPr="00D33A64" w:rsidRDefault="00E40312">
      <w:pPr>
        <w:pStyle w:val="Date"/>
      </w:pPr>
      <w:r w:rsidRPr="00D33A64">
        <w:t xml:space="preserve">December </w:t>
      </w:r>
      <w:r w:rsidR="00E95911">
        <w:t>1</w:t>
      </w:r>
      <w:r w:rsidRPr="00D33A64">
        <w:t>5, 2016</w:t>
      </w:r>
    </w:p>
    <w:p w:rsidR="00347ADC" w:rsidRPr="00D33A64" w:rsidRDefault="00E40312">
      <w:pPr>
        <w:pStyle w:val="Heading2"/>
        <w:rPr>
          <w:color w:val="auto"/>
        </w:rPr>
      </w:pPr>
      <w:bookmarkStart w:id="0" w:name="introduction"/>
      <w:bookmarkEnd w:id="0"/>
      <w:r w:rsidRPr="00D33A64">
        <w:rPr>
          <w:color w:val="auto"/>
        </w:rPr>
        <w:t>Introduction</w:t>
      </w:r>
    </w:p>
    <w:p w:rsidR="00347ADC" w:rsidRPr="00D33A64" w:rsidRDefault="00E40312">
      <w:pPr>
        <w:pStyle w:val="FirstParagraph"/>
      </w:pPr>
      <w:r w:rsidRPr="00D33A64">
        <w:t>The vast majority of species listed as Threatened or Endangered under the U.S. Endangered Species Act (ESA) are not yet recovered. The threats facing these species are increasingly diverse, and the agencies responsible for their recovery are challenged wit</w:t>
      </w:r>
      <w:r w:rsidRPr="00D33A64">
        <w:t>h limited budgets that do not match the growing number of listed species. A critical mission for advancing endangered species conservation is to identify and develop ESA implementation methods that can both improve efficiency and efficacy of species recove</w:t>
      </w:r>
      <w:r w:rsidRPr="00D33A64">
        <w:t>ry. To this end, the designation of species recovery units is a potentially underused resource.</w:t>
      </w:r>
    </w:p>
    <w:p w:rsidR="00347ADC" w:rsidRPr="00D33A64" w:rsidRDefault="00E40312">
      <w:pPr>
        <w:pStyle w:val="BodyText"/>
      </w:pPr>
      <w:r w:rsidRPr="00D33A64">
        <w:t xml:space="preserve">Recovery units were defined in the </w:t>
      </w:r>
      <w:r w:rsidR="00D33A64">
        <w:t xml:space="preserve">2004 </w:t>
      </w:r>
      <w:r w:rsidRPr="00D33A64">
        <w:t>National Marine Fisheries Service Threatened and Endangered Species Recovery Planning Guidance document as "a special unit of</w:t>
      </w:r>
      <w:r w:rsidRPr="00D33A64">
        <w:t xml:space="preserve"> the listed entity that is geographically or otherwise identifiable, and is essential to the recovery of the entire listed entity." Analysis of whether federal actions may jeopardize the continued existence of a listed species during section 7 consultation</w:t>
      </w:r>
      <w:r w:rsidRPr="00D33A64">
        <w:t xml:space="preserve">s can be performed at the recovery unit level. Additionally, recovery actions and criteria may differ among recovery units, potentially allowing for more targeted and efficient recovery planning. Finally, because recovery units can be delineated according </w:t>
      </w:r>
      <w:r w:rsidRPr="00D33A64">
        <w:t xml:space="preserve">to a wide range of factors - genetic diversity, developmental stages, and ecosystem diversity - they provide an adaptable framework for a wide range of taxa. Taken together, recovery units provide a tool that could be used both for more flexible and, when </w:t>
      </w:r>
      <w:r w:rsidRPr="00D33A64">
        <w:t>necessary, more stringent limits on adverse effects.</w:t>
      </w:r>
    </w:p>
    <w:p w:rsidR="00347ADC" w:rsidRPr="00D33A64" w:rsidRDefault="00E40312">
      <w:pPr>
        <w:pStyle w:val="BodyText"/>
      </w:pPr>
      <w:r w:rsidRPr="00D33A64">
        <w:t>Recovery units are a particularly appealing tool, because they already exists within the current ESA framework. Currently, only 32 out of 1364 species with recovery plans have recovery units defined, and</w:t>
      </w:r>
      <w:r w:rsidRPr="00D33A64">
        <w:t xml:space="preserve"> 491 listed species do not have recovery plans finalized. Thus, recovery units present a practical and immediate opportunity to improve endangered species conservation and recovery. The goal of this paper was to understand what has guided the agencies curr</w:t>
      </w:r>
      <w:r w:rsidRPr="00D33A64">
        <w:t xml:space="preserve">ent use of recovery units, and evaluate their utility for recovering endangered species. Our first objective was to quantify patterns of recovery unit designation. Our second objective was to assess how recovery units are used in ESA implementation during </w:t>
      </w:r>
      <w:r w:rsidRPr="00D33A64">
        <w:t>recovery planning and section 7 consultation. Finally, we assess whether species with recovery units show greater evidence of recovery than those without units designated.</w:t>
      </w:r>
    </w:p>
    <w:p w:rsidR="00347ADC" w:rsidRPr="00D33A64" w:rsidRDefault="00E40312">
      <w:pPr>
        <w:pStyle w:val="Heading2"/>
        <w:rPr>
          <w:color w:val="auto"/>
        </w:rPr>
      </w:pPr>
      <w:bookmarkStart w:id="1" w:name="methods"/>
      <w:bookmarkEnd w:id="1"/>
      <w:r w:rsidRPr="00D33A64">
        <w:rPr>
          <w:color w:val="auto"/>
        </w:rPr>
        <w:t>Me</w:t>
      </w:r>
      <w:r w:rsidR="00EB772E">
        <w:rPr>
          <w:color w:val="auto"/>
        </w:rPr>
        <w:t>asures</w:t>
      </w:r>
    </w:p>
    <w:p w:rsidR="00347ADC" w:rsidRPr="00D33A64" w:rsidRDefault="00E40312">
      <w:pPr>
        <w:pStyle w:val="FirstParagraph"/>
      </w:pPr>
      <w:r w:rsidRPr="00D33A64">
        <w:t>We used data from the Fish and Widlife Service (FWS) and National Marine Fis</w:t>
      </w:r>
      <w:r w:rsidRPr="00D33A64">
        <w:t xml:space="preserve">heries Service (NMFS), hereafter referred to collectively as the Services, to quantify the role of </w:t>
      </w:r>
      <w:r w:rsidRPr="00D33A64">
        <w:lastRenderedPageBreak/>
        <w:t>recovery units in conservation and recovery. Unless otherwise specified, we collected and analyzed data from species listed as Threatened or Endangered, (her</w:t>
      </w:r>
      <w:r w:rsidRPr="00D33A64">
        <w:t>eafter listed species) in the United States. As recovery units are designated in recovery plans, we considered only those species with existing recovery plans, which we refer to as all species.</w:t>
      </w:r>
    </w:p>
    <w:p w:rsidR="00347ADC" w:rsidRPr="00D33A64" w:rsidRDefault="00E40312">
      <w:pPr>
        <w:pStyle w:val="BodyText"/>
      </w:pPr>
      <w:r w:rsidRPr="00D33A64">
        <w:t>We considered species</w:t>
      </w:r>
      <w:r w:rsidR="00EB772E">
        <w:t>’</w:t>
      </w:r>
      <w:r w:rsidRPr="00D33A64">
        <w:t xml:space="preserve"> taxonomic membership, geographic region</w:t>
      </w:r>
      <w:r w:rsidR="00EB772E">
        <w:t xml:space="preserve"> of occurrence</w:t>
      </w:r>
      <w:r w:rsidRPr="00D33A64">
        <w:t>,</w:t>
      </w:r>
      <w:r w:rsidRPr="00D33A64">
        <w:t xml:space="preserve"> range size, re</w:t>
      </w:r>
      <w:r w:rsidR="00EB772E">
        <w:t>c</w:t>
      </w:r>
      <w:r w:rsidRPr="00D33A64">
        <w:t xml:space="preserve">overy prioritization, and extent of genetic research as potential correlates of recovery unit designation. We followed </w:t>
      </w:r>
      <w:r w:rsidR="00D33A64">
        <w:t xml:space="preserve">taxonomic groupings used by </w:t>
      </w:r>
      <w:r w:rsidR="00EB772E">
        <w:t>the Services</w:t>
      </w:r>
      <w:r w:rsidRPr="00D33A64">
        <w:t>, designating species as either Amphibians, Arachnids, Birds, Crustaceans, Fishes, Insects, Mammals,</w:t>
      </w:r>
      <w:r w:rsidRPr="00D33A64">
        <w:t xml:space="preserve"> Molluscs, Plants, or Reptiles. Region was the lead FWS Region, or NMFS, responsible for a listed species. We estimated range </w:t>
      </w:r>
      <w:r w:rsidR="00D33A64">
        <w:t xml:space="preserve">size as the total area </w:t>
      </w:r>
      <w:r w:rsidRPr="00D33A64">
        <w:t>of counties in which the Services report a species to occur</w:t>
      </w:r>
      <w:r w:rsidR="00D33A64">
        <w:t>, in acres</w:t>
      </w:r>
      <w:r w:rsidRPr="00D33A64">
        <w:t>.</w:t>
      </w:r>
    </w:p>
    <w:p w:rsidR="00347ADC" w:rsidRPr="00D33A64" w:rsidRDefault="00E40312">
      <w:pPr>
        <w:pStyle w:val="BodyText"/>
      </w:pPr>
      <w:r w:rsidRPr="00D33A64">
        <w:t>Recovery prioritization numbers are u</w:t>
      </w:r>
      <w:r w:rsidRPr="00D33A64">
        <w:t xml:space="preserve">sed by the Services to prioritize recovery efforts and actions among listed species. These scores range from 1 - 18, with 1 representing high priority, and are based hierarchically on the degree of threat faced by a species ('High', 'Moderate', or 'Low'), </w:t>
      </w:r>
      <w:r w:rsidRPr="00D33A64">
        <w:t>the species' potential for recovery ('High', or 'Low'), and its taxonimc uniqueness ('Monotypic genus', 'Species', 'Subspecies'). Additionally, the Services may designate a species as potentially in conflict with economic activities using a 'C' suffix (e.g</w:t>
      </w:r>
      <w:r w:rsidRPr="00D33A64">
        <w:t>., '2C'). We separated the priority number and conflict designation into two variables, Priority and Conflict.</w:t>
      </w:r>
    </w:p>
    <w:p w:rsidR="00347ADC" w:rsidRPr="00D33A64" w:rsidRDefault="00E40312">
      <w:pPr>
        <w:pStyle w:val="BodyText"/>
      </w:pPr>
      <w:r w:rsidRPr="00D33A64">
        <w:t xml:space="preserve">As the justifcation for delineation of recovery units in the </w:t>
      </w:r>
      <w:r w:rsidR="00EB772E">
        <w:t>r</w:t>
      </w:r>
      <w:r w:rsidRPr="00D33A64">
        <w:t xml:space="preserve">ecovery </w:t>
      </w:r>
      <w:r w:rsidR="00EB772E">
        <w:t>p</w:t>
      </w:r>
      <w:r w:rsidRPr="00D33A64">
        <w:t xml:space="preserve">anning </w:t>
      </w:r>
      <w:r w:rsidR="00EB772E">
        <w:t>g</w:t>
      </w:r>
      <w:bookmarkStart w:id="2" w:name="_GoBack"/>
      <w:bookmarkEnd w:id="2"/>
      <w:r w:rsidRPr="00D33A64">
        <w:t>uidance document references the importance of genetic diversity a</w:t>
      </w:r>
      <w:r w:rsidRPr="00D33A64">
        <w:t>nd robustness, we considered the relative amount of genetic research for a species as a potential predictor of recovery unit designation. The number of Google scholar citations returned using the search term "[Species] population genetics" was used as a pr</w:t>
      </w:r>
      <w:r w:rsidRPr="00D33A64">
        <w:t>oximal indicator of the extent of scientific knowledge of a species' population genetics. We refer to this measure as genetic citations.</w:t>
      </w:r>
    </w:p>
    <w:p w:rsidR="00347ADC" w:rsidRDefault="00E40312">
      <w:pPr>
        <w:pStyle w:val="BodyText"/>
      </w:pPr>
      <w:r w:rsidRPr="00D33A64">
        <w:t>To assess the use of recovery units during ESA implementation we examined biological opinions (BIOPS) written by the Se</w:t>
      </w:r>
      <w:r w:rsidRPr="00D33A64">
        <w:t>rvices during Section 7 consultations. Due to the nationally low rates of jeopardy and/or adverse modification determinations (Malcom &amp; Li, 2016), we use the proportion of consultations that were formal fo</w:t>
      </w:r>
      <w:r w:rsidR="00D33A64">
        <w:t>r each species to indicate the strength of conservation measures</w:t>
      </w:r>
      <w:r w:rsidRPr="00D33A64">
        <w:t xml:space="preserve">. Finally, we also </w:t>
      </w:r>
      <w:r w:rsidRPr="00D33A64">
        <w:t xml:space="preserve">examined five year reviews to evaluate the recovery of listed species. These documents provide updated status information for listed species, including recommendations as to whether changes in listing status or recovery prioritiation are warranted. (i.e., </w:t>
      </w:r>
      <w:r w:rsidRPr="00D33A64">
        <w:t>delisting, increase in priority number, or downlisting from Endangered to Threatened). We used rates of status imp</w:t>
      </w:r>
      <w:r w:rsidR="00D33A64">
        <w:t>rovement - either recommended down</w:t>
      </w:r>
      <w:r w:rsidRPr="00D33A64">
        <w:t xml:space="preserve">listing, or increase in priority number - to </w:t>
      </w:r>
      <w:r w:rsidR="00D33A64">
        <w:t>measure</w:t>
      </w:r>
      <w:r w:rsidRPr="00D33A64">
        <w:t xml:space="preserve"> the recovery of species.</w:t>
      </w:r>
    </w:p>
    <w:p w:rsidR="003D7A13" w:rsidRPr="00D33A64" w:rsidRDefault="003D7A13">
      <w:pPr>
        <w:pStyle w:val="BodyText"/>
      </w:pPr>
    </w:p>
    <w:p w:rsidR="00347ADC" w:rsidRPr="00D33A64" w:rsidRDefault="00E40312">
      <w:pPr>
        <w:pStyle w:val="Heading2"/>
        <w:rPr>
          <w:color w:val="auto"/>
        </w:rPr>
      </w:pPr>
      <w:bookmarkStart w:id="3" w:name="objective-2-assess-how-recovery-units-ar"/>
      <w:bookmarkStart w:id="4" w:name="results"/>
      <w:bookmarkEnd w:id="3"/>
      <w:bookmarkEnd w:id="4"/>
      <w:r w:rsidRPr="00D33A64">
        <w:rPr>
          <w:color w:val="auto"/>
        </w:rPr>
        <w:lastRenderedPageBreak/>
        <w:t>Results</w:t>
      </w:r>
    </w:p>
    <w:p w:rsidR="00347ADC" w:rsidRPr="00D33A64" w:rsidRDefault="00E40312">
      <w:pPr>
        <w:pStyle w:val="Heading4"/>
        <w:rPr>
          <w:color w:val="auto"/>
        </w:rPr>
      </w:pPr>
      <w:bookmarkStart w:id="5" w:name="recovery-unit-characteristics-and-patter"/>
      <w:bookmarkEnd w:id="5"/>
      <w:r w:rsidRPr="00D33A64">
        <w:rPr>
          <w:color w:val="auto"/>
        </w:rPr>
        <w:t>Recovery Unit Characteristics and Patterns</w:t>
      </w:r>
    </w:p>
    <w:p w:rsidR="00347ADC" w:rsidRPr="00D33A64" w:rsidRDefault="00E40312" w:rsidP="003D7A13">
      <w:pPr>
        <w:pStyle w:val="FirstParagraph"/>
        <w:ind w:firstLine="720"/>
      </w:pPr>
      <w:r w:rsidRPr="00D33A64">
        <w:t>We identified 32 Threatened or Endangered species with designated recovery units. Number of units per species ranged from NA to NA.</w:t>
      </w:r>
      <w:r w:rsidRPr="00D33A64">
        <w:t xml:space="preserve"> Units were as small as 7 ac and as large as 12,492,233 ac. The rate of recovery unit designation has remained consistently low, between 0 and 3 species per year since 1995, with the exception of a peak in 2003, in which 8 species were given recovery units</w:t>
      </w:r>
      <w:r w:rsidRPr="00D33A64">
        <w:t>.</w:t>
      </w:r>
    </w:p>
    <w:p w:rsidR="00347ADC" w:rsidRPr="00D33A64" w:rsidRDefault="00E95911">
      <w:pPr>
        <w:pStyle w:val="FirstParagraph"/>
      </w:pPr>
      <w:r>
        <w:rPr>
          <w:noProof/>
        </w:rPr>
        <w:drawing>
          <wp:inline distT="0" distB="0" distL="0" distR="0" wp14:anchorId="00F5AFC1" wp14:editId="5B0BCE5E">
            <wp:extent cx="5476875"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B312E" w:rsidRPr="007B1E38" w:rsidRDefault="006B312E" w:rsidP="006B312E">
      <w:pPr>
        <w:pStyle w:val="Caption"/>
        <w:rPr>
          <w:i w:val="0"/>
        </w:rPr>
      </w:pPr>
      <w:r w:rsidRPr="007B1E38">
        <w:rPr>
          <w:b/>
          <w:i w:val="0"/>
        </w:rPr>
        <w:t xml:space="preserve">Figure </w:t>
      </w:r>
      <w:r>
        <w:rPr>
          <w:b/>
          <w:i w:val="0"/>
        </w:rPr>
        <w:t>1</w:t>
      </w:r>
      <w:r w:rsidRPr="007B1E38">
        <w:rPr>
          <w:i w:val="0"/>
        </w:rPr>
        <w:t xml:space="preserve"> </w:t>
      </w:r>
      <w:r>
        <w:rPr>
          <w:i w:val="0"/>
        </w:rPr>
        <w:t>Timeline of the number of recovery plans in which recovery units were designated</w:t>
      </w:r>
      <w:r w:rsidRPr="007B1E38">
        <w:rPr>
          <w:i w:val="0"/>
        </w:rPr>
        <w:t>.</w:t>
      </w: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6B312E" w:rsidRDefault="006B312E">
      <w:pPr>
        <w:pStyle w:val="BodyText"/>
      </w:pPr>
    </w:p>
    <w:p w:rsidR="003D7A13" w:rsidRDefault="003D7A13">
      <w:pPr>
        <w:pStyle w:val="BodyText"/>
      </w:pPr>
    </w:p>
    <w:p w:rsidR="00347ADC" w:rsidRPr="00D33A64" w:rsidRDefault="00E40312" w:rsidP="003D7A13">
      <w:pPr>
        <w:pStyle w:val="BodyText"/>
        <w:ind w:firstLine="720"/>
      </w:pPr>
      <w:r w:rsidRPr="00D33A64">
        <w:lastRenderedPageBreak/>
        <w:t>Chi-squared contingency tests were used to test for significant differences in the proportions of species with rec</w:t>
      </w:r>
      <w:r w:rsidRPr="00D33A64">
        <w:t xml:space="preserve">overy units falling into taxonomic , relative to these distributions among species with recovery units as a whole. The use of recovery units appeared to be biased towards specific taxa, both when plant species were (X2 = 48.52, df = 9, p = 0) and were not </w:t>
      </w:r>
      <w:r w:rsidRPr="00D33A64">
        <w:t>considered (X2 = 15.79, df = 8, p = 0.05). Specifically, amphibians, fishes, insects, mammals, and reptiles are more frequently given recovery units relative to their frequency among listed species with recovery plans.</w:t>
      </w:r>
    </w:p>
    <w:p w:rsidR="000A1820" w:rsidRDefault="00E40312">
      <w:pPr>
        <w:pStyle w:val="BodyText"/>
      </w:pPr>
      <w:r w:rsidRPr="00D33A64">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taxa_bars-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r w:rsidRPr="00D33A64">
        <w:t xml:space="preserve"> </w:t>
      </w:r>
    </w:p>
    <w:p w:rsidR="006B312E" w:rsidRPr="007B1E38" w:rsidRDefault="006B312E" w:rsidP="006B312E">
      <w:pPr>
        <w:pStyle w:val="Caption"/>
        <w:rPr>
          <w:i w:val="0"/>
        </w:rPr>
      </w:pPr>
      <w:r w:rsidRPr="007B1E38">
        <w:rPr>
          <w:b/>
          <w:i w:val="0"/>
        </w:rPr>
        <w:t xml:space="preserve">Figure </w:t>
      </w:r>
      <w:r>
        <w:rPr>
          <w:b/>
          <w:i w:val="0"/>
        </w:rPr>
        <w:t>2</w:t>
      </w:r>
      <w:r w:rsidRPr="007B1E38">
        <w:rPr>
          <w:i w:val="0"/>
        </w:rPr>
        <w:t xml:space="preserve"> </w:t>
      </w:r>
      <w:r>
        <w:rPr>
          <w:i w:val="0"/>
        </w:rPr>
        <w:t>Relative distributions of listed species among taxonomic groups for all species with recovery plans (blue) and the subset of species with designated recovery units (orange)</w:t>
      </w:r>
      <w:r w:rsidRPr="007B1E38">
        <w:rPr>
          <w:i w:val="0"/>
        </w:rPr>
        <w:t>.</w:t>
      </w:r>
      <w:r>
        <w:rPr>
          <w:i w:val="0"/>
        </w:rPr>
        <w:t xml:space="preserve">  Disparities in bar height within a taxon indicate disproportionate application of recovery units.</w:t>
      </w: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47ADC" w:rsidRPr="00D33A64" w:rsidRDefault="00E40312" w:rsidP="003D7A13">
      <w:pPr>
        <w:pStyle w:val="BodyText"/>
        <w:ind w:firstLine="720"/>
      </w:pPr>
      <w:r w:rsidRPr="00D33A64">
        <w:lastRenderedPageBreak/>
        <w:t>Species range size differed signif</w:t>
      </w:r>
      <w:r w:rsidRPr="00D33A64">
        <w:t xml:space="preserve">icantly among taxonomic groups, indicated by an ANOVA using the log of range area as the response variable (F = 17.504, p </w:t>
      </w:r>
      <w:r w:rsidR="000A1820">
        <w:t>&lt; 0.001</w:t>
      </w:r>
      <w:r w:rsidRPr="00D33A64">
        <w:t>). Thus, we used standardized z-scores of area per taxonomic group, and linear mixed models with taxonomic group as</w:t>
      </w:r>
      <w:r w:rsidRPr="00D33A64">
        <w:t xml:space="preserve"> a random effect to account for differences in means among taxa when performing statistical tests. Similarly, number of genentic citations differed between years (F = 18.73, p </w:t>
      </w:r>
      <w:r w:rsidR="000A1820">
        <w:t>&lt; 0.001</w:t>
      </w:r>
      <w:r w:rsidRPr="00D33A64">
        <w:t>), and we transformed raw citation numbe</w:t>
      </w:r>
      <w:r w:rsidRPr="00D33A64">
        <w:t>rs to z-scores calculated within 5-year bins.</w:t>
      </w:r>
      <w:r w:rsidR="000A1820">
        <w:t xml:space="preserve">  </w:t>
      </w:r>
      <w:r w:rsidRPr="00D33A64">
        <w:t>Recovery units were applied to species with larger ranges, relative to their taxonomic mean (t = 4.21, p &lt; 0.001).</w:t>
      </w:r>
    </w:p>
    <w:p w:rsidR="000A1820" w:rsidRDefault="00E40312">
      <w:pPr>
        <w:pStyle w:val="BodyText"/>
      </w:pPr>
      <w:r w:rsidRPr="00D33A64">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area_bars-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r w:rsidRPr="00D33A64">
        <w:t xml:space="preserve"> </w:t>
      </w:r>
    </w:p>
    <w:p w:rsidR="006B312E" w:rsidRPr="007B1E38" w:rsidRDefault="006B312E" w:rsidP="006B312E">
      <w:pPr>
        <w:pStyle w:val="Caption"/>
        <w:rPr>
          <w:i w:val="0"/>
        </w:rPr>
      </w:pPr>
      <w:r w:rsidRPr="007B1E38">
        <w:rPr>
          <w:b/>
          <w:i w:val="0"/>
        </w:rPr>
        <w:t xml:space="preserve">Figure </w:t>
      </w:r>
      <w:r>
        <w:rPr>
          <w:b/>
          <w:i w:val="0"/>
        </w:rPr>
        <w:t>3</w:t>
      </w:r>
      <w:r w:rsidRPr="007B1E38">
        <w:rPr>
          <w:i w:val="0"/>
        </w:rPr>
        <w:t xml:space="preserve"> </w:t>
      </w:r>
      <w:r>
        <w:rPr>
          <w:i w:val="0"/>
        </w:rPr>
        <w:t>Standardized range sizes of species with recovery units (orange) and all species with recovery plans (blue).  Range sizes were represented as standardized z-scores per taxonomic group.  Boxplots display the 5</w:t>
      </w:r>
      <w:r w:rsidRPr="006B312E">
        <w:rPr>
          <w:i w:val="0"/>
          <w:vertAlign w:val="superscript"/>
        </w:rPr>
        <w:t>th</w:t>
      </w:r>
      <w:r>
        <w:rPr>
          <w:i w:val="0"/>
        </w:rPr>
        <w:t>, 25</w:t>
      </w:r>
      <w:r w:rsidRPr="006B312E">
        <w:rPr>
          <w:i w:val="0"/>
          <w:vertAlign w:val="superscript"/>
        </w:rPr>
        <w:t>th</w:t>
      </w:r>
      <w:r>
        <w:rPr>
          <w:i w:val="0"/>
        </w:rPr>
        <w:t>, 50</w:t>
      </w:r>
      <w:r w:rsidRPr="006B312E">
        <w:rPr>
          <w:i w:val="0"/>
          <w:vertAlign w:val="superscript"/>
        </w:rPr>
        <w:t>th</w:t>
      </w:r>
      <w:r>
        <w:rPr>
          <w:i w:val="0"/>
        </w:rPr>
        <w:t>, 75</w:t>
      </w:r>
      <w:r w:rsidRPr="006B312E">
        <w:rPr>
          <w:i w:val="0"/>
          <w:vertAlign w:val="superscript"/>
        </w:rPr>
        <w:t>th</w:t>
      </w:r>
      <w:r>
        <w:rPr>
          <w:i w:val="0"/>
        </w:rPr>
        <w:t xml:space="preserve"> and 95</w:t>
      </w:r>
      <w:r w:rsidRPr="006B312E">
        <w:rPr>
          <w:i w:val="0"/>
          <w:vertAlign w:val="superscript"/>
        </w:rPr>
        <w:t>th</w:t>
      </w:r>
      <w:r>
        <w:rPr>
          <w:i w:val="0"/>
        </w:rPr>
        <w:t xml:space="preserve"> percentiles of the distributions, and colored violin plots indicate the distribution density</w:t>
      </w:r>
      <w:r w:rsidRPr="007B1E38">
        <w:rPr>
          <w:i w:val="0"/>
        </w:rPr>
        <w:t>.</w:t>
      </w:r>
    </w:p>
    <w:p w:rsidR="000A1820" w:rsidRDefault="00E40312" w:rsidP="003D7A13">
      <w:pPr>
        <w:pStyle w:val="BodyText"/>
        <w:ind w:firstLine="720"/>
      </w:pPr>
      <w:r w:rsidRPr="00D33A64">
        <w:lastRenderedPageBreak/>
        <w:t>Mean number of genetic cita</w:t>
      </w:r>
      <w:r w:rsidR="000A1820">
        <w:t>tions were higher (t = 2.73</w:t>
      </w:r>
      <w:r w:rsidRPr="00D33A64">
        <w:t xml:space="preserve"> df = 30.91, p = 0.01) for recove</w:t>
      </w:r>
      <w:r w:rsidR="000A1820">
        <w:t>ry unit species (11.60</w:t>
      </w:r>
      <w:r w:rsidRPr="00D33A64">
        <w:t>) than the me</w:t>
      </w:r>
      <w:r w:rsidR="000A1820">
        <w:t>an number for all species (3.97</w:t>
      </w:r>
      <w:r w:rsidRPr="00D33A64">
        <w:t xml:space="preserve">). </w:t>
      </w:r>
      <w:r w:rsidRPr="00D33A64">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scholar_bars-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r w:rsidRPr="00D33A64">
        <w:t xml:space="preserve"> </w:t>
      </w:r>
    </w:p>
    <w:p w:rsidR="003D7A13" w:rsidRPr="006B312E" w:rsidRDefault="006B312E" w:rsidP="006B312E">
      <w:pPr>
        <w:pStyle w:val="Caption"/>
        <w:rPr>
          <w:i w:val="0"/>
        </w:rPr>
      </w:pPr>
      <w:r w:rsidRPr="007B1E38">
        <w:rPr>
          <w:b/>
          <w:i w:val="0"/>
        </w:rPr>
        <w:t xml:space="preserve">Figure </w:t>
      </w:r>
      <w:r>
        <w:rPr>
          <w:b/>
          <w:i w:val="0"/>
        </w:rPr>
        <w:t>4</w:t>
      </w:r>
      <w:r w:rsidRPr="007B1E38">
        <w:rPr>
          <w:i w:val="0"/>
        </w:rPr>
        <w:t xml:space="preserve"> </w:t>
      </w:r>
      <w:r>
        <w:rPr>
          <w:i w:val="0"/>
        </w:rPr>
        <w:t xml:space="preserve">Standardized </w:t>
      </w:r>
      <w:r>
        <w:rPr>
          <w:i w:val="0"/>
        </w:rPr>
        <w:t>number of Google Scholar citations using the term ‘population genetics’</w:t>
      </w:r>
      <w:r>
        <w:rPr>
          <w:i w:val="0"/>
        </w:rPr>
        <w:t xml:space="preserve"> </w:t>
      </w:r>
      <w:r>
        <w:rPr>
          <w:i w:val="0"/>
        </w:rPr>
        <w:t>for species with</w:t>
      </w:r>
      <w:r>
        <w:rPr>
          <w:i w:val="0"/>
        </w:rPr>
        <w:t xml:space="preserve"> recovery units (orange) and all species with recovery plans (blue).  </w:t>
      </w:r>
      <w:r>
        <w:rPr>
          <w:i w:val="0"/>
        </w:rPr>
        <w:t>Number of citations</w:t>
      </w:r>
      <w:r>
        <w:rPr>
          <w:i w:val="0"/>
        </w:rPr>
        <w:t xml:space="preserve"> were represented as standardized z-scores per </w:t>
      </w:r>
      <w:r>
        <w:rPr>
          <w:i w:val="0"/>
        </w:rPr>
        <w:t>5-year bin</w:t>
      </w:r>
      <w:r>
        <w:rPr>
          <w:i w:val="0"/>
        </w:rPr>
        <w:t>.  Boxplots display the 5</w:t>
      </w:r>
      <w:r w:rsidRPr="006B312E">
        <w:rPr>
          <w:i w:val="0"/>
          <w:vertAlign w:val="superscript"/>
        </w:rPr>
        <w:t>th</w:t>
      </w:r>
      <w:r>
        <w:rPr>
          <w:i w:val="0"/>
        </w:rPr>
        <w:t>, 25</w:t>
      </w:r>
      <w:r w:rsidRPr="006B312E">
        <w:rPr>
          <w:i w:val="0"/>
          <w:vertAlign w:val="superscript"/>
        </w:rPr>
        <w:t>th</w:t>
      </w:r>
      <w:r>
        <w:rPr>
          <w:i w:val="0"/>
        </w:rPr>
        <w:t>, 50</w:t>
      </w:r>
      <w:r w:rsidRPr="006B312E">
        <w:rPr>
          <w:i w:val="0"/>
          <w:vertAlign w:val="superscript"/>
        </w:rPr>
        <w:t>th</w:t>
      </w:r>
      <w:r>
        <w:rPr>
          <w:i w:val="0"/>
        </w:rPr>
        <w:t>, 75</w:t>
      </w:r>
      <w:r w:rsidRPr="006B312E">
        <w:rPr>
          <w:i w:val="0"/>
          <w:vertAlign w:val="superscript"/>
        </w:rPr>
        <w:t>th</w:t>
      </w:r>
      <w:r>
        <w:rPr>
          <w:i w:val="0"/>
        </w:rPr>
        <w:t xml:space="preserve"> and 95</w:t>
      </w:r>
      <w:r w:rsidRPr="006B312E">
        <w:rPr>
          <w:i w:val="0"/>
          <w:vertAlign w:val="superscript"/>
        </w:rPr>
        <w:t>th</w:t>
      </w:r>
      <w:r>
        <w:rPr>
          <w:i w:val="0"/>
        </w:rPr>
        <w:t xml:space="preserve"> percentiles of the distributions, and colored violin plots indicate the distribution density</w:t>
      </w:r>
      <w:r w:rsidRPr="007B1E38">
        <w:rPr>
          <w:i w:val="0"/>
        </w:rPr>
        <w:t>.</w:t>
      </w:r>
    </w:p>
    <w:p w:rsidR="003D7A13" w:rsidRDefault="00E40312" w:rsidP="003D7A13">
      <w:pPr>
        <w:pStyle w:val="BodyText"/>
        <w:ind w:firstLine="720"/>
      </w:pPr>
      <w:r w:rsidRPr="00D33A64">
        <w:t>F</w:t>
      </w:r>
      <w:r w:rsidRPr="00D33A64">
        <w:t>inally, there were no differences in frequencies of recovery unit designation among species between FWS regions (X2 = 32, p = 0.27), nor did recovery priority numbers differ signifi</w:t>
      </w:r>
      <w:r w:rsidRPr="00D33A64">
        <w:t xml:space="preserve">cantly between species with and without recovery units (p = 0.37). However, a significantly (p &lt; 0.01), greater proportion of species with recovery units had an economic conflict designation (0.74) than among all species (0.29).  </w:t>
      </w:r>
    </w:p>
    <w:p w:rsidR="003D7A13" w:rsidRDefault="003D7A13" w:rsidP="003D7A13">
      <w:pPr>
        <w:pStyle w:val="BodyText"/>
        <w:ind w:firstLine="720"/>
      </w:pPr>
    </w:p>
    <w:p w:rsidR="003D7A13" w:rsidRDefault="003D7A13" w:rsidP="003D7A13">
      <w:pPr>
        <w:pStyle w:val="BodyText"/>
        <w:ind w:firstLine="720"/>
      </w:pPr>
    </w:p>
    <w:p w:rsidR="003D7A13" w:rsidRDefault="003D7A13" w:rsidP="003D7A13">
      <w:pPr>
        <w:pStyle w:val="BodyText"/>
        <w:ind w:firstLine="720"/>
      </w:pPr>
    </w:p>
    <w:p w:rsidR="003D7A13" w:rsidRDefault="003D7A13" w:rsidP="003D7A13">
      <w:pPr>
        <w:pStyle w:val="BodyText"/>
        <w:ind w:firstLine="720"/>
      </w:pPr>
    </w:p>
    <w:p w:rsidR="003D7A13" w:rsidRDefault="003D7A13" w:rsidP="003D7A13">
      <w:pPr>
        <w:pStyle w:val="BodyText"/>
        <w:ind w:firstLine="720"/>
      </w:pPr>
    </w:p>
    <w:p w:rsidR="003D7A13" w:rsidRDefault="003D7A13" w:rsidP="003D7A13">
      <w:pPr>
        <w:pStyle w:val="BodyText"/>
        <w:ind w:firstLine="720"/>
      </w:pPr>
    </w:p>
    <w:p w:rsidR="003D7A13" w:rsidRDefault="003D7A13" w:rsidP="006B312E">
      <w:pPr>
        <w:pStyle w:val="BodyText"/>
      </w:pPr>
    </w:p>
    <w:p w:rsidR="000A1820" w:rsidRDefault="00E40312" w:rsidP="003D7A13">
      <w:pPr>
        <w:pStyle w:val="BodyText"/>
        <w:ind w:firstLine="720"/>
      </w:pPr>
      <w:r w:rsidRPr="00D33A64">
        <w:lastRenderedPageBreak/>
        <w:t>We used classification tre</w:t>
      </w:r>
      <w:r w:rsidRPr="00D33A64">
        <w:t>e analys</w:t>
      </w:r>
      <w:r w:rsidR="006B312E">
        <w:t>i</w:t>
      </w:r>
      <w:r w:rsidRPr="00D33A64">
        <w:t>s to provide a multivariate framework for characterizing and predicting which species have recovery units designated based on these characteristics. This analysis indicated that the est</w:t>
      </w:r>
      <w:r w:rsidR="007B1E38">
        <w:t xml:space="preserve">imated area of a species' range was the most important factor determining designation of recovery units.  Additionally, </w:t>
      </w:r>
      <w:r w:rsidR="00FA0804">
        <w:t>genetic citations</w:t>
      </w:r>
      <w:r w:rsidR="007B1E38">
        <w:t xml:space="preserve">, and </w:t>
      </w:r>
      <w:r w:rsidR="00FA0804">
        <w:t>geographic region aided prediction, after species were divided according to range size</w:t>
      </w:r>
      <w:r w:rsidRPr="00D33A64">
        <w:t>.</w:t>
      </w:r>
      <w:r w:rsidR="00FA0804">
        <w:t xml:space="preserve">  Species above the 71</w:t>
      </w:r>
      <w:r w:rsidR="00FA0804" w:rsidRPr="00FA0804">
        <w:rPr>
          <w:vertAlign w:val="superscript"/>
        </w:rPr>
        <w:t>st</w:t>
      </w:r>
      <w:r w:rsidR="00FA0804">
        <w:t xml:space="preserve"> percentile of range size, and 73</w:t>
      </w:r>
      <w:r w:rsidR="00FA0804" w:rsidRPr="00FA0804">
        <w:rPr>
          <w:vertAlign w:val="superscript"/>
        </w:rPr>
        <w:t>rd</w:t>
      </w:r>
      <w:r w:rsidR="00FA0804">
        <w:t xml:space="preserve"> percentile of genetic citations had a 70% chance of recovery unit designation.</w:t>
      </w:r>
    </w:p>
    <w:p w:rsidR="003D7A13" w:rsidRDefault="00E40312" w:rsidP="003D7A13">
      <w:pPr>
        <w:pStyle w:val="BodyText"/>
        <w:keepNext/>
      </w:pPr>
      <w:r w:rsidRPr="00D33A64">
        <w:br/>
      </w:r>
      <w:r w:rsidR="000A1820">
        <w:rPr>
          <w:noProof/>
        </w:rPr>
        <w:drawing>
          <wp:inline distT="0" distB="0" distL="0" distR="0">
            <wp:extent cx="5943600" cy="515859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tree.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8596"/>
                    </a:xfrm>
                    <a:prstGeom prst="rect">
                      <a:avLst/>
                    </a:prstGeom>
                  </pic:spPr>
                </pic:pic>
              </a:graphicData>
            </a:graphic>
          </wp:inline>
        </w:drawing>
      </w:r>
    </w:p>
    <w:p w:rsidR="003D7A13" w:rsidRPr="007B1E38" w:rsidRDefault="003D7A13" w:rsidP="003D7A13">
      <w:pPr>
        <w:pStyle w:val="Caption"/>
        <w:rPr>
          <w:i w:val="0"/>
        </w:rPr>
      </w:pPr>
      <w:r w:rsidRPr="007B1E38">
        <w:rPr>
          <w:b/>
          <w:i w:val="0"/>
        </w:rPr>
        <w:t xml:space="preserve">Figure </w:t>
      </w:r>
      <w:r w:rsidR="006B312E">
        <w:rPr>
          <w:b/>
          <w:i w:val="0"/>
        </w:rPr>
        <w:t>5</w:t>
      </w:r>
      <w:r w:rsidRPr="007B1E38">
        <w:rPr>
          <w:i w:val="0"/>
        </w:rPr>
        <w:t xml:space="preserve"> Classification tree results depicting </w:t>
      </w:r>
      <w:r w:rsidR="007B1E38" w:rsidRPr="007B1E38">
        <w:rPr>
          <w:i w:val="0"/>
        </w:rPr>
        <w:t>variables and thresholds predicting species with recovery units</w:t>
      </w:r>
      <w:r w:rsidRPr="007B1E38">
        <w:rPr>
          <w:i w:val="0"/>
        </w:rPr>
        <w:t xml:space="preserve">.  </w:t>
      </w:r>
      <w:r w:rsidR="007B1E38" w:rsidRPr="007B1E38">
        <w:rPr>
          <w:i w:val="0"/>
        </w:rPr>
        <w:t>Circular nodes indicate significant factors, and l</w:t>
      </w:r>
      <w:r w:rsidRPr="007B1E38">
        <w:rPr>
          <w:i w:val="0"/>
        </w:rPr>
        <w:t>abels along tree edges (lines) indicate</w:t>
      </w:r>
      <w:r w:rsidR="007B1E38" w:rsidRPr="007B1E38">
        <w:rPr>
          <w:i w:val="0"/>
        </w:rPr>
        <w:t xml:space="preserve"> dividing </w:t>
      </w:r>
      <w:r w:rsidRPr="007B1E38">
        <w:rPr>
          <w:i w:val="0"/>
        </w:rPr>
        <w:t>thresholds</w:t>
      </w:r>
      <w:r w:rsidR="007B1E38" w:rsidRPr="007B1E38">
        <w:rPr>
          <w:i w:val="0"/>
        </w:rPr>
        <w:t>.  Colored bars show the proportion of species with recovery units (orange) in each category resulting from the division of species along each combination of nodes and edges.</w:t>
      </w:r>
    </w:p>
    <w:p w:rsidR="000A1820" w:rsidRDefault="00E40312">
      <w:pPr>
        <w:pStyle w:val="BodyText"/>
      </w:pPr>
      <w:r w:rsidRPr="00D33A64">
        <w:t xml:space="preserve">  </w:t>
      </w:r>
    </w:p>
    <w:p w:rsidR="003D7A13" w:rsidRDefault="003D7A13">
      <w:pPr>
        <w:pStyle w:val="BodyText"/>
      </w:pPr>
    </w:p>
    <w:p w:rsidR="00347ADC" w:rsidRPr="00D33A64" w:rsidRDefault="00E40312" w:rsidP="003D7A13">
      <w:pPr>
        <w:pStyle w:val="BodyText"/>
        <w:ind w:firstLine="720"/>
      </w:pPr>
      <w:r w:rsidRPr="00D33A64">
        <w:t xml:space="preserve">The relationship between these factors and recovery unit desination was further investigated using conditional logistic regression. We compared species with recovery units to approximately comparable listed species to evaluate the effect of each predictor </w:t>
      </w:r>
      <w:r w:rsidRPr="00D33A64">
        <w:t>on the probability of recovery unit designation. In selecting comparison species for each recovery unit species, we chose listed species with recovery plans that were similar taxonomically, prioritizing shared Genera, and no more distantly related than a s</w:t>
      </w:r>
      <w:r w:rsidRPr="00D33A64">
        <w:t>hared Family.</w:t>
      </w:r>
    </w:p>
    <w:p w:rsidR="00347ADC" w:rsidRPr="00D33A64" w:rsidRDefault="00E40312" w:rsidP="003D7A13">
      <w:pPr>
        <w:pStyle w:val="FirstParagraph"/>
        <w:ind w:firstLine="720"/>
      </w:pPr>
      <w:r w:rsidRPr="00D33A64">
        <w:t>The</w:t>
      </w:r>
      <w:r w:rsidRPr="00D33A64">
        <w:t xml:space="preserve">se analyses corroborated results from classification tree analysis. A full model including all predictors did not indicate any significant relationships between species characteristics and probability of recovery unit designation. Considered univariately, </w:t>
      </w:r>
      <w:r w:rsidRPr="00D33A64">
        <w:t>the only significant predictors of recovery unit designation were genetic citations (B = 0.89, p = 0.021), and range size (B = 0.59, p = 0.012). Greater number of genetic citations, and larger range size increased the probability of recovery unit designati</w:t>
      </w:r>
      <w:r w:rsidRPr="00D33A64">
        <w:t>on.</w:t>
      </w:r>
    </w:p>
    <w:p w:rsidR="00347ADC" w:rsidRPr="00D33A64" w:rsidRDefault="00E40312">
      <w:pPr>
        <w:pStyle w:val="Heading4"/>
        <w:rPr>
          <w:color w:val="auto"/>
        </w:rPr>
      </w:pPr>
      <w:bookmarkStart w:id="6" w:name="use-of-recovery-units-in-esa-implementat"/>
      <w:bookmarkEnd w:id="6"/>
      <w:r w:rsidRPr="00D33A64">
        <w:rPr>
          <w:color w:val="auto"/>
        </w:rPr>
        <w:t>Use of Recovery Units in ESA Implementation</w:t>
      </w:r>
    </w:p>
    <w:p w:rsidR="00347ADC" w:rsidRPr="00D33A64" w:rsidRDefault="00E40312" w:rsidP="003D7A13">
      <w:pPr>
        <w:pStyle w:val="FirstParagraph"/>
        <w:ind w:firstLine="720"/>
      </w:pPr>
      <w:r w:rsidRPr="00D33A64">
        <w:t xml:space="preserve">Recovery plans for 21 of the 32 species provided an explicit refernce to recovery units as 'essential for species recovery' as stated in the NMFS Recovery Planning Guidance document. Except for three species </w:t>
      </w:r>
      <w:r w:rsidRPr="00D33A64">
        <w:t xml:space="preserve">(Rana draytonii, Gopherus agassizii, and Lessingia germanorum), all plans provided some justification for the designation of recovery units in terms of their role and importance in facilitating persisence and recovery of the entire species. Justifications </w:t>
      </w:r>
      <w:r w:rsidRPr="00D33A64">
        <w:t>fell into two major categories; addressing variance of threats and necessary recovery actions between units, and addressing the '3Rs' of conservation (Redundancy, Representation, and Resilience). Of the 29 plans providing justification, 24 plans referenced</w:t>
      </w:r>
      <w:r w:rsidRPr="00D33A64">
        <w:t xml:space="preserve"> the importance of preserving either geographic and/or genetic variability</w:t>
      </w:r>
      <w:r w:rsidR="000A1820">
        <w:t>,</w:t>
      </w:r>
      <w:r w:rsidRPr="00D33A64">
        <w:t xml:space="preserve"> and representation.</w:t>
      </w:r>
    </w:p>
    <w:p w:rsidR="00347ADC" w:rsidRPr="00D33A64" w:rsidRDefault="00E40312" w:rsidP="003D7A13">
      <w:pPr>
        <w:pStyle w:val="BodyText"/>
        <w:ind w:firstLine="720"/>
      </w:pPr>
      <w:r w:rsidRPr="00D33A64">
        <w:t>Recovery plans for all but 2 species with recovery units (</w:t>
      </w:r>
      <w:r w:rsidRPr="000A1820">
        <w:rPr>
          <w:i/>
        </w:rPr>
        <w:t>Rana draytonii, Cynomys parvidens</w:t>
      </w:r>
      <w:r w:rsidRPr="00D33A64">
        <w:t>) provide unit-specific recovery actions and/or criteria in. Threats w</w:t>
      </w:r>
      <w:r w:rsidRPr="00D33A64">
        <w:t>ere less frequently ennumerated on a per unit basis (10/32). We did not consider recovery actions/criteria or threats as specified per unit even when recovery units are referenced if the actions apply generically to all units (i.e., "High-quality habitat s</w:t>
      </w:r>
      <w:r w:rsidRPr="00D33A64">
        <w:t>ufficient to ensure long-term survival and recovery is prote</w:t>
      </w:r>
      <w:r w:rsidR="000A1820">
        <w:t>cted within each recovery unit"</w:t>
      </w:r>
      <w:r w:rsidRPr="00D33A64">
        <w:t>). Thus, the totals above reflect instances in which different actions/criteria and threats were specified per recovery unit.</w:t>
      </w:r>
    </w:p>
    <w:p w:rsidR="00347ADC" w:rsidRPr="00D33A64" w:rsidRDefault="00E40312" w:rsidP="003D7A13">
      <w:pPr>
        <w:pStyle w:val="BodyText"/>
        <w:ind w:firstLine="720"/>
      </w:pPr>
      <w:r w:rsidRPr="00D33A64">
        <w:t>Additionally, 8 out of 32 recovery pla</w:t>
      </w:r>
      <w:r w:rsidRPr="00D33A64">
        <w:t>ns provided guidance on the role of recovery units during Section 7 consultation, explicitly referring to the use of recovery units in jeopardy analysis.</w:t>
      </w:r>
    </w:p>
    <w:p w:rsidR="00347ADC" w:rsidRPr="00D33A64" w:rsidRDefault="00E40312">
      <w:pPr>
        <w:pStyle w:val="Heading4"/>
        <w:rPr>
          <w:color w:val="auto"/>
        </w:rPr>
      </w:pPr>
      <w:bookmarkStart w:id="7" w:name="impact-of-recovery-units-on-recovery"/>
      <w:bookmarkEnd w:id="7"/>
      <w:r w:rsidRPr="00D33A64">
        <w:rPr>
          <w:color w:val="auto"/>
        </w:rPr>
        <w:t>Impact of Recovery Units on Recovery</w:t>
      </w:r>
    </w:p>
    <w:p w:rsidR="000A1820" w:rsidRDefault="00E40312" w:rsidP="003D7A13">
      <w:pPr>
        <w:pStyle w:val="FirstParagraph"/>
        <w:ind w:firstLine="720"/>
      </w:pPr>
      <w:r w:rsidRPr="00D33A64">
        <w:t>Of the 32 species with designated RUs, 23 had five-year reviews c</w:t>
      </w:r>
      <w:r w:rsidRPr="00D33A64">
        <w:t>onducted after the recovery plan designating RUs was written. Of these 23, RUs were explicitly mentioned for all but one species (</w:t>
      </w:r>
      <w:r w:rsidRPr="000A1820">
        <w:rPr>
          <w:i/>
        </w:rPr>
        <w:t>Manduca blackburnii</w:t>
      </w:r>
      <w:r w:rsidRPr="00D33A64">
        <w:t xml:space="preserve">). Additionally, for each of these species the </w:t>
      </w:r>
      <w:r w:rsidRPr="00D33A64">
        <w:lastRenderedPageBreak/>
        <w:t>population statuses and recovery criteria were evaluated and</w:t>
      </w:r>
      <w:r w:rsidRPr="00D33A64">
        <w:t xml:space="preserve"> reported by recovery unit. The rate of improvement indicated by change to a lower priority number among species with recovery units (0.174), was significantly higher than the rate observed among all five year reviews (0.092), as determined by bootstrappin</w:t>
      </w:r>
      <w:r w:rsidRPr="00D33A64">
        <w:t>g (p &lt; 0.01). Species with recovery units have a significantly higher (p &lt; 0.001) rate of formal section 7 consultation (0.37) than all listed species (0.24).</w:t>
      </w:r>
      <w:r w:rsidRPr="00D33A64">
        <w:br/>
      </w:r>
      <w:r w:rsidRPr="00D33A64">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consult_box-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r w:rsidRPr="00D33A64">
        <w:t xml:space="preserve"> </w:t>
      </w:r>
    </w:p>
    <w:p w:rsidR="000A1820" w:rsidRPr="000A1820" w:rsidRDefault="000A1820" w:rsidP="000A1820">
      <w:pPr>
        <w:pStyle w:val="Heading1"/>
        <w:rPr>
          <w:color w:val="auto"/>
        </w:rPr>
      </w:pPr>
      <w:r>
        <w:t xml:space="preserve"> </w:t>
      </w:r>
      <w:r w:rsidR="00E40312" w:rsidRPr="000A1820">
        <w:rPr>
          <w:color w:val="auto"/>
        </w:rPr>
        <w:t xml:space="preserve">Discussion </w:t>
      </w:r>
    </w:p>
    <w:p w:rsidR="00347ADC" w:rsidRPr="00D33A64" w:rsidRDefault="00E40312" w:rsidP="003D7A13">
      <w:pPr>
        <w:pStyle w:val="FirstParagraph"/>
        <w:ind w:firstLine="720"/>
      </w:pPr>
      <w:r w:rsidRPr="00D33A64">
        <w:t>Recovery units are designated for relatively few species, and our analyses indic</w:t>
      </w:r>
      <w:r w:rsidRPr="00D33A64">
        <w:t xml:space="preserve">ated common characteristics </w:t>
      </w:r>
      <w:r w:rsidR="00EB772E">
        <w:t>among</w:t>
      </w:r>
      <w:r w:rsidRPr="00D33A64">
        <w:t xml:space="preserve"> species with recovery units. Specifically, species with a </w:t>
      </w:r>
      <w:r w:rsidR="00EB772E">
        <w:t>high</w:t>
      </w:r>
      <w:r w:rsidRPr="00D33A64">
        <w:t xml:space="preserve"> number of genetic studies, large</w:t>
      </w:r>
      <w:r w:rsidRPr="00D33A64">
        <w:t xml:space="preserve"> range size, and potentially in conflict with economic development were more likely to receive recovery units. Together, these</w:t>
      </w:r>
      <w:r w:rsidRPr="00D33A64">
        <w:t xml:space="preserve"> characteristics suggest a common profile for species receiving recovery unit designation</w:t>
      </w:r>
      <w:r w:rsidR="00EB772E">
        <w:t xml:space="preserve"> – namely, </w:t>
      </w:r>
      <w:r w:rsidR="00EB772E" w:rsidRPr="00D33A64">
        <w:t>well-studied, wide-ranging species</w:t>
      </w:r>
      <w:r w:rsidRPr="00D33A64">
        <w:t xml:space="preserve">. These criteria may not used explicitly by Agency biologists during recovery </w:t>
      </w:r>
      <w:r w:rsidR="00EB772E">
        <w:t>planning</w:t>
      </w:r>
      <w:r w:rsidRPr="00D33A64">
        <w:t>, but</w:t>
      </w:r>
      <w:r w:rsidR="00EB772E">
        <w:t xml:space="preserve"> rather</w:t>
      </w:r>
      <w:r w:rsidRPr="00D33A64">
        <w:t xml:space="preserve"> characterize </w:t>
      </w:r>
      <w:r w:rsidR="00EB772E">
        <w:t xml:space="preserve">species </w:t>
      </w:r>
      <w:r w:rsidRPr="00D33A64">
        <w:t>that are imp</w:t>
      </w:r>
      <w:r w:rsidRPr="00D33A64">
        <w:t>licitly more likely</w:t>
      </w:r>
      <w:r w:rsidR="00EB772E">
        <w:t xml:space="preserve"> to have recovery units designted.  Notably, these characteristics</w:t>
      </w:r>
      <w:r w:rsidRPr="00D33A64">
        <w:t xml:space="preserve"> match the description (i.e., 'geographic subsets') and purpose (i.e., 'preserve genetic robustness') of recovery units provided in the recovery planning guidance document. The finding that neither listing status nor recovery priority</w:t>
      </w:r>
      <w:r w:rsidRPr="00D33A64">
        <w:t xml:space="preserve"> number were important in predicting the designation of recovery units further suggests that the 'well-studied, wide-ranging' profile may implicitly or explicitly be the driving factor determining recovery unit designation.</w:t>
      </w:r>
    </w:p>
    <w:p w:rsidR="00347ADC" w:rsidRPr="00D33A64" w:rsidRDefault="00E40312" w:rsidP="003D7A13">
      <w:pPr>
        <w:pStyle w:val="BodyText"/>
        <w:ind w:firstLine="720"/>
      </w:pPr>
      <w:r w:rsidRPr="00D33A64">
        <w:t>To ensure that species are provi</w:t>
      </w:r>
      <w:r w:rsidRPr="00D33A64">
        <w:t xml:space="preserve">ded the full protection potentially afforded by recovery units, recovery plans </w:t>
      </w:r>
      <w:r w:rsidR="00EB772E">
        <w:t xml:space="preserve">could </w:t>
      </w:r>
      <w:r w:rsidRPr="00D33A64">
        <w:t xml:space="preserve">more frequently emphasize the use of recovery units </w:t>
      </w:r>
      <w:r w:rsidRPr="00D33A64">
        <w:lastRenderedPageBreak/>
        <w:t xml:space="preserve">as the unit of jeopardy analysis during Section 7 consultations. </w:t>
      </w:r>
      <w:r w:rsidR="00EB772E">
        <w:t>Failure to ensure that recovery units are utilized in this way</w:t>
      </w:r>
      <w:r w:rsidRPr="00D33A64">
        <w:t xml:space="preserve"> could undermine species recovery, as cons</w:t>
      </w:r>
      <w:r w:rsidRPr="00D33A64">
        <w:t>ultations are one of the primary ways in which the ESA is implemented to protect listed species. As stated in the ESA Section 7 Consultation Handbook, jeopardy analysis may be bas</w:t>
      </w:r>
      <w:r w:rsidR="00EB772E">
        <w:t xml:space="preserve">ed on an assessment of impacts </w:t>
      </w:r>
      <w:r w:rsidRPr="00D33A64">
        <w:t xml:space="preserve">to recovery units </w:t>
      </w:r>
      <w:r w:rsidR="00EB772E">
        <w:t>‘</w:t>
      </w:r>
      <w:r w:rsidRPr="00D33A64">
        <w:t>when those units are docume</w:t>
      </w:r>
      <w:r w:rsidRPr="00D33A64">
        <w:t>nted as necessary to both the survival and recovery of the species in a final recovery plan'. Thus, it seems the justification of recovery units is important if recovery units are to be used by the Services to uphold stronger protection for species. Our ex</w:t>
      </w:r>
      <w:r w:rsidRPr="00D33A64">
        <w:t>amination of recovery plans indicated that the Services generally provide thorough and robust justification for the designation and imporance of recovery units, most often citing the importance of maintaining multiple subsegments of a specie's population t</w:t>
      </w:r>
      <w:r w:rsidRPr="00D33A64">
        <w:t>o preserve diversity, and provide resilience.</w:t>
      </w:r>
    </w:p>
    <w:p w:rsidR="00347ADC" w:rsidRPr="00D33A64" w:rsidRDefault="00E40312" w:rsidP="003D7A13">
      <w:pPr>
        <w:pStyle w:val="BodyText"/>
        <w:ind w:firstLine="720"/>
      </w:pPr>
      <w:r w:rsidRPr="00D33A64">
        <w:t xml:space="preserve">These justifications for the use and delineation of recovery units closely matched the reasons explicitly stated in the </w:t>
      </w:r>
      <w:r w:rsidR="00EB772E">
        <w:t>recovery planning guidance document</w:t>
      </w:r>
      <w:r w:rsidRPr="00D33A64">
        <w:t xml:space="preserve"> (e.g. 'genetic robustness', 'demographic robustness', 'important life-histor</w:t>
      </w:r>
      <w:r w:rsidRPr="00D33A64">
        <w:t>y stages'). Whi</w:t>
      </w:r>
      <w:r w:rsidR="00EB772E">
        <w:t xml:space="preserve">le the guidance provided </w:t>
      </w:r>
      <w:r w:rsidRPr="00D33A64">
        <w:t xml:space="preserve">leaves room for </w:t>
      </w:r>
      <w:r w:rsidR="00EB772E">
        <w:t>other recovery unit justification</w:t>
      </w:r>
      <w:r w:rsidRPr="00D33A64">
        <w:t xml:space="preserve"> with the phrase 'or some other feature necessary for long-term sustainability of the entire listed entity,' it seems that the Services rarely go beyond the specific exam</w:t>
      </w:r>
      <w:r w:rsidRPr="00D33A64">
        <w:t>ples identified. This presents a potential opporunity to expand the use of recovery units to offer more robust protection</w:t>
      </w:r>
      <w:r w:rsidR="00EB772E">
        <w:t xml:space="preserve"> to listed species</w:t>
      </w:r>
      <w:r w:rsidRPr="00D33A64">
        <w:t xml:space="preserve">. For instance, population fragmentation and climate change are two of the most often cited threats to species persistence, aside from </w:t>
      </w:r>
      <w:r w:rsidRPr="00D33A64">
        <w:t>direct habitat loss. As connectivity and the capacity to adapt to climate change are clearly scientifically supported as necessary for long-term sustainability, the Services might use recovery units to afford extra protection to subsets of species ranges p</w:t>
      </w:r>
      <w:r w:rsidRPr="00D33A64">
        <w:t>roviding connectivity and future capacity for range shifts.</w:t>
      </w:r>
    </w:p>
    <w:p w:rsidR="00347ADC" w:rsidRPr="00D33A64" w:rsidRDefault="00E40312" w:rsidP="003D7A13">
      <w:pPr>
        <w:pStyle w:val="BodyText"/>
        <w:ind w:firstLine="720"/>
      </w:pPr>
      <w:r w:rsidRPr="00D33A64">
        <w:t>We found some evidence that the deisgnation of recovery units corresponds to stronger conservation measures, and improved recovery relative to species without recovery units. Increased formal cons</w:t>
      </w:r>
      <w:r w:rsidRPr="00D33A64">
        <w:t xml:space="preserve">ultation rates may indicate that federal actions are more likely to trigger formal consultation when their efects are considered at the scale of recovery units. Alternatively, the services may designate recovery units for species that they anticipate will </w:t>
      </w:r>
      <w:r w:rsidRPr="00D33A64">
        <w:t>have a high rate of formal consultation. Although the use of change in recovery priority number is a proximal indicator, greater frequency of improvement in this measure suggests species with recovery units exhibit stronger recovery. Quantitative populatio</w:t>
      </w:r>
      <w:r w:rsidRPr="00D33A64">
        <w:t>n data and monitoring reports, such as those provided in the 2012 Utah prairie dog five year review, would allow for more robust assessment of both the effect of recovery units and listed species recovery overall.</w:t>
      </w:r>
    </w:p>
    <w:p w:rsidR="00347ADC" w:rsidRPr="00D33A64" w:rsidRDefault="00E40312" w:rsidP="003D7A13">
      <w:pPr>
        <w:pStyle w:val="BodyText"/>
        <w:ind w:firstLine="720"/>
      </w:pPr>
      <w:r w:rsidRPr="00D33A64">
        <w:t>While our data does not allow inference of</w:t>
      </w:r>
      <w:r w:rsidRPr="00D33A64">
        <w:t xml:space="preserve"> causality, these findings suggest that additional species could benefit from the designation of recovery units. In particular, species for which no finalized recovery plan exists provide an excellent opportunity to designate recovery units for appropriate</w:t>
      </w:r>
      <w:r w:rsidRPr="00D33A64">
        <w:t xml:space="preserve"> species. Thresholds in important characteristics identified by classification tree analyses can be used to identify species for which recovery units may be warranted and aid recovery efforts. Our results showed that species in the upper 29th percentiles o</w:t>
      </w:r>
      <w:r w:rsidRPr="00D33A64">
        <w:t>f range size, relative to taxonomic means, and upper 27th percentile of genetic citation rate, relative to five year means, would be consistent with current recovery unit designation patterns. While many species not fitting this profile could arguably also</w:t>
      </w:r>
      <w:r w:rsidRPr="00D33A64">
        <w:t xml:space="preserve"> benefit from recovery units, this criteria provides a justifiable starting point </w:t>
      </w:r>
      <w:r w:rsidRPr="00D33A64">
        <w:lastRenderedPageBreak/>
        <w:t>for additional recovery unit designation consistent with both existing patterns as well as the impetus for recovery unit designation stated in Agency recovery planning and co</w:t>
      </w:r>
      <w:r w:rsidRPr="00D33A64">
        <w:t>nslutation guidance documents.</w:t>
      </w:r>
    </w:p>
    <w:sectPr w:rsidR="00347ADC" w:rsidRPr="00D33A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312" w:rsidRDefault="00E40312">
      <w:pPr>
        <w:spacing w:after="0"/>
      </w:pPr>
      <w:r>
        <w:separator/>
      </w:r>
    </w:p>
  </w:endnote>
  <w:endnote w:type="continuationSeparator" w:id="0">
    <w:p w:rsidR="00E40312" w:rsidRDefault="00E403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312" w:rsidRDefault="00E40312">
      <w:r>
        <w:separator/>
      </w:r>
    </w:p>
  </w:footnote>
  <w:footnote w:type="continuationSeparator" w:id="0">
    <w:p w:rsidR="00E40312" w:rsidRDefault="00E403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0C54EC1"/>
    <w:multiLevelType w:val="multilevel"/>
    <w:tmpl w:val="9F3E7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D563D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1820"/>
    <w:rsid w:val="00347ADC"/>
    <w:rsid w:val="003D7A13"/>
    <w:rsid w:val="004E29B3"/>
    <w:rsid w:val="00590D07"/>
    <w:rsid w:val="006B312E"/>
    <w:rsid w:val="00784D58"/>
    <w:rsid w:val="007B1E38"/>
    <w:rsid w:val="008D6863"/>
    <w:rsid w:val="00B86B75"/>
    <w:rsid w:val="00BC48D5"/>
    <w:rsid w:val="00C36279"/>
    <w:rsid w:val="00D33A64"/>
    <w:rsid w:val="00E315A3"/>
    <w:rsid w:val="00E40312"/>
    <w:rsid w:val="00E95911"/>
    <w:rsid w:val="00EB772E"/>
    <w:rsid w:val="00FA08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CFDA7D-D4D9-4029-815B-8124AA9E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solidFill>
                  <a:sysClr val="windowText" lastClr="000000"/>
                </a:solidFill>
              </a:rPr>
              <a:t>Timeline of Recovery</a:t>
            </a:r>
            <a:r>
              <a:rPr lang="en-US" sz="1200" b="1" baseline="0">
                <a:solidFill>
                  <a:sysClr val="windowText" lastClr="000000"/>
                </a:solidFill>
              </a:rPr>
              <a:t> Plans with Recovery Units</a:t>
            </a:r>
            <a:endParaRPr lang="en-US" sz="1200" b="1">
              <a:solidFill>
                <a:sysClr val="windowText" lastClr="000000"/>
              </a:solidFill>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Sheet6!$I$8:$I$29</c:f>
              <c:numCache>
                <c:formatCode>General</c:formatCode>
                <c:ptCount val="22"/>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numCache>
            </c:numRef>
          </c:cat>
          <c:val>
            <c:numRef>
              <c:f>Sheet6!$J$8:$J$29</c:f>
              <c:numCache>
                <c:formatCode>General</c:formatCode>
                <c:ptCount val="22"/>
                <c:pt idx="0">
                  <c:v>1</c:v>
                </c:pt>
                <c:pt idx="1">
                  <c:v>0</c:v>
                </c:pt>
                <c:pt idx="2">
                  <c:v>0</c:v>
                </c:pt>
                <c:pt idx="3">
                  <c:v>1</c:v>
                </c:pt>
                <c:pt idx="4">
                  <c:v>1</c:v>
                </c:pt>
                <c:pt idx="5">
                  <c:v>0</c:v>
                </c:pt>
                <c:pt idx="6">
                  <c:v>1</c:v>
                </c:pt>
                <c:pt idx="7">
                  <c:v>3</c:v>
                </c:pt>
                <c:pt idx="8">
                  <c:v>8</c:v>
                </c:pt>
                <c:pt idx="9">
                  <c:v>1</c:v>
                </c:pt>
                <c:pt idx="10">
                  <c:v>2</c:v>
                </c:pt>
                <c:pt idx="11">
                  <c:v>0</c:v>
                </c:pt>
                <c:pt idx="12">
                  <c:v>2</c:v>
                </c:pt>
                <c:pt idx="13">
                  <c:v>1</c:v>
                </c:pt>
                <c:pt idx="14">
                  <c:v>1</c:v>
                </c:pt>
                <c:pt idx="15">
                  <c:v>0</c:v>
                </c:pt>
                <c:pt idx="16">
                  <c:v>2</c:v>
                </c:pt>
                <c:pt idx="17">
                  <c:v>1</c:v>
                </c:pt>
                <c:pt idx="18">
                  <c:v>2</c:v>
                </c:pt>
                <c:pt idx="19">
                  <c:v>0</c:v>
                </c:pt>
                <c:pt idx="20">
                  <c:v>2</c:v>
                </c:pt>
                <c:pt idx="21">
                  <c:v>3</c:v>
                </c:pt>
              </c:numCache>
            </c:numRef>
          </c:val>
          <c:smooth val="0"/>
        </c:ser>
        <c:dLbls>
          <c:showLegendKey val="0"/>
          <c:showVal val="0"/>
          <c:showCatName val="0"/>
          <c:showSerName val="0"/>
          <c:showPercent val="0"/>
          <c:showBubbleSize val="0"/>
        </c:dLbls>
        <c:marker val="1"/>
        <c:smooth val="0"/>
        <c:axId val="326790728"/>
        <c:axId val="326791904"/>
      </c:lineChart>
      <c:catAx>
        <c:axId val="32679072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26791904"/>
        <c:crosses val="autoZero"/>
        <c:auto val="1"/>
        <c:lblAlgn val="ctr"/>
        <c:lblOffset val="100"/>
        <c:noMultiLvlLbl val="0"/>
      </c:catAx>
      <c:valAx>
        <c:axId val="32679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Number of Recovery Plans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26790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174</TotalTime>
  <Pages>11</Pages>
  <Words>2853</Words>
  <Characters>16265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Use of Recovery Units</vt:lpstr>
    </vt:vector>
  </TitlesOfParts>
  <Company/>
  <LinksUpToDate>false</LinksUpToDate>
  <CharactersWithSpaces>19080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Recovery Units</dc:title>
  <dc:creator>Michael Evans, Jacob Malcom, Ya-Wei Li, Ryan Covington</dc:creator>
  <cp:lastModifiedBy>Michael Evans</cp:lastModifiedBy>
  <cp:revision>3</cp:revision>
  <dcterms:created xsi:type="dcterms:W3CDTF">2016-12-15T20:03:00Z</dcterms:created>
  <dcterms:modified xsi:type="dcterms:W3CDTF">2016-12-15T22:54:00Z</dcterms:modified>
</cp:coreProperties>
</file>