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019B6" w14:textId="7A2A8C2B" w:rsidR="00CA20F3" w:rsidRPr="00DC7807" w:rsidRDefault="00C4756F" w:rsidP="00A70A24">
      <w:pPr>
        <w:pStyle w:val="Title"/>
        <w:rPr>
          <w:sz w:val="22"/>
          <w:szCs w:val="22"/>
        </w:rPr>
      </w:pPr>
      <w:r>
        <w:t>Evaluation and Recommendations for Use of Recovery Units</w:t>
      </w:r>
      <w:r w:rsidR="00766FA8" w:rsidRPr="00A70A24">
        <w:rPr>
          <w:sz w:val="22"/>
          <w:szCs w:val="22"/>
        </w:rPr>
        <w:t xml:space="preserve"> </w:t>
      </w:r>
      <w:r w:rsidR="00057A4E">
        <w:rPr>
          <w:b w:val="0"/>
          <w:bCs w:val="0"/>
          <w:sz w:val="22"/>
          <w:szCs w:val="22"/>
        </w:rPr>
        <w:br/>
      </w:r>
      <w:r w:rsidR="00FC724B" w:rsidRPr="00A70A24">
        <w:rPr>
          <w:b w:val="0"/>
          <w:bCs w:val="0"/>
          <w:sz w:val="22"/>
          <w:szCs w:val="22"/>
        </w:rPr>
        <w:t>M</w:t>
      </w:r>
      <w:r w:rsidR="00211299" w:rsidRPr="00A70A24">
        <w:rPr>
          <w:b w:val="0"/>
          <w:bCs w:val="0"/>
          <w:sz w:val="22"/>
          <w:szCs w:val="22"/>
        </w:rPr>
        <w:t>ichael Evans, Jacob</w:t>
      </w:r>
      <w:r w:rsidR="00FC724B" w:rsidRPr="00A70A24">
        <w:rPr>
          <w:b w:val="0"/>
          <w:bCs w:val="0"/>
          <w:sz w:val="22"/>
          <w:szCs w:val="22"/>
        </w:rPr>
        <w:t xml:space="preserve"> Malcom</w:t>
      </w:r>
      <w:r w:rsidR="008D5E4D">
        <w:rPr>
          <w:b w:val="0"/>
          <w:bCs w:val="0"/>
          <w:sz w:val="22"/>
          <w:szCs w:val="22"/>
        </w:rPr>
        <w:t>, and Ya-Wei Li</w:t>
      </w:r>
    </w:p>
    <w:p w14:paraId="7A7019B8" w14:textId="04072AC8" w:rsidR="00CA20F3" w:rsidRPr="00B445C2" w:rsidRDefault="00057A4E">
      <w:pPr>
        <w:pStyle w:val="Heading2"/>
      </w:pPr>
      <w:r>
        <w:br/>
      </w:r>
      <w:bookmarkStart w:id="0" w:name="background"/>
      <w:bookmarkEnd w:id="0"/>
      <w:r w:rsidR="00FC724B" w:rsidRPr="00B445C2">
        <w:t>Background</w:t>
      </w:r>
    </w:p>
    <w:p w14:paraId="587D8BCB" w14:textId="24C54FBC" w:rsidR="008D5E4D" w:rsidRDefault="008D5E4D" w:rsidP="00A70A24">
      <w:r w:rsidRPr="00B445C2">
        <w:t>The vast majority of species listed under the U.S. Endangere</w:t>
      </w:r>
      <w:r w:rsidR="00A70A24">
        <w:t xml:space="preserve">d Species Act (ESA) have not yet </w:t>
      </w:r>
      <w:r w:rsidRPr="00B445C2">
        <w:t xml:space="preserve">recovered. The threats facing these species are increasingly diverse, and the agencies responsible for their recovery are challenged </w:t>
      </w:r>
      <w:r w:rsidR="00A70A24">
        <w:t>with</w:t>
      </w:r>
      <w:r w:rsidRPr="00B445C2">
        <w:t xml:space="preserve"> limited budgets that </w:t>
      </w:r>
      <w:r w:rsidR="0008239D">
        <w:t xml:space="preserve">have not kept pace with </w:t>
      </w:r>
      <w:r w:rsidRPr="00B445C2">
        <w:t xml:space="preserve">the growing number of listed species. </w:t>
      </w:r>
      <w:r w:rsidR="0008239D">
        <w:t xml:space="preserve">To help overcome this problem, conservationists must </w:t>
      </w:r>
      <w:r w:rsidRPr="00B445C2">
        <w:t xml:space="preserve">develop methods </w:t>
      </w:r>
      <w:r w:rsidR="00057A4E">
        <w:t>to</w:t>
      </w:r>
      <w:r w:rsidRPr="00B445C2">
        <w:t xml:space="preserve"> improve </w:t>
      </w:r>
      <w:r w:rsidR="00820BDE">
        <w:t xml:space="preserve">the effectiveness </w:t>
      </w:r>
      <w:r w:rsidRPr="00B445C2">
        <w:t xml:space="preserve">of species recovery. </w:t>
      </w:r>
      <w:r>
        <w:t>T</w:t>
      </w:r>
      <w:r w:rsidRPr="00B445C2">
        <w:t xml:space="preserve">he </w:t>
      </w:r>
      <w:r w:rsidR="00820BDE">
        <w:t xml:space="preserve">use of </w:t>
      </w:r>
      <w:r w:rsidRPr="00B445C2">
        <w:t>recovery units is a</w:t>
      </w:r>
      <w:r w:rsidR="00820BDE">
        <w:t>n overlooked opportunity</w:t>
      </w:r>
      <w:r w:rsidR="00057A4E">
        <w:t>, one that can be easily implemented without amending the ESA or its regulations</w:t>
      </w:r>
      <w:r w:rsidRPr="00B445C2">
        <w:t>.</w:t>
      </w:r>
      <w:r>
        <w:t xml:space="preserve"> </w:t>
      </w:r>
    </w:p>
    <w:p w14:paraId="57E2ACD7" w14:textId="0AB4AA59" w:rsidR="0064761A" w:rsidRDefault="0008239D" w:rsidP="00A70A24">
      <w:pPr>
        <w:rPr>
          <w:shd w:val="clear" w:color="auto" w:fill="FFFFFF"/>
        </w:rPr>
      </w:pPr>
      <w:r>
        <w:rPr>
          <w:shd w:val="clear" w:color="auto" w:fill="FFFFFF"/>
        </w:rPr>
        <w:t xml:space="preserve">The two federal wildlife agencies responsible for implementing the ESA, the U.S. Fish and Wildlife Service </w:t>
      </w:r>
      <w:r w:rsidR="00A70A24">
        <w:rPr>
          <w:shd w:val="clear" w:color="auto" w:fill="FFFFFF"/>
        </w:rPr>
        <w:t xml:space="preserve">(FWS) </w:t>
      </w:r>
      <w:r>
        <w:rPr>
          <w:shd w:val="clear" w:color="auto" w:fill="FFFFFF"/>
        </w:rPr>
        <w:t>and the National Marine Fisheries Service</w:t>
      </w:r>
      <w:r w:rsidR="00A70A24">
        <w:rPr>
          <w:shd w:val="clear" w:color="auto" w:fill="FFFFFF"/>
        </w:rPr>
        <w:t xml:space="preserve"> (NMFS)</w:t>
      </w:r>
      <w:r>
        <w:rPr>
          <w:shd w:val="clear" w:color="auto" w:fill="FFFFFF"/>
        </w:rPr>
        <w:t>, have the discretion to designate recovery units for a species. Each unit is a</w:t>
      </w:r>
      <w:r w:rsidR="00995523" w:rsidRPr="00995523">
        <w:rPr>
          <w:shd w:val="clear" w:color="auto" w:fill="FFFFFF"/>
        </w:rPr>
        <w:t xml:space="preserve"> subset of a species’ range that </w:t>
      </w:r>
      <w:r>
        <w:rPr>
          <w:shd w:val="clear" w:color="auto" w:fill="FFFFFF"/>
        </w:rPr>
        <w:t xml:space="preserve">is </w:t>
      </w:r>
      <w:r w:rsidR="00C22571">
        <w:rPr>
          <w:shd w:val="clear" w:color="auto" w:fill="FFFFFF"/>
        </w:rPr>
        <w:t>essential</w:t>
      </w:r>
      <w:r>
        <w:rPr>
          <w:shd w:val="clear" w:color="auto" w:fill="FFFFFF"/>
        </w:rPr>
        <w:t xml:space="preserve"> </w:t>
      </w:r>
      <w:r w:rsidR="00995523" w:rsidRPr="00995523">
        <w:rPr>
          <w:shd w:val="clear" w:color="auto" w:fill="FFFFFF"/>
        </w:rPr>
        <w:t xml:space="preserve">to </w:t>
      </w:r>
      <w:r>
        <w:rPr>
          <w:shd w:val="clear" w:color="auto" w:fill="FFFFFF"/>
        </w:rPr>
        <w:t>the</w:t>
      </w:r>
      <w:r w:rsidR="00995523" w:rsidRPr="00995523">
        <w:rPr>
          <w:shd w:val="clear" w:color="auto" w:fill="FFFFFF"/>
        </w:rPr>
        <w:t xml:space="preserve"> species</w:t>
      </w:r>
      <w:r>
        <w:rPr>
          <w:shd w:val="clear" w:color="auto" w:fill="FFFFFF"/>
        </w:rPr>
        <w:t>’</w:t>
      </w:r>
      <w:r w:rsidR="00995523" w:rsidRPr="00995523">
        <w:rPr>
          <w:shd w:val="clear" w:color="auto" w:fill="FFFFFF"/>
        </w:rPr>
        <w:t xml:space="preserve"> recovery</w:t>
      </w:r>
      <w:r w:rsidR="00057A4E">
        <w:rPr>
          <w:shd w:val="clear" w:color="auto" w:fill="FFFFFF"/>
        </w:rPr>
        <w:t>—every unit must be recovered before the species can be recovered</w:t>
      </w:r>
      <w:r w:rsidR="00995523">
        <w:rPr>
          <w:shd w:val="clear" w:color="auto" w:fill="FFFFFF"/>
        </w:rPr>
        <w:t xml:space="preserve">. </w:t>
      </w:r>
      <w:r w:rsidR="0064761A">
        <w:rPr>
          <w:shd w:val="clear" w:color="auto" w:fill="FFFFFF"/>
        </w:rPr>
        <w:t xml:space="preserve">Recovery </w:t>
      </w:r>
      <w:r w:rsidR="0064761A" w:rsidRPr="00B445C2">
        <w:t xml:space="preserve">actions and criteria may differ among recovery units, allowing for more targeted and </w:t>
      </w:r>
      <w:r w:rsidR="00F64C8D">
        <w:t xml:space="preserve">flexible </w:t>
      </w:r>
      <w:r w:rsidR="0064761A" w:rsidRPr="00B445C2">
        <w:t xml:space="preserve">recovery planning. </w:t>
      </w:r>
      <w:r w:rsidR="0064761A">
        <w:t>B</w:t>
      </w:r>
      <w:r w:rsidR="0064761A" w:rsidRPr="00B445C2">
        <w:t xml:space="preserve">ecause recovery units can be delineated according to </w:t>
      </w:r>
      <w:r w:rsidR="0064761A">
        <w:t>many factors—</w:t>
      </w:r>
      <w:r w:rsidR="0064761A" w:rsidRPr="00B445C2">
        <w:t>genetic diversity, developmental st</w:t>
      </w:r>
      <w:r w:rsidR="0064761A">
        <w:t>ages, and ecosystem diversity—</w:t>
      </w:r>
      <w:r w:rsidR="0064761A" w:rsidRPr="00B445C2">
        <w:t xml:space="preserve">they </w:t>
      </w:r>
      <w:r w:rsidR="00F64C8D">
        <w:t xml:space="preserve">can apply to </w:t>
      </w:r>
      <w:r w:rsidR="0064761A" w:rsidRPr="00B445C2">
        <w:t>a wide range of taxa</w:t>
      </w:r>
      <w:r w:rsidR="0064761A">
        <w:t>.</w:t>
      </w:r>
    </w:p>
    <w:p w14:paraId="29E2C7A7" w14:textId="49238210" w:rsidR="00214C73" w:rsidRDefault="00820BDE" w:rsidP="00A70A24">
      <w:pPr>
        <w:rPr>
          <w:shd w:val="clear" w:color="auto" w:fill="FFFFFF"/>
        </w:rPr>
      </w:pPr>
      <w:r>
        <w:rPr>
          <w:shd w:val="clear" w:color="auto" w:fill="FFFFFF"/>
        </w:rPr>
        <w:t>Recovery units can enhance recovery in several respects</w:t>
      </w:r>
      <w:r w:rsidR="00057A4E">
        <w:rPr>
          <w:shd w:val="clear" w:color="auto" w:fill="FFFFFF"/>
        </w:rPr>
        <w:t>, including by offering a species more protection from harmful activities</w:t>
      </w:r>
      <w:r>
        <w:rPr>
          <w:shd w:val="clear" w:color="auto" w:fill="FFFFFF"/>
        </w:rPr>
        <w:t xml:space="preserve">. </w:t>
      </w:r>
      <w:r w:rsidR="00B6320B">
        <w:rPr>
          <w:shd w:val="clear" w:color="auto" w:fill="FFFFFF"/>
        </w:rPr>
        <w:t>The Services may evaluate</w:t>
      </w:r>
      <w:r w:rsidR="001E79EE" w:rsidRPr="001E79EE">
        <w:rPr>
          <w:shd w:val="clear" w:color="auto" w:fill="FFFFFF"/>
        </w:rPr>
        <w:t xml:space="preserve"> whether </w:t>
      </w:r>
      <w:r w:rsidR="00B6320B">
        <w:rPr>
          <w:shd w:val="clear" w:color="auto" w:fill="FFFFFF"/>
        </w:rPr>
        <w:t xml:space="preserve">a </w:t>
      </w:r>
      <w:r w:rsidR="001E79EE" w:rsidRPr="001E79EE">
        <w:rPr>
          <w:shd w:val="clear" w:color="auto" w:fill="FFFFFF"/>
        </w:rPr>
        <w:t>federal actions</w:t>
      </w:r>
      <w:r w:rsidR="00B6320B">
        <w:rPr>
          <w:shd w:val="clear" w:color="auto" w:fill="FFFFFF"/>
        </w:rPr>
        <w:t xml:space="preserve"> </w:t>
      </w:r>
      <w:r w:rsidR="001E79EE" w:rsidRPr="001E79EE">
        <w:rPr>
          <w:shd w:val="clear" w:color="auto" w:fill="FFFFFF"/>
        </w:rPr>
        <w:t xml:space="preserve">may jeopardize the continued existence of a </w:t>
      </w:r>
      <w:r w:rsidR="00B6320B">
        <w:rPr>
          <w:shd w:val="clear" w:color="auto" w:fill="FFFFFF"/>
        </w:rPr>
        <w:t>recovery unit, rather than an entire species</w:t>
      </w:r>
      <w:r w:rsidR="001E79EE">
        <w:rPr>
          <w:shd w:val="clear" w:color="auto" w:fill="FFFFFF"/>
        </w:rPr>
        <w:t xml:space="preserve">.  </w:t>
      </w:r>
      <w:r w:rsidR="007D7495">
        <w:rPr>
          <w:shd w:val="clear" w:color="auto" w:fill="FFFFFF"/>
        </w:rPr>
        <w:t xml:space="preserve">By focusing this </w:t>
      </w:r>
      <w:r w:rsidR="00C22571">
        <w:rPr>
          <w:shd w:val="clear" w:color="auto" w:fill="FFFFFF"/>
        </w:rPr>
        <w:t>analysis</w:t>
      </w:r>
      <w:r w:rsidR="00DC142F">
        <w:rPr>
          <w:shd w:val="clear" w:color="auto" w:fill="FFFFFF"/>
        </w:rPr>
        <w:t xml:space="preserve"> on</w:t>
      </w:r>
      <w:r w:rsidR="00C22571">
        <w:rPr>
          <w:shd w:val="clear" w:color="auto" w:fill="FFFFFF"/>
        </w:rPr>
        <w:t xml:space="preserve"> </w:t>
      </w:r>
      <w:r w:rsidR="007D7495">
        <w:rPr>
          <w:shd w:val="clear" w:color="auto" w:fill="FFFFFF"/>
        </w:rPr>
        <w:t>a unit, the Services may be more likely to conclude jeopardy</w:t>
      </w:r>
      <w:r w:rsidR="00B6320B">
        <w:rPr>
          <w:shd w:val="clear" w:color="auto" w:fill="FFFFFF"/>
        </w:rPr>
        <w:t>, as</w:t>
      </w:r>
      <w:r w:rsidR="00866C0B">
        <w:rPr>
          <w:shd w:val="clear" w:color="auto" w:fill="FFFFFF"/>
        </w:rPr>
        <w:t xml:space="preserve"> </w:t>
      </w:r>
      <w:r w:rsidR="00B6320B">
        <w:rPr>
          <w:shd w:val="clear" w:color="auto" w:fill="FFFFFF"/>
        </w:rPr>
        <w:t>units are</w:t>
      </w:r>
      <w:r w:rsidR="008E5302">
        <w:rPr>
          <w:shd w:val="clear" w:color="auto" w:fill="FFFFFF"/>
        </w:rPr>
        <w:t xml:space="preserve"> smaller than a species’ range and, thus, </w:t>
      </w:r>
      <w:r w:rsidR="00866C0B">
        <w:rPr>
          <w:shd w:val="clear" w:color="auto" w:fill="FFFFFF"/>
        </w:rPr>
        <w:t xml:space="preserve">more likely to experience adverse effects as a whole. Units </w:t>
      </w:r>
      <w:r w:rsidR="001F7923">
        <w:rPr>
          <w:shd w:val="clear" w:color="auto" w:fill="FFFFFF"/>
        </w:rPr>
        <w:t xml:space="preserve">with a </w:t>
      </w:r>
      <w:r w:rsidR="00866C0B">
        <w:rPr>
          <w:shd w:val="clear" w:color="auto" w:fill="FFFFFF"/>
        </w:rPr>
        <w:t xml:space="preserve">declining status may be especially </w:t>
      </w:r>
      <w:r w:rsidR="001F7923">
        <w:rPr>
          <w:shd w:val="clear" w:color="auto" w:fill="FFFFFF"/>
        </w:rPr>
        <w:t>vulnerable t</w:t>
      </w:r>
      <w:r w:rsidR="00866C0B">
        <w:rPr>
          <w:shd w:val="clear" w:color="auto" w:fill="FFFFFF"/>
        </w:rPr>
        <w:t>o jeopard</w:t>
      </w:r>
      <w:r w:rsidR="001F7923">
        <w:rPr>
          <w:shd w:val="clear" w:color="auto" w:fill="FFFFFF"/>
        </w:rPr>
        <w:t>y</w:t>
      </w:r>
      <w:r w:rsidR="00866C0B">
        <w:rPr>
          <w:shd w:val="clear" w:color="auto" w:fill="FFFFFF"/>
        </w:rPr>
        <w:t xml:space="preserve">, while units that have exceeded </w:t>
      </w:r>
      <w:r w:rsidR="001F7923">
        <w:rPr>
          <w:shd w:val="clear" w:color="auto" w:fill="FFFFFF"/>
        </w:rPr>
        <w:t xml:space="preserve">their </w:t>
      </w:r>
      <w:r w:rsidR="00866C0B">
        <w:rPr>
          <w:shd w:val="clear" w:color="auto" w:fill="FFFFFF"/>
        </w:rPr>
        <w:t>recovery targets may be extremely difficult to jeopardize. From this perspective, the use of recovery units can</w:t>
      </w:r>
      <w:r w:rsidR="00F64C8D">
        <w:rPr>
          <w:shd w:val="clear" w:color="auto" w:fill="FFFFFF"/>
        </w:rPr>
        <w:t xml:space="preserve"> also</w:t>
      </w:r>
      <w:r w:rsidR="00866C0B">
        <w:rPr>
          <w:shd w:val="clear" w:color="auto" w:fill="FFFFFF"/>
        </w:rPr>
        <w:t xml:space="preserve"> increase the flexibility of ESA implement</w:t>
      </w:r>
      <w:r w:rsidR="001F7923">
        <w:rPr>
          <w:shd w:val="clear" w:color="auto" w:fill="FFFFFF"/>
        </w:rPr>
        <w:t>ation by</w:t>
      </w:r>
      <w:r w:rsidR="00AA679D">
        <w:rPr>
          <w:shd w:val="clear" w:color="auto" w:fill="FFFFFF"/>
        </w:rPr>
        <w:t xml:space="preserve"> allowing the Services to alter the extent of section 7 protections based on the status of each unit. Units may even incentivize conservation by </w:t>
      </w:r>
      <w:r w:rsidR="00F64C8D">
        <w:rPr>
          <w:shd w:val="clear" w:color="auto" w:fill="FFFFFF"/>
        </w:rPr>
        <w:t xml:space="preserve">rewarding landowners who voluntary conserve a unit with </w:t>
      </w:r>
      <w:r w:rsidR="00AA679D">
        <w:rPr>
          <w:shd w:val="clear" w:color="auto" w:fill="FFFFFF"/>
        </w:rPr>
        <w:t>less stringent section 7 measures</w:t>
      </w:r>
      <w:r w:rsidR="00F64C8D">
        <w:rPr>
          <w:shd w:val="clear" w:color="auto" w:fill="FFFFFF"/>
        </w:rPr>
        <w:t>.</w:t>
      </w:r>
      <w:r w:rsidR="00A32DD1">
        <w:rPr>
          <w:shd w:val="clear" w:color="auto" w:fill="FFFFFF"/>
        </w:rPr>
        <w:t xml:space="preserve"> </w:t>
      </w:r>
    </w:p>
    <w:p w14:paraId="7A7019BB" w14:textId="0DC1A749" w:rsidR="00CA20F3" w:rsidRPr="00B445C2" w:rsidRDefault="00A32DD1" w:rsidP="00A70A24">
      <w:r>
        <w:rPr>
          <w:shd w:val="clear" w:color="auto" w:fill="FFFFFF"/>
        </w:rPr>
        <w:t xml:space="preserve">Recovery units offer these and other benefits to ESA implementation, but whether federal agencies have taken advantage of these opportunities is largely unknown. </w:t>
      </w:r>
      <w:r w:rsidR="00214C73">
        <w:rPr>
          <w:shd w:val="clear" w:color="auto" w:fill="FFFFFF"/>
        </w:rPr>
        <w:t xml:space="preserve">We found no published </w:t>
      </w:r>
      <w:r w:rsidR="006F6DB3">
        <w:rPr>
          <w:shd w:val="clear" w:color="auto" w:fill="FFFFFF"/>
        </w:rPr>
        <w:t xml:space="preserve">empirical or qualitative analysis on recovery units, and </w:t>
      </w:r>
      <w:r w:rsidR="00214C73">
        <w:rPr>
          <w:shd w:val="clear" w:color="auto" w:fill="FFFFFF"/>
        </w:rPr>
        <w:t xml:space="preserve">even the number of species with units is unknown. Our analysis shows that </w:t>
      </w:r>
      <w:r w:rsidR="00FC724B" w:rsidRPr="00B445C2">
        <w:t xml:space="preserve">only </w:t>
      </w:r>
      <w:r w:rsidR="00214C73">
        <w:t>[</w:t>
      </w:r>
      <w:r w:rsidR="00FC724B" w:rsidRPr="00D773C0">
        <w:rPr>
          <w:highlight w:val="yellow"/>
        </w:rPr>
        <w:t>31</w:t>
      </w:r>
      <w:r w:rsidR="00214C73">
        <w:t>]</w:t>
      </w:r>
      <w:r w:rsidR="00FC724B" w:rsidRPr="00B445C2">
        <w:t xml:space="preserve"> out of 1364 species with recovery plans have recovery units, and 491 listed species do not have recovery plans finalized. </w:t>
      </w:r>
      <w:r w:rsidR="00214C73">
        <w:t xml:space="preserve">The large number of species without units presents </w:t>
      </w:r>
      <w:r w:rsidR="00FC724B" w:rsidRPr="00B445C2">
        <w:t xml:space="preserve">a practical and immediate opportunity to </w:t>
      </w:r>
      <w:r w:rsidR="00214C73">
        <w:t xml:space="preserve">enhance </w:t>
      </w:r>
      <w:r w:rsidR="00FC724B" w:rsidRPr="00B445C2">
        <w:t>species recovery</w:t>
      </w:r>
      <w:r w:rsidR="00214C73">
        <w:t xml:space="preserve"> without any changes to the ESA or its regulations</w:t>
      </w:r>
      <w:r w:rsidR="00FC724B" w:rsidRPr="00B445C2">
        <w:t>.</w:t>
      </w:r>
    </w:p>
    <w:p w14:paraId="7A7019BC" w14:textId="77777777" w:rsidR="00CA20F3" w:rsidRPr="00B445C2" w:rsidRDefault="00FC724B" w:rsidP="00DC7807">
      <w:pPr>
        <w:pStyle w:val="Heading2"/>
      </w:pPr>
      <w:bookmarkStart w:id="1" w:name="proposed-project"/>
      <w:bookmarkEnd w:id="1"/>
      <w:r w:rsidRPr="00B445C2">
        <w:t>Proposed Project</w:t>
      </w:r>
    </w:p>
    <w:p w14:paraId="7A7019BD" w14:textId="15F269D8" w:rsidR="00CA20F3" w:rsidRPr="00B445C2" w:rsidRDefault="00FC724B">
      <w:pPr>
        <w:pStyle w:val="FirstParagraph"/>
      </w:pPr>
      <w:r w:rsidRPr="00B445C2">
        <w:t xml:space="preserve">The goal of this project is to </w:t>
      </w:r>
      <w:r w:rsidR="00C64F5D">
        <w:t xml:space="preserve">determine whether recovery units have been </w:t>
      </w:r>
      <w:r w:rsidR="00A70A24">
        <w:t>used effectively</w:t>
      </w:r>
      <w:r w:rsidR="00C64F5D">
        <w:t xml:space="preserve"> in ESA implementation and to use the findings to identify opportunities to expand their use</w:t>
      </w:r>
      <w:r w:rsidRPr="00B445C2">
        <w:t xml:space="preserve">. </w:t>
      </w:r>
      <w:r w:rsidR="00C64F5D">
        <w:t xml:space="preserve">To accomplish this goal, we </w:t>
      </w:r>
      <w:r w:rsidRPr="00B445C2">
        <w:t>will address the following objectives:</w:t>
      </w:r>
    </w:p>
    <w:p w14:paraId="7A7019BE" w14:textId="036BD402" w:rsidR="00CA20F3" w:rsidRPr="00B445C2" w:rsidRDefault="00FC724B" w:rsidP="5BF1F860">
      <w:pPr>
        <w:pStyle w:val="Heading4"/>
        <w:rPr>
          <w:color w:val="auto"/>
        </w:rPr>
      </w:pPr>
      <w:bookmarkStart w:id="2" w:name="objective-1-quantify-patterns-of-recover"/>
      <w:bookmarkEnd w:id="2"/>
      <w:r w:rsidRPr="00B445C2">
        <w:rPr>
          <w:color w:val="auto"/>
        </w:rPr>
        <w:t>Objective 1: Quantify patterns of recovery unit designation.</w:t>
      </w:r>
    </w:p>
    <w:p w14:paraId="7A7019BF" w14:textId="77777777" w:rsidR="00C81A4E" w:rsidRPr="00B445C2" w:rsidRDefault="5BF1F860">
      <w:pPr>
        <w:pStyle w:val="FirstParagraph"/>
      </w:pPr>
      <w:r w:rsidRPr="5BF1F860">
        <w:rPr>
          <w:b/>
          <w:bCs/>
        </w:rPr>
        <w:t>Q1:</w:t>
      </w:r>
      <w:r>
        <w:t xml:space="preserve"> How many recovery units exist, and what are their basic characteristics? </w:t>
      </w:r>
    </w:p>
    <w:p w14:paraId="7A7019C0" w14:textId="15A712AE" w:rsidR="00CA20F3" w:rsidRPr="00B445C2" w:rsidRDefault="00FC724B">
      <w:pPr>
        <w:pStyle w:val="FirstParagraph"/>
      </w:pPr>
      <w:r w:rsidRPr="5BF1F860">
        <w:rPr>
          <w:b/>
          <w:bCs/>
        </w:rPr>
        <w:t>Q2:</w:t>
      </w:r>
      <w:r w:rsidRPr="00B445C2">
        <w:t xml:space="preserve"> Are there factors </w:t>
      </w:r>
      <w:r w:rsidR="00C64F5D">
        <w:t xml:space="preserve">that predict </w:t>
      </w:r>
      <w:r w:rsidRPr="00B445C2">
        <w:t>which species have recovery units?</w:t>
      </w:r>
    </w:p>
    <w:p w14:paraId="7A7019C1" w14:textId="77777777" w:rsidR="00CA20F3" w:rsidRPr="00B445C2" w:rsidRDefault="00FC724B" w:rsidP="5BF1F860">
      <w:pPr>
        <w:pStyle w:val="Heading4"/>
        <w:rPr>
          <w:color w:val="auto"/>
        </w:rPr>
      </w:pPr>
      <w:bookmarkStart w:id="3" w:name="objective-2-assess-how-recovery-units-ar"/>
      <w:bookmarkEnd w:id="3"/>
      <w:r w:rsidRPr="00B445C2">
        <w:rPr>
          <w:color w:val="auto"/>
        </w:rPr>
        <w:lastRenderedPageBreak/>
        <w:t>Objective 2: Assess how recovery units are used in ESA implementation.</w:t>
      </w:r>
    </w:p>
    <w:p w14:paraId="7A7019C2" w14:textId="37BE5341" w:rsidR="00C81A4E" w:rsidRPr="00B445C2" w:rsidRDefault="00FC724B">
      <w:pPr>
        <w:pStyle w:val="FirstParagraph"/>
      </w:pPr>
      <w:r w:rsidRPr="5BF1F860">
        <w:rPr>
          <w:b/>
          <w:bCs/>
        </w:rPr>
        <w:t>Q3:</w:t>
      </w:r>
      <w:r w:rsidRPr="00B445C2">
        <w:t xml:space="preserve"> Do recovery plans </w:t>
      </w:r>
      <w:r w:rsidR="00214C73">
        <w:t xml:space="preserve">explain </w:t>
      </w:r>
      <w:r w:rsidRPr="00B445C2">
        <w:t xml:space="preserve">how recovery units </w:t>
      </w:r>
      <w:r w:rsidR="00214C73">
        <w:t>should</w:t>
      </w:r>
      <w:r w:rsidRPr="00B445C2">
        <w:t xml:space="preserve"> be used? </w:t>
      </w:r>
    </w:p>
    <w:p w14:paraId="7A7019C3" w14:textId="77777777" w:rsidR="00C81A4E" w:rsidRPr="00B445C2" w:rsidRDefault="5BF1F860">
      <w:pPr>
        <w:pStyle w:val="FirstParagraph"/>
      </w:pPr>
      <w:r w:rsidRPr="5BF1F860">
        <w:rPr>
          <w:b/>
          <w:bCs/>
        </w:rPr>
        <w:t>Q4:</w:t>
      </w:r>
      <w:r>
        <w:t xml:space="preserve"> Are recovery units explicitly considered during section 7 consultation? </w:t>
      </w:r>
    </w:p>
    <w:p w14:paraId="7A7019C4" w14:textId="1B8CC38D" w:rsidR="00C81A4E" w:rsidRPr="00B445C2" w:rsidRDefault="00FC724B">
      <w:pPr>
        <w:pStyle w:val="FirstParagraph"/>
      </w:pPr>
      <w:r w:rsidRPr="5BF1F860">
        <w:rPr>
          <w:b/>
          <w:bCs/>
        </w:rPr>
        <w:t>Q5:</w:t>
      </w:r>
      <w:r w:rsidRPr="00B445C2">
        <w:t xml:space="preserve"> Are recovery units </w:t>
      </w:r>
      <w:r w:rsidR="00C64F5D">
        <w:t xml:space="preserve">explicitly </w:t>
      </w:r>
      <w:r w:rsidRPr="00B445C2">
        <w:t>considered in five</w:t>
      </w:r>
      <w:r w:rsidR="00214C73">
        <w:t>-</w:t>
      </w:r>
      <w:r w:rsidRPr="00B445C2">
        <w:t>year status reviews?</w:t>
      </w:r>
    </w:p>
    <w:p w14:paraId="7A7019C5" w14:textId="438B491F" w:rsidR="00CA20F3" w:rsidRPr="00B445C2" w:rsidRDefault="5BF1F860">
      <w:pPr>
        <w:pStyle w:val="FirstParagraph"/>
      </w:pPr>
      <w:r w:rsidRPr="5BF1F860">
        <w:rPr>
          <w:b/>
          <w:bCs/>
        </w:rPr>
        <w:t>Q6:</w:t>
      </w:r>
      <w:r>
        <w:t xml:space="preserve"> Do recovery units lead to stronger conservation measures?</w:t>
      </w:r>
    </w:p>
    <w:p w14:paraId="7A7019C6" w14:textId="0A70C861" w:rsidR="00CA20F3" w:rsidRPr="00B445C2" w:rsidRDefault="00FC724B" w:rsidP="5BF1F860">
      <w:pPr>
        <w:pStyle w:val="Heading4"/>
        <w:rPr>
          <w:color w:val="auto"/>
        </w:rPr>
      </w:pPr>
      <w:bookmarkStart w:id="4" w:name="objective-3-estimate-impacts-on-species-"/>
      <w:bookmarkEnd w:id="4"/>
      <w:r w:rsidRPr="00B445C2">
        <w:rPr>
          <w:color w:val="auto"/>
        </w:rPr>
        <w:t>Objective 3: Estimate impacts on species recovery.</w:t>
      </w:r>
    </w:p>
    <w:p w14:paraId="7A7019C7" w14:textId="77777777" w:rsidR="00CA20F3" w:rsidRPr="00B445C2" w:rsidRDefault="5BF1F860">
      <w:pPr>
        <w:pStyle w:val="FirstParagraph"/>
      </w:pPr>
      <w:r w:rsidRPr="5BF1F860">
        <w:rPr>
          <w:b/>
          <w:bCs/>
        </w:rPr>
        <w:t>Q7:</w:t>
      </w:r>
      <w:r>
        <w:t xml:space="preserve"> Do species with recovery units show greater improvement?</w:t>
      </w:r>
    </w:p>
    <w:p w14:paraId="7A7019C8" w14:textId="77777777" w:rsidR="00CA20F3" w:rsidRPr="00B445C2" w:rsidRDefault="00FC724B">
      <w:pPr>
        <w:pStyle w:val="Heading2"/>
      </w:pPr>
      <w:bookmarkStart w:id="5" w:name="outcomes"/>
      <w:bookmarkEnd w:id="5"/>
      <w:r w:rsidRPr="00B445C2">
        <w:t>Outcomes</w:t>
      </w:r>
    </w:p>
    <w:p w14:paraId="7A7019C9" w14:textId="7B4D8937" w:rsidR="00CA20F3" w:rsidRPr="00B445C2" w:rsidRDefault="00C64F5D">
      <w:pPr>
        <w:pStyle w:val="FirstParagraph"/>
      </w:pPr>
      <w:r>
        <w:t>This project</w:t>
      </w:r>
      <w:r w:rsidR="00FC724B" w:rsidRPr="00B445C2">
        <w:t xml:space="preserve"> will allow </w:t>
      </w:r>
      <w:r w:rsidR="006A37FE">
        <w:t>us</w:t>
      </w:r>
      <w:r w:rsidR="00FC724B" w:rsidRPr="00B445C2">
        <w:t xml:space="preserve"> to make specific policy recommendations to the </w:t>
      </w:r>
      <w:r>
        <w:t>S</w:t>
      </w:r>
      <w:r w:rsidR="00FC724B" w:rsidRPr="00B445C2">
        <w:t>ervices on where recovery units should be designated, and how they can help recover species. The current backlog of listed species without recovery plans</w:t>
      </w:r>
      <w:r>
        <w:t xml:space="preserve"> and the potential listing of hundreds of more species in the coming years</w:t>
      </w:r>
      <w:r w:rsidR="00FC724B" w:rsidRPr="00B445C2">
        <w:t xml:space="preserve"> provide </w:t>
      </w:r>
      <w:r w:rsidR="006A37FE">
        <w:t xml:space="preserve">many </w:t>
      </w:r>
      <w:r w:rsidR="00FC724B" w:rsidRPr="00B445C2">
        <w:t>species to which these recommendations can appl</w:t>
      </w:r>
      <w:r w:rsidR="006A37FE">
        <w:t>y</w:t>
      </w:r>
      <w:r w:rsidR="00FC724B" w:rsidRPr="00B445C2">
        <w:t>.</w:t>
      </w:r>
    </w:p>
    <w:p w14:paraId="7A7019CA" w14:textId="77777777" w:rsidR="00CA20F3" w:rsidRPr="00B445C2" w:rsidRDefault="00FC724B">
      <w:pPr>
        <w:pStyle w:val="Heading2"/>
      </w:pPr>
      <w:bookmarkStart w:id="6" w:name="initial-analyses"/>
      <w:bookmarkEnd w:id="6"/>
      <w:r w:rsidRPr="00B445C2">
        <w:t>Initial Analyses</w:t>
      </w:r>
    </w:p>
    <w:p w14:paraId="598B73EA" w14:textId="56F05797" w:rsidR="005B219F" w:rsidRDefault="00FC724B" w:rsidP="00A70A24">
      <w:r w:rsidRPr="00B445C2">
        <w:t xml:space="preserve">We have </w:t>
      </w:r>
      <w:r w:rsidR="0008328A">
        <w:t>conducted</w:t>
      </w:r>
      <w:r w:rsidRPr="00B445C2">
        <w:t xml:space="preserve"> preliminary analyses add</w:t>
      </w:r>
      <w:r w:rsidR="00B6320B">
        <w:t>ressing Objective 1</w:t>
      </w:r>
      <w:r w:rsidR="00064427">
        <w:t xml:space="preserve"> using </w:t>
      </w:r>
      <w:r w:rsidR="00D773C0">
        <w:t xml:space="preserve">the FWS online </w:t>
      </w:r>
      <w:r w:rsidR="00064427">
        <w:t>recovery plan</w:t>
      </w:r>
      <w:r w:rsidR="00D773C0">
        <w:t xml:space="preserve"> database,</w:t>
      </w:r>
      <w:r w:rsidR="00064427">
        <w:t xml:space="preserve"> and section 7 consultati</w:t>
      </w:r>
      <w:r w:rsidR="00B6320B">
        <w:t>on data</w:t>
      </w:r>
      <w:r w:rsidRPr="00B445C2">
        <w:t>.  These analyses compare the characteristics of all listed species with recovery plans (All Species</w:t>
      </w:r>
      <w:r w:rsidR="00B6320B">
        <w:t>,</w:t>
      </w:r>
      <w:r w:rsidR="00B6320B">
        <w:rPr>
          <w:i/>
        </w:rPr>
        <w:t xml:space="preserve"> n = </w:t>
      </w:r>
      <w:r w:rsidR="00B6320B">
        <w:t>1364</w:t>
      </w:r>
      <w:r w:rsidRPr="00B445C2">
        <w:t xml:space="preserve">) </w:t>
      </w:r>
      <w:r w:rsidR="00064427">
        <w:t xml:space="preserve">to </w:t>
      </w:r>
      <w:r w:rsidRPr="00B445C2">
        <w:t xml:space="preserve">the subset of those with </w:t>
      </w:r>
      <w:r w:rsidR="007A1FDD">
        <w:t>recovery units designated</w:t>
      </w:r>
      <w:r w:rsidRPr="00B445C2">
        <w:t xml:space="preserve"> (Species with Recovery Units, </w:t>
      </w:r>
      <w:r w:rsidRPr="5BF1F860">
        <w:rPr>
          <w:i/>
          <w:iCs/>
        </w:rPr>
        <w:t xml:space="preserve">n = </w:t>
      </w:r>
      <w:r w:rsidRPr="5BF1F860">
        <w:t>31</w:t>
      </w:r>
      <w:r w:rsidRPr="00B445C2">
        <w:t>).</w:t>
      </w:r>
      <w:r w:rsidR="00064427">
        <w:t xml:space="preserve">  T</w:t>
      </w:r>
      <w:r w:rsidR="00064427" w:rsidRPr="00B445C2">
        <w:t xml:space="preserve">he proposed analyses will </w:t>
      </w:r>
      <w:r w:rsidR="00B02B85">
        <w:t>ultimately</w:t>
      </w:r>
      <w:r w:rsidR="00064427" w:rsidRPr="00B445C2">
        <w:t xml:space="preserve"> include NMFS data.  </w:t>
      </w:r>
    </w:p>
    <w:p w14:paraId="6BC9DB04" w14:textId="081290EC" w:rsidR="00B0579B" w:rsidRDefault="00B6320B" w:rsidP="00632FDD">
      <w:pPr>
        <w:pStyle w:val="BodyText"/>
      </w:pPr>
      <w:r>
        <w:t>Use</w:t>
      </w:r>
      <w:r w:rsidR="5BF1F860">
        <w:t xml:space="preserve"> of recovery units appears to be biased towards specific taxa, both when plant species are (</w:t>
      </w:r>
      <w:r w:rsidR="5BF1F860" w:rsidRPr="5BF1F860">
        <w:rPr>
          <w:i/>
          <w:iCs/>
        </w:rPr>
        <w:t>X</w:t>
      </w:r>
      <w:r w:rsidR="5BF1F860" w:rsidRPr="5BF1F860">
        <w:rPr>
          <w:i/>
          <w:iCs/>
          <w:vertAlign w:val="superscript"/>
        </w:rPr>
        <w:t>2</w:t>
      </w:r>
      <w:r w:rsidR="5BF1F860">
        <w:t xml:space="preserve"> = 48.52, </w:t>
      </w:r>
      <w:r w:rsidR="5BF1F860" w:rsidRPr="5BF1F860">
        <w:rPr>
          <w:i/>
          <w:iCs/>
        </w:rPr>
        <w:t xml:space="preserve">df </w:t>
      </w:r>
      <w:r w:rsidR="5BF1F860">
        <w:t xml:space="preserve">= 9, </w:t>
      </w:r>
      <w:r w:rsidR="5BF1F860" w:rsidRPr="5BF1F860">
        <w:rPr>
          <w:i/>
          <w:iCs/>
        </w:rPr>
        <w:t>p</w:t>
      </w:r>
      <w:r w:rsidR="5BF1F860">
        <w:t xml:space="preserve"> = 0) and are not considered (</w:t>
      </w:r>
      <w:r w:rsidR="5BF1F860" w:rsidRPr="5BF1F860">
        <w:rPr>
          <w:i/>
          <w:iCs/>
        </w:rPr>
        <w:t>X</w:t>
      </w:r>
      <w:r w:rsidR="5BF1F860" w:rsidRPr="5BF1F860">
        <w:rPr>
          <w:i/>
          <w:iCs/>
          <w:vertAlign w:val="superscript"/>
        </w:rPr>
        <w:t>2</w:t>
      </w:r>
      <w:r w:rsidR="5BF1F860">
        <w:t xml:space="preserve"> = 15.79, </w:t>
      </w:r>
      <w:r w:rsidR="5BF1F860" w:rsidRPr="5BF1F860">
        <w:rPr>
          <w:i/>
          <w:iCs/>
        </w:rPr>
        <w:t>df</w:t>
      </w:r>
      <w:r w:rsidR="5BF1F860">
        <w:t xml:space="preserve"> = 8, </w:t>
      </w:r>
      <w:r w:rsidR="5BF1F860" w:rsidRPr="5BF1F860">
        <w:rPr>
          <w:i/>
          <w:iCs/>
        </w:rPr>
        <w:t>p</w:t>
      </w:r>
      <w:r w:rsidR="5BF1F860">
        <w:t xml:space="preserve"> = 0.05). </w:t>
      </w:r>
      <w:r w:rsidR="00632FDD">
        <w:t>For example, only 9% of species with recovery plans are fishes, yet this taxon accounts for nearly 30% of plans with recovery units. In addition, amphibians,</w:t>
      </w:r>
      <w:r w:rsidR="5BF1F860">
        <w:t xml:space="preserve"> insects, mammals, and reptiles </w:t>
      </w:r>
      <w:r w:rsidR="00632FDD">
        <w:t>are overrepresented among species with</w:t>
      </w:r>
      <w:r>
        <w:t xml:space="preserve"> recovery units (Fig. 1)</w:t>
      </w:r>
      <w:r w:rsidR="007A1FDD">
        <w:t>.</w:t>
      </w:r>
      <w:r w:rsidR="5BF1F860">
        <w:t xml:space="preserve"> </w:t>
      </w:r>
    </w:p>
    <w:p w14:paraId="097AF7C0" w14:textId="173CCA58" w:rsidR="00B02B85" w:rsidRPr="00F0526F" w:rsidRDefault="00F0526F" w:rsidP="00F0526F">
      <w:pPr>
        <w:pStyle w:val="Caption"/>
        <w:rPr>
          <w:i w:val="0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2FCE02A5" wp14:editId="28ED4351">
            <wp:simplePos x="0" y="0"/>
            <wp:positionH relativeFrom="margin">
              <wp:align>left</wp:align>
            </wp:positionH>
            <wp:positionV relativeFrom="paragraph">
              <wp:posOffset>1329</wp:posOffset>
            </wp:positionV>
            <wp:extent cx="4084320" cy="3274695"/>
            <wp:effectExtent l="0" t="0" r="0" b="1905"/>
            <wp:wrapSquare wrapText="bothSides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49" cy="328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79B" w:rsidRPr="00B0579B">
        <w:rPr>
          <w:b/>
          <w:i w:val="0"/>
        </w:rPr>
        <w:t xml:space="preserve">Figure </w:t>
      </w:r>
      <w:r w:rsidR="00B0579B" w:rsidRPr="00B0579B">
        <w:rPr>
          <w:b/>
          <w:i w:val="0"/>
        </w:rPr>
        <w:fldChar w:fldCharType="begin"/>
      </w:r>
      <w:r w:rsidR="00B0579B" w:rsidRPr="00B0579B">
        <w:rPr>
          <w:b/>
          <w:i w:val="0"/>
        </w:rPr>
        <w:instrText xml:space="preserve"> SEQ Figure \* ARABIC </w:instrText>
      </w:r>
      <w:r w:rsidR="00B0579B" w:rsidRPr="00B0579B">
        <w:rPr>
          <w:b/>
          <w:i w:val="0"/>
        </w:rPr>
        <w:fldChar w:fldCharType="separate"/>
      </w:r>
      <w:r w:rsidR="00B02B85">
        <w:rPr>
          <w:b/>
          <w:i w:val="0"/>
          <w:noProof/>
        </w:rPr>
        <w:t>1</w:t>
      </w:r>
      <w:r w:rsidR="00B0579B" w:rsidRPr="00B0579B">
        <w:rPr>
          <w:b/>
          <w:i w:val="0"/>
        </w:rPr>
        <w:fldChar w:fldCharType="end"/>
      </w:r>
      <w:r w:rsidR="00B0579B">
        <w:rPr>
          <w:i w:val="0"/>
        </w:rPr>
        <w:t>.</w:t>
      </w:r>
      <w:r w:rsidR="00B0579B" w:rsidRPr="00B0579B">
        <w:rPr>
          <w:i w:val="0"/>
        </w:rPr>
        <w:t xml:space="preserve"> </w:t>
      </w:r>
      <w:r w:rsidR="001D24A8">
        <w:rPr>
          <w:i w:val="0"/>
        </w:rPr>
        <w:t>T</w:t>
      </w:r>
      <w:r w:rsidR="00B0579B">
        <w:rPr>
          <w:i w:val="0"/>
        </w:rPr>
        <w:t xml:space="preserve">he </w:t>
      </w:r>
      <w:r w:rsidR="00632FDD">
        <w:rPr>
          <w:i w:val="0"/>
        </w:rPr>
        <w:t>distributions</w:t>
      </w:r>
      <w:r w:rsidR="00B0579B">
        <w:rPr>
          <w:i w:val="0"/>
        </w:rPr>
        <w:t xml:space="preserve"> of </w:t>
      </w:r>
      <w:r w:rsidR="004829C2">
        <w:rPr>
          <w:i w:val="0"/>
        </w:rPr>
        <w:t xml:space="preserve">all </w:t>
      </w:r>
      <w:r w:rsidR="00B0579B">
        <w:rPr>
          <w:i w:val="0"/>
        </w:rPr>
        <w:t>spe</w:t>
      </w:r>
      <w:r w:rsidR="00632FDD">
        <w:rPr>
          <w:i w:val="0"/>
        </w:rPr>
        <w:t xml:space="preserve">cies with recovery plans </w:t>
      </w:r>
      <w:r w:rsidR="004829C2">
        <w:rPr>
          <w:i w:val="0"/>
        </w:rPr>
        <w:t>(blue</w:t>
      </w:r>
      <w:r w:rsidR="00632FDD">
        <w:rPr>
          <w:i w:val="0"/>
        </w:rPr>
        <w:t xml:space="preserve">), and </w:t>
      </w:r>
      <w:r w:rsidR="004829C2">
        <w:rPr>
          <w:i w:val="0"/>
        </w:rPr>
        <w:t>those with recovery units</w:t>
      </w:r>
      <w:r w:rsidR="00B02B85">
        <w:rPr>
          <w:i w:val="0"/>
        </w:rPr>
        <w:t xml:space="preserve"> </w:t>
      </w:r>
      <w:r w:rsidR="004829C2">
        <w:rPr>
          <w:i w:val="0"/>
        </w:rPr>
        <w:t>(orange</w:t>
      </w:r>
      <w:r w:rsidR="00632FDD">
        <w:rPr>
          <w:i w:val="0"/>
        </w:rPr>
        <w:t xml:space="preserve">) among taxonomic groups.  </w:t>
      </w:r>
      <w:r w:rsidR="00B0579B">
        <w:rPr>
          <w:i w:val="0"/>
        </w:rPr>
        <w:t xml:space="preserve">Disproportionate </w:t>
      </w:r>
      <w:r w:rsidR="00632FDD">
        <w:rPr>
          <w:i w:val="0"/>
        </w:rPr>
        <w:t>use</w:t>
      </w:r>
      <w:r w:rsidR="00B0579B">
        <w:rPr>
          <w:i w:val="0"/>
        </w:rPr>
        <w:t xml:space="preserve"> of recovery units </w:t>
      </w:r>
      <w:r w:rsidR="00632FDD">
        <w:rPr>
          <w:i w:val="0"/>
        </w:rPr>
        <w:t>for a taxon</w:t>
      </w:r>
      <w:r w:rsidR="00B0579B">
        <w:rPr>
          <w:i w:val="0"/>
        </w:rPr>
        <w:t xml:space="preserve"> is indicated by </w:t>
      </w:r>
      <w:r w:rsidR="00632FDD">
        <w:rPr>
          <w:i w:val="0"/>
        </w:rPr>
        <w:t>discrepancies in bar heights</w:t>
      </w:r>
      <w:r w:rsidR="00B02B85">
        <w:rPr>
          <w:i w:val="0"/>
        </w:rPr>
        <w:t xml:space="preserve"> within the taxon</w:t>
      </w:r>
      <w:r w:rsidR="00632FDD">
        <w:rPr>
          <w:i w:val="0"/>
        </w:rPr>
        <w:t>. Plants and lichens are not displayed.</w:t>
      </w:r>
    </w:p>
    <w:p w14:paraId="4DD41D1D" w14:textId="77777777" w:rsidR="00F0526F" w:rsidRDefault="00F0526F" w:rsidP="00B0579B">
      <w:pPr>
        <w:pStyle w:val="BodyText"/>
      </w:pPr>
    </w:p>
    <w:p w14:paraId="5D6DCF27" w14:textId="77777777" w:rsidR="00F0526F" w:rsidRDefault="00F0526F" w:rsidP="00B0579B">
      <w:pPr>
        <w:pStyle w:val="BodyText"/>
      </w:pPr>
    </w:p>
    <w:p w14:paraId="58B10167" w14:textId="77777777" w:rsidR="00F0526F" w:rsidRDefault="00F0526F" w:rsidP="00B0579B">
      <w:pPr>
        <w:pStyle w:val="BodyText"/>
      </w:pPr>
    </w:p>
    <w:p w14:paraId="198FBE63" w14:textId="77777777" w:rsidR="00F0526F" w:rsidRDefault="00F0526F" w:rsidP="00B0579B">
      <w:pPr>
        <w:pStyle w:val="BodyText"/>
      </w:pPr>
    </w:p>
    <w:p w14:paraId="3A879A02" w14:textId="77777777" w:rsidR="00F0526F" w:rsidRDefault="00F0526F" w:rsidP="00B0579B">
      <w:pPr>
        <w:pStyle w:val="BodyText"/>
      </w:pPr>
    </w:p>
    <w:p w14:paraId="7F2C017C" w14:textId="77777777" w:rsidR="00F0526F" w:rsidRDefault="00F0526F" w:rsidP="00B0579B">
      <w:pPr>
        <w:pStyle w:val="BodyText"/>
      </w:pPr>
    </w:p>
    <w:p w14:paraId="7518D11C" w14:textId="61059807" w:rsidR="00B0579B" w:rsidRDefault="004804B5" w:rsidP="00B0579B">
      <w:pPr>
        <w:pStyle w:val="BodyText"/>
      </w:pPr>
      <w:r>
        <w:lastRenderedPageBreak/>
        <w:t>Recovery units are also</w:t>
      </w:r>
      <w:r w:rsidR="006A37FE">
        <w:t xml:space="preserve"> ap</w:t>
      </w:r>
      <w:bookmarkStart w:id="7" w:name="_GoBack"/>
      <w:bookmarkEnd w:id="7"/>
      <w:r w:rsidR="006A37FE">
        <w:t>plied to species with larger ranges</w:t>
      </w:r>
      <w:r w:rsidR="00327D22">
        <w:t xml:space="preserve"> </w:t>
      </w:r>
      <w:r>
        <w:t>(</w:t>
      </w:r>
      <w:r>
        <w:rPr>
          <w:i/>
          <w:iCs/>
        </w:rPr>
        <w:t>t</w:t>
      </w:r>
      <w:r>
        <w:rPr>
          <w:i/>
          <w:iCs/>
          <w:vertAlign w:val="subscript"/>
        </w:rPr>
        <w:t>32</w:t>
      </w:r>
      <w:r>
        <w:t xml:space="preserve"> = -9.63, </w:t>
      </w:r>
      <w:r w:rsidRPr="5BF1F860">
        <w:rPr>
          <w:i/>
          <w:iCs/>
        </w:rPr>
        <w:t>p</w:t>
      </w:r>
      <w:r>
        <w:t xml:space="preserve"> &lt; 0.01)</w:t>
      </w:r>
      <w:r w:rsidR="006A37FE">
        <w:t xml:space="preserve">, measured by the </w:t>
      </w:r>
      <w:r w:rsidR="5BF1F860">
        <w:t xml:space="preserve">aggregate </w:t>
      </w:r>
      <w:r w:rsidR="006A37FE">
        <w:t>size</w:t>
      </w:r>
      <w:r w:rsidR="00632FDD">
        <w:t>s</w:t>
      </w:r>
      <w:r w:rsidR="006A37FE">
        <w:t xml:space="preserve"> of </w:t>
      </w:r>
      <w:r w:rsidR="5BF1F860">
        <w:t>counties of occurrence</w:t>
      </w:r>
      <w:r w:rsidR="006A37FE">
        <w:t xml:space="preserve"> </w:t>
      </w:r>
      <w:r w:rsidR="5BF1F860">
        <w:t xml:space="preserve">for each species </w:t>
      </w:r>
      <w:r>
        <w:t>(Fig. 2).</w:t>
      </w:r>
      <w:r w:rsidR="00D773C0">
        <w:t xml:space="preserve">  This may reflect greater need and/or </w:t>
      </w:r>
      <w:r w:rsidR="0008328A">
        <w:t>evidence</w:t>
      </w:r>
      <w:r w:rsidR="00D773C0">
        <w:t xml:space="preserve"> </w:t>
      </w:r>
      <w:r w:rsidR="00883B8B">
        <w:t>to designate</w:t>
      </w:r>
      <w:r w:rsidR="00D773C0">
        <w:t xml:space="preserve"> geographic subsets </w:t>
      </w:r>
      <w:r w:rsidR="00883B8B">
        <w:t>among</w:t>
      </w:r>
      <w:r w:rsidR="00D773C0">
        <w:t xml:space="preserve"> wide-ranging species.</w:t>
      </w:r>
    </w:p>
    <w:p w14:paraId="0FC78B23" w14:textId="2515B704" w:rsidR="006A37FE" w:rsidRPr="00B0579B" w:rsidRDefault="00F0526F" w:rsidP="00B0579B">
      <w:pPr>
        <w:pStyle w:val="Caption"/>
        <w:rPr>
          <w:i w:val="0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4D1AD68A" wp14:editId="604FB6C6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4018915" cy="3228340"/>
            <wp:effectExtent l="0" t="0" r="635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97" cy="32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79B">
        <w:rPr>
          <w:b/>
          <w:i w:val="0"/>
        </w:rPr>
        <w:t xml:space="preserve"> </w:t>
      </w:r>
      <w:r w:rsidR="00B0579B" w:rsidRPr="00B0579B">
        <w:rPr>
          <w:b/>
          <w:i w:val="0"/>
        </w:rPr>
        <w:t>Fig</w:t>
      </w:r>
      <w:r w:rsidR="004804B5">
        <w:rPr>
          <w:b/>
          <w:i w:val="0"/>
        </w:rPr>
        <w:t>ure</w:t>
      </w:r>
      <w:r w:rsidR="00B0579B" w:rsidRPr="00B0579B">
        <w:rPr>
          <w:b/>
          <w:i w:val="0"/>
        </w:rPr>
        <w:t xml:space="preserve"> </w:t>
      </w:r>
      <w:r w:rsidR="00B0579B" w:rsidRPr="00B0579B">
        <w:rPr>
          <w:b/>
          <w:i w:val="0"/>
        </w:rPr>
        <w:fldChar w:fldCharType="begin"/>
      </w:r>
      <w:r w:rsidR="00B0579B" w:rsidRPr="00B0579B">
        <w:rPr>
          <w:b/>
          <w:i w:val="0"/>
        </w:rPr>
        <w:instrText xml:space="preserve"> SEQ Figure \* ARABIC </w:instrText>
      </w:r>
      <w:r w:rsidR="00B0579B" w:rsidRPr="00B0579B">
        <w:rPr>
          <w:b/>
          <w:i w:val="0"/>
        </w:rPr>
        <w:fldChar w:fldCharType="separate"/>
      </w:r>
      <w:r w:rsidR="00B02B85">
        <w:rPr>
          <w:b/>
          <w:i w:val="0"/>
          <w:noProof/>
        </w:rPr>
        <w:t>2</w:t>
      </w:r>
      <w:r w:rsidR="00B0579B" w:rsidRPr="00B0579B">
        <w:rPr>
          <w:b/>
          <w:i w:val="0"/>
        </w:rPr>
        <w:fldChar w:fldCharType="end"/>
      </w:r>
      <w:r w:rsidR="00B0579B">
        <w:rPr>
          <w:b/>
          <w:i w:val="0"/>
        </w:rPr>
        <w:t xml:space="preserve">. </w:t>
      </w:r>
      <w:r w:rsidR="001D24A8">
        <w:rPr>
          <w:i w:val="0"/>
        </w:rPr>
        <w:t>T</w:t>
      </w:r>
      <w:r w:rsidR="00B0579B">
        <w:rPr>
          <w:i w:val="0"/>
        </w:rPr>
        <w:t xml:space="preserve">he distributions of the range sizes of </w:t>
      </w:r>
      <w:r w:rsidR="004829C2">
        <w:rPr>
          <w:i w:val="0"/>
        </w:rPr>
        <w:t xml:space="preserve">all </w:t>
      </w:r>
      <w:r w:rsidR="00B0579B">
        <w:rPr>
          <w:i w:val="0"/>
        </w:rPr>
        <w:t>species with recovery plans</w:t>
      </w:r>
      <w:r w:rsidR="00632FDD">
        <w:rPr>
          <w:i w:val="0"/>
        </w:rPr>
        <w:t xml:space="preserve"> </w:t>
      </w:r>
      <w:r w:rsidR="00B0579B">
        <w:rPr>
          <w:i w:val="0"/>
        </w:rPr>
        <w:t>(blue), and those species with recovery units (orange).</w:t>
      </w:r>
      <w:r w:rsidR="001D24A8">
        <w:rPr>
          <w:i w:val="0"/>
        </w:rPr>
        <w:t xml:space="preserve">  Bar heights indicate the</w:t>
      </w:r>
      <w:r w:rsidR="004804B5">
        <w:rPr>
          <w:i w:val="0"/>
        </w:rPr>
        <w:t xml:space="preserve"> relative</w:t>
      </w:r>
      <w:r w:rsidR="001D24A8">
        <w:rPr>
          <w:i w:val="0"/>
        </w:rPr>
        <w:t xml:space="preserve"> frequency of species with a given range size</w:t>
      </w:r>
      <w:r w:rsidR="004804B5">
        <w:rPr>
          <w:i w:val="0"/>
        </w:rPr>
        <w:t xml:space="preserve"> in each group</w:t>
      </w:r>
      <w:r w:rsidR="001D24A8">
        <w:rPr>
          <w:i w:val="0"/>
        </w:rPr>
        <w:t>.</w:t>
      </w:r>
    </w:p>
    <w:p w14:paraId="728D41D1" w14:textId="00F8179F" w:rsidR="00B0579B" w:rsidRDefault="00B0579B" w:rsidP="00B0579B">
      <w:pPr>
        <w:pStyle w:val="BodyText"/>
      </w:pPr>
    </w:p>
    <w:p w14:paraId="3022EB9C" w14:textId="35D72876" w:rsidR="00B0579B" w:rsidRDefault="00B0579B" w:rsidP="00B0579B">
      <w:pPr>
        <w:pStyle w:val="BodyText"/>
      </w:pPr>
    </w:p>
    <w:p w14:paraId="46B57CBD" w14:textId="6DCDBA4F" w:rsidR="00B0579B" w:rsidRDefault="00B0579B" w:rsidP="00B0579B">
      <w:pPr>
        <w:pStyle w:val="BodyText"/>
      </w:pPr>
    </w:p>
    <w:p w14:paraId="3B7F39EC" w14:textId="275CAD35" w:rsidR="00B0579B" w:rsidRDefault="00B0579B" w:rsidP="00B0579B">
      <w:pPr>
        <w:pStyle w:val="BodyText"/>
      </w:pPr>
    </w:p>
    <w:p w14:paraId="1ADDF5B8" w14:textId="6E1D1E99" w:rsidR="00B0579B" w:rsidRDefault="00B0579B" w:rsidP="00B0579B">
      <w:pPr>
        <w:pStyle w:val="BodyText"/>
      </w:pPr>
    </w:p>
    <w:p w14:paraId="200D08F9" w14:textId="3D6607BF" w:rsidR="00B02B85" w:rsidRDefault="00B02B85" w:rsidP="00B0579B">
      <w:pPr>
        <w:pStyle w:val="BodyText"/>
      </w:pPr>
    </w:p>
    <w:p w14:paraId="313C5517" w14:textId="77777777" w:rsidR="00F0526F" w:rsidRDefault="00F0526F" w:rsidP="00B0579B">
      <w:pPr>
        <w:pStyle w:val="BodyText"/>
      </w:pPr>
    </w:p>
    <w:p w14:paraId="703496B3" w14:textId="6F0D7714" w:rsidR="00B0579B" w:rsidRDefault="004804B5" w:rsidP="00B0579B">
      <w:pPr>
        <w:pStyle w:val="BodyText"/>
      </w:pPr>
      <w:r>
        <w:t>The median rate of formal section 7 consultation (Fig. 3) was</w:t>
      </w:r>
      <w:r w:rsidR="5BF1F860">
        <w:t xml:space="preserve"> higher (</w:t>
      </w:r>
      <w:r w:rsidR="5BF1F860" w:rsidRPr="5BF1F860">
        <w:rPr>
          <w:i/>
          <w:iCs/>
        </w:rPr>
        <w:t>p</w:t>
      </w:r>
      <w:r w:rsidR="5BF1F860">
        <w:t xml:space="preserve"> &lt; 0.01) </w:t>
      </w:r>
      <w:r>
        <w:t>among species with recovery units</w:t>
      </w:r>
      <w:r w:rsidR="5BF1F860">
        <w:t xml:space="preserve"> (</w:t>
      </w:r>
      <w:r w:rsidR="5BF1F860" w:rsidRPr="5BF1F860">
        <w:rPr>
          <w:i/>
          <w:iCs/>
        </w:rPr>
        <w:t>x</w:t>
      </w:r>
      <w:r w:rsidR="5BF1F860">
        <w:t xml:space="preserve"> = 0.33) than all </w:t>
      </w:r>
      <w:r>
        <w:t>species with recovery plans</w:t>
      </w:r>
      <w:r w:rsidR="5BF1F860">
        <w:t xml:space="preserve"> (</w:t>
      </w:r>
      <w:r w:rsidR="5BF1F860" w:rsidRPr="5BF1F860">
        <w:rPr>
          <w:i/>
          <w:iCs/>
        </w:rPr>
        <w:t>x</w:t>
      </w:r>
      <w:r w:rsidR="5BF1F860">
        <w:t xml:space="preserve"> = 0.10). This may indicate that federal actions are more likely to trigger formal consultation when their effects are </w:t>
      </w:r>
      <w:r>
        <w:t>evaluated</w:t>
      </w:r>
      <w:r w:rsidR="5BF1F860">
        <w:t xml:space="preserve"> at the scale of recovery units. Alternatively, the services may designate recovery units for species that they anticipate will have a high rate of formal consultation. </w:t>
      </w:r>
    </w:p>
    <w:p w14:paraId="7A7019D0" w14:textId="729E318C" w:rsidR="00CA20F3" w:rsidRPr="00B02B85" w:rsidRDefault="00F0526F" w:rsidP="00B0579B">
      <w:pPr>
        <w:pStyle w:val="BodyText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59AB2D29" wp14:editId="3E1B6C83">
            <wp:simplePos x="0" y="0"/>
            <wp:positionH relativeFrom="margin">
              <wp:posOffset>-635</wp:posOffset>
            </wp:positionH>
            <wp:positionV relativeFrom="paragraph">
              <wp:posOffset>6630</wp:posOffset>
            </wp:positionV>
            <wp:extent cx="3858895" cy="3093720"/>
            <wp:effectExtent l="0" t="0" r="8255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B85">
        <w:rPr>
          <w:b/>
        </w:rPr>
        <w:t xml:space="preserve">Figure 3. </w:t>
      </w:r>
      <w:r w:rsidR="00B02B85">
        <w:t xml:space="preserve">Comparison of the proportion of section 7 consultations </w:t>
      </w:r>
      <w:r w:rsidR="004804B5">
        <w:t>from</w:t>
      </w:r>
      <w:r w:rsidR="00B02B85">
        <w:t xml:space="preserve"> 2008 – 2016 that were formal among all species with recovery plans (blue) and those with recovery units (orange).  Box plots show the 5</w:t>
      </w:r>
      <w:r w:rsidR="00B02B85" w:rsidRPr="00B02B85">
        <w:rPr>
          <w:vertAlign w:val="superscript"/>
        </w:rPr>
        <w:t>th</w:t>
      </w:r>
      <w:r w:rsidR="00B02B85">
        <w:t>, 25</w:t>
      </w:r>
      <w:r w:rsidR="00B02B85" w:rsidRPr="00B02B85">
        <w:rPr>
          <w:vertAlign w:val="superscript"/>
        </w:rPr>
        <w:t>th</w:t>
      </w:r>
      <w:r w:rsidR="00B02B85">
        <w:t>, 50</w:t>
      </w:r>
      <w:r w:rsidR="00B02B85" w:rsidRPr="00B02B85">
        <w:rPr>
          <w:vertAlign w:val="superscript"/>
        </w:rPr>
        <w:t>th</w:t>
      </w:r>
      <w:r w:rsidR="00B02B85">
        <w:t>, 75</w:t>
      </w:r>
      <w:r w:rsidR="00B02B85" w:rsidRPr="00B02B85">
        <w:rPr>
          <w:vertAlign w:val="superscript"/>
        </w:rPr>
        <w:t>th</w:t>
      </w:r>
      <w:r w:rsidR="00B02B85">
        <w:t>, and 95</w:t>
      </w:r>
      <w:r w:rsidR="00B02B85" w:rsidRPr="00B02B85">
        <w:rPr>
          <w:vertAlign w:val="superscript"/>
        </w:rPr>
        <w:t>th</w:t>
      </w:r>
      <w:r w:rsidR="00B02B85">
        <w:t xml:space="preserve"> percentiles</w:t>
      </w:r>
      <w:r w:rsidR="004804B5">
        <w:t xml:space="preserve"> of the distribution of rates</w:t>
      </w:r>
      <w:r w:rsidR="00B02B85">
        <w:t xml:space="preserve">.  Colored areas </w:t>
      </w:r>
      <w:r w:rsidR="004804B5">
        <w:t>illustrate</w:t>
      </w:r>
      <w:r w:rsidR="00B02B85">
        <w:t xml:space="preserve"> the shape of each distribution.</w:t>
      </w:r>
    </w:p>
    <w:sectPr w:rsidR="00CA20F3" w:rsidRPr="00B02B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76EAE" w14:textId="77777777" w:rsidR="00201B31" w:rsidRDefault="00201B31">
      <w:pPr>
        <w:spacing w:after="0"/>
      </w:pPr>
      <w:r>
        <w:separator/>
      </w:r>
    </w:p>
  </w:endnote>
  <w:endnote w:type="continuationSeparator" w:id="0">
    <w:p w14:paraId="178F9DCC" w14:textId="77777777" w:rsidR="00201B31" w:rsidRDefault="00201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81500" w14:textId="77777777" w:rsidR="00201B31" w:rsidRDefault="00201B31">
      <w:r>
        <w:separator/>
      </w:r>
    </w:p>
  </w:footnote>
  <w:footnote w:type="continuationSeparator" w:id="0">
    <w:p w14:paraId="0198C070" w14:textId="77777777" w:rsidR="00201B31" w:rsidRDefault="00201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D690E2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59176E"/>
    <w:multiLevelType w:val="multilevel"/>
    <w:tmpl w:val="46129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US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1B9"/>
    <w:rsid w:val="00057A4E"/>
    <w:rsid w:val="00064427"/>
    <w:rsid w:val="00072E37"/>
    <w:rsid w:val="0007559A"/>
    <w:rsid w:val="0008239D"/>
    <w:rsid w:val="0008328A"/>
    <w:rsid w:val="00095B74"/>
    <w:rsid w:val="001D24A8"/>
    <w:rsid w:val="001E79EE"/>
    <w:rsid w:val="001F7923"/>
    <w:rsid w:val="00201B31"/>
    <w:rsid w:val="00211299"/>
    <w:rsid w:val="00214C73"/>
    <w:rsid w:val="002A2D6A"/>
    <w:rsid w:val="00327D22"/>
    <w:rsid w:val="00345057"/>
    <w:rsid w:val="004804B5"/>
    <w:rsid w:val="004829C2"/>
    <w:rsid w:val="004E29B3"/>
    <w:rsid w:val="00590D07"/>
    <w:rsid w:val="005B219F"/>
    <w:rsid w:val="005F4EE7"/>
    <w:rsid w:val="00632FDD"/>
    <w:rsid w:val="0064761A"/>
    <w:rsid w:val="00684F5D"/>
    <w:rsid w:val="006A37FE"/>
    <w:rsid w:val="006E76E9"/>
    <w:rsid w:val="006F6DB3"/>
    <w:rsid w:val="00766FA8"/>
    <w:rsid w:val="00784D58"/>
    <w:rsid w:val="007A1FDD"/>
    <w:rsid w:val="007D7495"/>
    <w:rsid w:val="008001D2"/>
    <w:rsid w:val="008079F7"/>
    <w:rsid w:val="00820BDE"/>
    <w:rsid w:val="00866C0B"/>
    <w:rsid w:val="00875EB7"/>
    <w:rsid w:val="00883B8B"/>
    <w:rsid w:val="008D5E4D"/>
    <w:rsid w:val="008D6863"/>
    <w:rsid w:val="008E5302"/>
    <w:rsid w:val="00995523"/>
    <w:rsid w:val="00A062F6"/>
    <w:rsid w:val="00A32DD1"/>
    <w:rsid w:val="00A70A24"/>
    <w:rsid w:val="00AA679D"/>
    <w:rsid w:val="00B02B85"/>
    <w:rsid w:val="00B0579B"/>
    <w:rsid w:val="00B445C2"/>
    <w:rsid w:val="00B6320B"/>
    <w:rsid w:val="00B75987"/>
    <w:rsid w:val="00B86B75"/>
    <w:rsid w:val="00B90D09"/>
    <w:rsid w:val="00BC48D5"/>
    <w:rsid w:val="00C22571"/>
    <w:rsid w:val="00C36279"/>
    <w:rsid w:val="00C4756F"/>
    <w:rsid w:val="00C64F5D"/>
    <w:rsid w:val="00C81A4E"/>
    <w:rsid w:val="00CA20F3"/>
    <w:rsid w:val="00D773C0"/>
    <w:rsid w:val="00DC142F"/>
    <w:rsid w:val="00DC7807"/>
    <w:rsid w:val="00DE5D07"/>
    <w:rsid w:val="00E315A3"/>
    <w:rsid w:val="00F0526F"/>
    <w:rsid w:val="00F64C8D"/>
    <w:rsid w:val="00FC724B"/>
    <w:rsid w:val="5BF1F8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019B5"/>
  <w15:docId w15:val="{4C6B94AB-E513-47AE-A769-ADA2AD77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9" w:semiHidden="1" w:unhideWhenUsed="1"/>
    <w:lsdException w:name="index 1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807"/>
    <w:rPr>
      <w:rFonts w:ascii="Garamond" w:hAnsi="Garamond"/>
    </w:rPr>
  </w:style>
  <w:style w:type="paragraph" w:styleId="Heading1">
    <w:name w:val="heading 1"/>
    <w:basedOn w:val="Normal"/>
    <w:next w:val="BodyText"/>
    <w:uiPriority w:val="9"/>
    <w:qFormat/>
    <w:rsid w:val="00DC7807"/>
    <w:pPr>
      <w:keepNext/>
      <w:keepLines/>
      <w:spacing w:after="0"/>
      <w:outlineLvl w:val="0"/>
    </w:pPr>
    <w:rPr>
      <w:rFonts w:ascii="Arial" w:eastAsiaTheme="majorEastAsia" w:hAnsi="Arial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C780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C7807"/>
    <w:pPr>
      <w:spacing w:before="0" w:after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C7807"/>
    <w:pPr>
      <w:keepNext/>
      <w:keepLines/>
      <w:spacing w:after="120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112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11299"/>
  </w:style>
  <w:style w:type="paragraph" w:styleId="Footer">
    <w:name w:val="footer"/>
    <w:basedOn w:val="Normal"/>
    <w:link w:val="FooterChar"/>
    <w:unhideWhenUsed/>
    <w:rsid w:val="002112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11299"/>
  </w:style>
  <w:style w:type="paragraph" w:styleId="BalloonText">
    <w:name w:val="Balloon Text"/>
    <w:basedOn w:val="Normal"/>
    <w:link w:val="BalloonTextChar"/>
    <w:semiHidden/>
    <w:unhideWhenUsed/>
    <w:rsid w:val="00095B7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5B7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66FA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766FA8"/>
  </w:style>
  <w:style w:type="character" w:customStyle="1" w:styleId="CommentTextChar">
    <w:name w:val="Comment Text Char"/>
    <w:basedOn w:val="DefaultParagraphFont"/>
    <w:link w:val="CommentText"/>
    <w:semiHidden/>
    <w:rsid w:val="00766FA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66F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66FA8"/>
    <w:rPr>
      <w:b/>
      <w:bCs/>
      <w:sz w:val="20"/>
      <w:szCs w:val="20"/>
    </w:rPr>
  </w:style>
  <w:style w:type="paragraph" w:styleId="Revision">
    <w:name w:val="Revision"/>
    <w:hidden/>
    <w:semiHidden/>
    <w:rsid w:val="00C64F5D"/>
    <w:pPr>
      <w:spacing w:after="0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Recovery Units</vt:lpstr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Units</dc:title>
  <dc:creator>Michael Evans, Jake Li, and Jacom Malcom</dc:creator>
  <cp:lastModifiedBy>Michael Evans</cp:lastModifiedBy>
  <cp:revision>6</cp:revision>
  <dcterms:created xsi:type="dcterms:W3CDTF">2016-11-08T20:27:00Z</dcterms:created>
  <dcterms:modified xsi:type="dcterms:W3CDTF">2016-11-08T20:50:00Z</dcterms:modified>
</cp:coreProperties>
</file>