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Recovery</w:t>
      </w:r>
      <w:r>
        <w:t xml:space="preserve"> </w:t>
      </w:r>
      <w:r>
        <w:t xml:space="preserve">Units</w:t>
      </w:r>
    </w:p>
    <w:p>
      <w:pPr>
        <w:pStyle w:val="Author"/>
      </w:pPr>
      <w:r>
        <w:t xml:space="preserve">Michael</w:t>
      </w:r>
      <w:r>
        <w:t xml:space="preserve"> </w:t>
      </w:r>
      <w:r>
        <w:t xml:space="preserve">Evans</w:t>
      </w:r>
    </w:p>
    <w:p>
      <w:pPr>
        <w:pStyle w:val="Date"/>
      </w:pPr>
      <w:r>
        <w:t xml:space="preserve">November</w:t>
      </w:r>
      <w:r>
        <w:t xml:space="preserve"> </w:t>
      </w:r>
      <w:r>
        <w:t xml:space="preserve">1,</w:t>
      </w:r>
      <w:r>
        <w:t xml:space="preserve"> </w:t>
      </w:r>
      <w:r>
        <w:t xml:space="preserve">2016</w:t>
      </w:r>
    </w:p>
    <w:p>
      <w:pPr>
        <w:pStyle w:val="Heading2"/>
      </w:pPr>
      <w:bookmarkStart w:id="21" w:name="background"/>
      <w:bookmarkEnd w:id="21"/>
      <w:r>
        <w:t xml:space="preserve">Background</w:t>
      </w:r>
    </w:p>
    <w:p>
      <w:pPr>
        <w:pStyle w:val="FirstParagraph"/>
      </w:pPr>
      <w:r>
        <w:t xml:space="preserve">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pPr>
        <w:pStyle w:val="BodyText"/>
      </w:pPr>
      <w:r>
        <w:t xml:space="preserve">Recovery units are defined as "a special unit of the listed entity that is geographically or otherwise identifiable, and is essential to the recovery of the entire listed entity." The effects of federal actions subject to section 7 consultations can be evaluated at the recovery unit level, including jeopardy and adverse modification of critical habitat.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pPr>
        <w:pStyle w:val="BodyText"/>
      </w:pPr>
      <w:r>
        <w:t xml:space="preserve">Recovery units are a particularly appealing tool, because they already exists within the current ESA framework, requiring no new rules. Currently, only 31 out of 1364 species with recovery plans have recovery units defined, and 491 listed species do not have recovery plans finalized. Thus, recovery units present a practical and immediate opportunity to improve endangered species conservation and recovery.</w:t>
      </w:r>
    </w:p>
    <w:p>
      <w:pPr>
        <w:pStyle w:val="Heading2"/>
      </w:pPr>
      <w:bookmarkStart w:id="22" w:name="proposed-project"/>
      <w:bookmarkEnd w:id="22"/>
      <w:r>
        <w:t xml:space="preserve">Proposed Project</w:t>
      </w:r>
    </w:p>
    <w:p>
      <w:pPr>
        <w:pStyle w:val="FirstParagraph"/>
      </w:pPr>
      <w:r>
        <w:t xml:space="preserve">The goal of this project is to understand what has guided the agencies current use of recovery units, and demonstrate their utility for recovering endangered species. We propose to conduct analyses that will address the following objectives:</w:t>
      </w:r>
    </w:p>
    <w:p>
      <w:pPr>
        <w:pStyle w:val="Heading4"/>
      </w:pPr>
      <w:bookmarkStart w:id="23" w:name="objective-1-quantify-patterns-of-recovery-unit-designation"/>
      <w:bookmarkEnd w:id="23"/>
      <w:r>
        <w:t xml:space="preserve">Objective 1: Quantify patterns of recovery unit designation</w:t>
      </w:r>
    </w:p>
    <w:p>
      <w:pPr>
        <w:pStyle w:val="FirstParagraph"/>
      </w:pPr>
      <w:r>
        <w:rPr>
          <w:b/>
        </w:rPr>
        <w:t xml:space="preserve">Q1:</w:t>
      </w:r>
      <w:r>
        <w:t xml:space="preserve"> </w:t>
      </w:r>
      <w:r>
        <w:t xml:space="preserve">How many recovery units exist, and what are their basic characteristics?</w:t>
      </w:r>
      <w:r>
        <w:t xml:space="preserve"> </w:t>
      </w:r>
      <w:r>
        <w:rPr>
          <w:b/>
        </w:rPr>
        <w:t xml:space="preserve">Q2:</w:t>
      </w:r>
      <w:r>
        <w:t xml:space="preserve"> </w:t>
      </w:r>
      <w:r>
        <w:t xml:space="preserve">Are there factors predicting which species have recovery units?</w:t>
      </w:r>
    </w:p>
    <w:p>
      <w:pPr>
        <w:pStyle w:val="Heading4"/>
      </w:pPr>
      <w:bookmarkStart w:id="24" w:name="objective-2-assess-how-recovery-units-are-used-in-esa-implementation."/>
      <w:bookmarkEnd w:id="24"/>
      <w:r>
        <w:t xml:space="preserve">Objective 2: Assess how recovery units are used in ESA implementation.</w:t>
      </w:r>
    </w:p>
    <w:p>
      <w:pPr>
        <w:pStyle w:val="FirstParagraph"/>
      </w:pPr>
      <w:r>
        <w:rPr>
          <w:b/>
        </w:rPr>
        <w:t xml:space="preserve">Q3:</w:t>
      </w:r>
      <w:r>
        <w:t xml:space="preserve"> </w:t>
      </w:r>
      <w:r>
        <w:t xml:space="preserve">Do recovery plans provide guidance on how recovery units are to be used?</w:t>
      </w:r>
      <w:r>
        <w:t xml:space="preserve"> </w:t>
      </w:r>
      <w:r>
        <w:rPr>
          <w:b/>
        </w:rPr>
        <w:t xml:space="preserve">Q4:</w:t>
      </w:r>
      <w:r>
        <w:t xml:space="preserve"> </w:t>
      </w:r>
      <w:r>
        <w:t xml:space="preserve">Are recovery units explicitly considered during section 7 consultation?</w:t>
      </w:r>
      <w:r>
        <w:t xml:space="preserve"> </w:t>
      </w:r>
      <w:r>
        <w:rPr>
          <w:b/>
        </w:rPr>
        <w:t xml:space="preserve">Q5:</w:t>
      </w:r>
      <w:r>
        <w:t xml:space="preserve"> </w:t>
      </w:r>
      <w:r>
        <w:t xml:space="preserve">Are recovery units considered in five year status reviews?</w:t>
      </w:r>
      <w:r>
        <w:t xml:space="preserve"> </w:t>
      </w:r>
      <w:r>
        <w:rPr>
          <w:b/>
        </w:rPr>
        <w:t xml:space="preserve">Q6:</w:t>
      </w:r>
      <w:r>
        <w:t xml:space="preserve"> </w:t>
      </w:r>
      <w:r>
        <w:t xml:space="preserve">Do recovery units lead to stronger conservation measures?</w:t>
      </w:r>
    </w:p>
    <w:p>
      <w:pPr>
        <w:pStyle w:val="Heading4"/>
      </w:pPr>
      <w:bookmarkStart w:id="25" w:name="objective-3-estimate-impacts-on-species-recovery"/>
      <w:bookmarkEnd w:id="25"/>
      <w:r>
        <w:t xml:space="preserve">Objective 3: Estimate impacts on species recovery</w:t>
      </w:r>
    </w:p>
    <w:p>
      <w:pPr>
        <w:pStyle w:val="FirstParagraph"/>
      </w:pPr>
      <w:r>
        <w:rPr>
          <w:b/>
        </w:rPr>
        <w:t xml:space="preserve">Q7:</w:t>
      </w:r>
      <w:r>
        <w:t xml:space="preserve"> </w:t>
      </w:r>
      <w:r>
        <w:t xml:space="preserve">Do species with recovery units show greater improvement?</w:t>
      </w:r>
    </w:p>
    <w:p>
      <w:pPr>
        <w:pStyle w:val="Heading2"/>
      </w:pPr>
      <w:bookmarkStart w:id="26" w:name="outcomes"/>
      <w:bookmarkEnd w:id="26"/>
      <w:r>
        <w:t xml:space="preserve">Outcomes</w:t>
      </w:r>
    </w:p>
    <w:p>
      <w:pPr>
        <w:pStyle w:val="FirstParagraph"/>
      </w:pPr>
      <w:r>
        <w:t xml:space="preserve">Results of this analysis will allow Defenders to make specific policy recommendations to the services on where recovery units should be designated, and how they can help recover species. The current backlog of listed species without recovery plans provides a concrete set of species to which these recommendations can be applied.</w:t>
      </w:r>
    </w:p>
    <w:p>
      <w:pPr>
        <w:pStyle w:val="Heading2"/>
      </w:pPr>
      <w:bookmarkStart w:id="27" w:name="initial-analyses"/>
      <w:bookmarkEnd w:id="27"/>
      <w:r>
        <w:t xml:space="preserve">Initial Analyses</w:t>
      </w:r>
    </w:p>
    <w:p>
      <w:pPr>
        <w:pStyle w:val="FirstParagraph"/>
      </w:pPr>
      <w:r>
        <w:t xml:space="preserve">We have begun to analyze data from Fish and Wildlife Service, and will add NMFS data as it is collected. The use of recovery units appears to be biased towards specific taxa, both when plant species are (X2 = 48.52, df = 9, p = 0) and are not considered (X2 = 15.79, df = 8, p = 0.05). Specifically, amphibians, fishes, insects, mammals, and reptiles are more frequently given recovery units.</w:t>
      </w:r>
    </w:p>
    <w:p>
      <w:pPr>
        <w:pStyle w:val="BodyText"/>
      </w:pPr>
      <w:r>
        <w:drawing>
          <wp:inline>
            <wp:extent cx="4610100" cy="3695700"/>
            <wp:effectExtent b="0" l="0" r="0" t="0"/>
            <wp:docPr descr="" id="1" name="Picture"/>
            <a:graphic>
              <a:graphicData uri="http://schemas.openxmlformats.org/drawingml/2006/picture">
                <pic:pic>
                  <pic:nvPicPr>
                    <pic:cNvPr descr="test_files/figure-docx/taxa_bar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Similarly, recovery units are applied to species with larger ranges, measured by the area encompassed by counties in which they are listed (W = -2.72, p = 0.01).</w:t>
      </w:r>
    </w:p>
    <w:p>
      <w:pPr>
        <w:pStyle w:val="BodyText"/>
      </w:pPr>
      <w:r>
        <w:drawing>
          <wp:inline>
            <wp:extent cx="4610100" cy="3695700"/>
            <wp:effectExtent b="0" l="0" r="0" t="0"/>
            <wp:docPr descr="" id="1" name="Picture"/>
            <a:graphic>
              <a:graphicData uri="http://schemas.openxmlformats.org/drawingml/2006/picture">
                <pic:pic>
                  <pic:nvPicPr>
                    <pic:cNvPr descr="test_files/figure-docx/area_bar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The proportion of section 7 consultations that are formal is significantly higher (p &lt; 0.001) for species with recovery units than for all listed species. This may indicate that evaluating the effects of federal actions at the recovery unit level is a more conservative approach to determining adverse affects during informal consultation. Alteratively, the services may designate recovery units for species that they anticipate will have a high rate of formal consultation. Examination of Biological Opinions from these consultations will help clarify the directionality.</w:t>
      </w:r>
    </w:p>
    <w:p>
      <w:pPr>
        <w:pStyle w:val="BodyText"/>
      </w:pPr>
      <w:r>
        <w:drawing>
          <wp:inline>
            <wp:extent cx="4610100" cy="3695700"/>
            <wp:effectExtent b="0" l="0" r="0" t="0"/>
            <wp:docPr descr="" id="1" name="Picture"/>
            <a:graphic>
              <a:graphicData uri="http://schemas.openxmlformats.org/drawingml/2006/picture">
                <pic:pic>
                  <pic:nvPicPr>
                    <pic:cNvPr descr="test_files/figure-docx/consult_box-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e11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 Units</dc:title>
  <dc:creator>Michael Evans</dc:creator>
</cp:coreProperties>
</file>