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Malware Sample Artifact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Malware Artifact object could be defined that is similar to the Artifact object, but malware oriented (i.e., known/assumed to be malicious). However, the properties of the two objects would be nearly identical, so defining a property extension schema for the Artifact object is the simpler solution.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Artifact Object Schema – Malware Sample Extension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consideration for sharing malware samples is accidental execution. The addition of a custom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potential risk.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shows the custom property—an extension to the Artifact SDO—that can be used to define a malware sample artifact.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  <w:rtl w:val="0"/>
        </w:rPr>
        <w:t xml:space="preserve">Table 1. Malware Sample Artifact Extension Properties</w:t>
      </w:r>
    </w:p>
    <w:tbl>
      <w:tblPr>
        <w:tblStyle w:val="Table1"/>
        <w:tblW w:w="95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620"/>
        <w:gridCol w:w="5580"/>
        <w:tblGridChange w:id="0">
          <w:tblGrid>
            <w:gridCol w:w="2335"/>
            <w:gridCol w:w="1620"/>
            <w:gridCol w:w="55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Name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36" w:before="3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is_safe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36" w:before="3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whether the artifact 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safe, i.e., can be opened or processed without risking harm or infection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 default value is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shd w:fill="cfe2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Example – Malware Sample Artifact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is an example malware sample Artifact and includes a sample STIX Extension Definition object.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{</w:t>
        <w:br w:type="textWrapping"/>
        <w:t xml:space="preserve">    "id": "extension-definition--bd736433-33be-0466-ad33-bef32424a776",</w:t>
        <w:br w:type="textWrapping"/>
        <w:t xml:space="preserve">    "type": "extension-definition",</w:t>
        <w:br w:type="textWrapping"/>
        <w:t xml:space="preserve">    "spec_version": "2.1",</w:t>
        <w:br w:type="textWrapping"/>
        <w:t xml:space="preserve">    "name": "Malware Artifact Extension",</w:t>
        <w:br w:type="textWrapping"/>
        <w:t xml:space="preserve">    "description": "This schema creates a new propert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y to indicate whether a malware artifact is safe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.",</w:t>
        <w:br w:type="textWrapping"/>
        <w:t xml:space="preserve">    "created": "2020-10-31T09:00:00.000000Z",</w:t>
        <w:br w:type="textWrapping"/>
        <w:t xml:space="preserve">    "modified": 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2020-10-31T09:00:00.000000Z",</w:t>
        <w:br w:type="textWrapping"/>
        <w:t xml:space="preserve">    "created_by_ref": "identity--66948562-8321-4537-4539-86756453bbbd",</w:t>
        <w:br w:type="textWrapping"/>
        <w:t xml:space="preserve">    "schema": "https://www.ais.dhs.gov/schema-malware-artifact/v1/",</w:t>
        <w:br w:type="textWrapping"/>
        <w:t xml:space="preserve">    "version": "1.0",</w:t>
        <w:br w:type="textWrapping"/>
        <w:t xml:space="preserve">    "extension_types": ["toplevel-property-extension"],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  <w:color w:val="000000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"extension_properties": ["is_safe"]</w:t>
        <w:br w:type="textWrapping"/>
        <w:t xml:space="preserve">},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{</w:t>
        <w:br w:type="textWrapping"/>
        <w:t xml:space="preserve">    "type": "artifact",</w:t>
        <w:br w:type="textWrapping"/>
        <w:t xml:space="preserve">    "spec_version": "2.1",</w:t>
        <w:br w:type="textWrapping"/>
        <w:t xml:space="preserve">    "id": "artifact--b67d30ff-02ac-498a-92f9-32f845f448cf",</w:t>
        <w:br w:type="textWrapping"/>
        <w:t xml:space="preserve">    "mime_type": "application/zip",</w:t>
        <w:br w:type="textWrapping"/>
        <w:t xml:space="preserve">    "payload_bin": "VNEKDAAAJDeudjDjedkedDjj==... &lt;snip&gt;",</w:t>
        <w:br w:type="textWrapping"/>
        <w:t xml:space="preserve">    "hashes": {</w:t>
        <w:br w:type="textWrapping"/>
        <w:t xml:space="preserve">        "MD5": "84730cc04f0a433fce5336b7c7504d2c",</w:t>
        <w:br w:type="textWrapping"/>
        <w:t xml:space="preserve">        "SHA-256": "f432cf964b998e582fd2c191a0c986430cb632a315435f80798dd2a2…e5f5"</w:t>
        <w:br w:type="textWrapping"/>
        <w:t xml:space="preserve">    },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"is_safe": "false",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"extensions": {"extension-definition--bd736433-33be-0466-ad33-bef32424a776":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  <w:b w:val="1"/>
          <w:color w:val="000000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        "extension_type": "toplevel-property-extension"</w:t>
        <w:br w:type="textWrapping"/>
        <w:t xml:space="preserve">    }}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  <w:color w:val="44546a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. Example Artifact Object (Malware)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 Narrow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240" w:line="240" w:lineRule="auto"/>
      <w:ind w:left="432" w:hanging="432"/>
    </w:pPr>
    <w:rPr>
      <w:rFonts w:ascii="Arial Narrow" w:cs="Arial Narrow" w:eastAsia="Arial Narrow" w:hAnsi="Arial Narrow"/>
      <w:b w:val="1"/>
      <w:color w:val="44546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20" w:before="240" w:line="240" w:lineRule="auto"/>
      <w:ind w:left="630" w:hanging="630"/>
    </w:pPr>
    <w:rPr>
      <w:rFonts w:ascii="Arial Narrow" w:cs="Arial Narrow" w:eastAsia="Arial Narrow" w:hAnsi="Arial Narrow"/>
      <w:b w:val="1"/>
      <w:color w:val="44546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i w:val="1"/>
      <w:color w:val="44546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070"/>
      </w:tabs>
      <w:spacing w:after="120" w:before="180" w:line="240" w:lineRule="auto"/>
      <w:ind w:left="2070" w:hanging="2070"/>
    </w:pPr>
    <w:rPr>
      <w:rFonts w:ascii="Arial Narrow" w:cs="Arial Narrow" w:eastAsia="Arial Narrow" w:hAnsi="Arial Narrow"/>
      <w:b w:val="1"/>
      <w:i w:val="0"/>
      <w:color w:val="44546a"/>
      <w:sz w:val="36"/>
      <w:szCs w:val="3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9749FE"/>
    <w:pPr>
      <w:keepNext w:val="1"/>
      <w:keepLines w:val="1"/>
      <w:numPr>
        <w:numId w:val="1"/>
      </w:numPr>
      <w:tabs>
        <w:tab w:val="left" w:pos="450"/>
      </w:tabs>
      <w:spacing w:after="120" w:before="240" w:line="240" w:lineRule="auto"/>
      <w:outlineLvl w:val="0"/>
    </w:pPr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9749FE"/>
    <w:pPr>
      <w:numPr>
        <w:ilvl w:val="1"/>
      </w:numPr>
      <w:tabs>
        <w:tab w:val="clear" w:pos="450"/>
        <w:tab w:val="left" w:pos="630"/>
      </w:tabs>
      <w:ind w:left="630" w:hanging="630"/>
      <w:outlineLvl w:val="1"/>
    </w:pPr>
    <w:rPr>
      <w:bCs w:val="1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 w:val="1"/>
    <w:rsid w:val="009749FE"/>
    <w:pPr>
      <w:numPr>
        <w:ilvl w:val="2"/>
      </w:numPr>
      <w:tabs>
        <w:tab w:val="clear" w:pos="630"/>
        <w:tab w:val="left" w:pos="810"/>
      </w:tabs>
      <w:ind w:left="810" w:hanging="810"/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9749FE"/>
    <w:pPr>
      <w:numPr>
        <w:ilvl w:val="3"/>
      </w:numPr>
      <w:ind w:left="810" w:hanging="810"/>
      <w:outlineLvl w:val="3"/>
    </w:pPr>
    <w:rPr>
      <w:bCs w:val="1"/>
      <w:iCs w:val="1"/>
      <w:sz w:val="24"/>
    </w:rPr>
  </w:style>
  <w:style w:type="paragraph" w:styleId="Heading5">
    <w:name w:val="heading 5"/>
    <w:basedOn w:val="Heading4"/>
    <w:next w:val="Normal"/>
    <w:link w:val="Heading5Char"/>
    <w:uiPriority w:val="9"/>
    <w:qFormat w:val="1"/>
    <w:rsid w:val="009749FE"/>
    <w:pPr>
      <w:numPr>
        <w:ilvl w:val="4"/>
      </w:numPr>
      <w:outlineLvl w:val="4"/>
    </w:pPr>
    <w:rPr>
      <w:i w:val="1"/>
    </w:rPr>
  </w:style>
  <w:style w:type="paragraph" w:styleId="Heading6">
    <w:name w:val="heading 6"/>
    <w:basedOn w:val="Heading5"/>
    <w:next w:val="Normal"/>
    <w:link w:val="Heading6Char"/>
    <w:uiPriority w:val="9"/>
    <w:qFormat w:val="1"/>
    <w:rsid w:val="009749FE"/>
    <w:pPr>
      <w:numPr>
        <w:ilvl w:val="5"/>
      </w:numPr>
      <w:tabs>
        <w:tab w:val="clear" w:pos="810"/>
        <w:tab w:val="left" w:pos="2070"/>
      </w:tabs>
      <w:spacing w:before="180"/>
      <w:ind w:left="2070" w:hanging="2070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49FE"/>
    <w:pPr>
      <w:keepNext w:val="1"/>
      <w:keepLines w:val="1"/>
      <w:numPr>
        <w:ilvl w:val="6"/>
        <w:numId w:val="1"/>
      </w:numPr>
      <w:tabs>
        <w:tab w:val="left" w:pos="720"/>
      </w:tabs>
      <w:spacing w:after="80" w:before="200" w:line="240" w:lineRule="auto"/>
      <w:outlineLvl w:val="6"/>
    </w:pPr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9749FE"/>
    <w:pPr>
      <w:keepNext w:val="1"/>
      <w:keepLines w:val="1"/>
      <w:numPr>
        <w:ilvl w:val="7"/>
        <w:numId w:val="1"/>
      </w:numPr>
      <w:tabs>
        <w:tab w:val="left" w:pos="810"/>
      </w:tabs>
      <w:spacing w:after="80" w:before="200" w:line="240" w:lineRule="auto"/>
      <w:outlineLvl w:val="7"/>
    </w:pPr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paragraph" w:styleId="Heading9">
    <w:name w:val="heading 9"/>
    <w:next w:val="Normal"/>
    <w:link w:val="Heading9Char"/>
    <w:uiPriority w:val="9"/>
    <w:qFormat w:val="1"/>
    <w:rsid w:val="009749FE"/>
    <w:pPr>
      <w:keepNext w:val="1"/>
      <w:keepLines w:val="1"/>
      <w:numPr>
        <w:ilvl w:val="8"/>
        <w:numId w:val="1"/>
      </w:numPr>
      <w:spacing w:after="80" w:before="200" w:line="240" w:lineRule="auto"/>
      <w:outlineLvl w:val="8"/>
    </w:pPr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749FE"/>
    <w:rPr>
      <w:rFonts w:ascii="Arial Narrow Bold" w:hAnsi="Arial Narrow Bold" w:cstheme="majorBidi" w:eastAsiaTheme="majorEastAsia"/>
      <w:b w:val="1"/>
      <w:bCs w:val="1"/>
      <w:iCs w:val="1"/>
      <w:color w:val="44546a" w:themeColor="text2"/>
      <w:kern w:val="32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9749FE"/>
    <w:rPr>
      <w:rFonts w:ascii="Arial Narrow Bold" w:hAnsi="Arial Narrow Bold" w:cstheme="majorBidi" w:eastAsiaTheme="majorEastAsia"/>
      <w:b w:val="1"/>
      <w:bCs w:val="1"/>
      <w:i w:val="1"/>
      <w:iCs w:val="1"/>
      <w:color w:val="44546a" w:themeColor="text2"/>
      <w:kern w:val="32"/>
      <w:sz w:val="24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9749FE"/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9749FE"/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749FE"/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paragraph" w:styleId="BodyText">
    <w:name w:val="Body Text"/>
    <w:link w:val="BodyTextChar"/>
    <w:unhideWhenUsed w:val="1"/>
    <w:qFormat w:val="1"/>
    <w:rsid w:val="009749FE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749FE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749FE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ColumnHeading" w:customStyle="1">
    <w:name w:val="Table Column Heading"/>
    <w:link w:val="TableColumnHeadingChar"/>
    <w:qFormat w:val="1"/>
    <w:rsid w:val="009749FE"/>
    <w:pPr>
      <w:spacing w:after="96" w:afterLines="40" w:before="96" w:beforeLines="40" w:line="240" w:lineRule="auto"/>
      <w:jc w:val="center"/>
    </w:pPr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paragraph" w:styleId="TableText" w:customStyle="1">
    <w:name w:val="Table Text"/>
    <w:link w:val="TableTextChar"/>
    <w:qFormat w:val="1"/>
    <w:rsid w:val="009749FE"/>
    <w:pPr>
      <w:spacing w:after="60" w:before="60" w:line="240" w:lineRule="auto"/>
    </w:pPr>
    <w:rPr>
      <w:rFonts w:ascii="Times New Roman" w:cs="Times New Roman" w:hAnsi="Times New Roman" w:eastAsiaTheme="majorEastAsia"/>
      <w:bCs w:val="1"/>
    </w:rPr>
  </w:style>
  <w:style w:type="character" w:styleId="Hyperlink">
    <w:name w:val="Hyperlink"/>
    <w:basedOn w:val="DefaultParagraphFont"/>
    <w:uiPriority w:val="99"/>
    <w:unhideWhenUsed w:val="1"/>
    <w:rsid w:val="009749FE"/>
    <w:rPr>
      <w:color w:val="0000ff"/>
      <w:u w:val="single"/>
    </w:rPr>
  </w:style>
  <w:style w:type="character" w:styleId="TableColumnHeadingChar" w:customStyle="1">
    <w:name w:val="Table Column Heading Char"/>
    <w:basedOn w:val="DefaultParagraphFont"/>
    <w:link w:val="TableColumnHeading"/>
    <w:rsid w:val="009749FE"/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character" w:styleId="TableTextChar" w:customStyle="1">
    <w:name w:val="Table Text Char"/>
    <w:basedOn w:val="DefaultParagraphFont"/>
    <w:link w:val="TableText"/>
    <w:rsid w:val="009749FE"/>
    <w:rPr>
      <w:rFonts w:ascii="Times New Roman" w:cs="Times New Roman" w:hAnsi="Times New Roman" w:eastAsiaTheme="majorEastAsia"/>
      <w:bCs w:val="1"/>
    </w:rPr>
  </w:style>
  <w:style w:type="paragraph" w:styleId="Caption-Table" w:customStyle="1">
    <w:name w:val="Caption - Table"/>
    <w:basedOn w:val="Normal"/>
    <w:rsid w:val="009749FE"/>
    <w:pPr>
      <w:spacing w:after="60" w:before="60" w:line="240" w:lineRule="auto"/>
      <w:jc w:val="center"/>
    </w:pPr>
    <w:rPr>
      <w:rFonts w:ascii="Arial Narrow" w:hAnsi="Arial Narrow" w:cstheme="majorBidi" w:eastAsiaTheme="majorEastAsia"/>
      <w:b w:val="1"/>
      <w:color w:val="315683"/>
      <w:kern w:val="32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974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49FE"/>
    <w:rPr>
      <w:sz w:val="20"/>
      <w:szCs w:val="20"/>
    </w:rPr>
  </w:style>
  <w:style w:type="paragraph" w:styleId="Consolas" w:customStyle="1">
    <w:name w:val="Consolas"/>
    <w:basedOn w:val="BodyText"/>
    <w:link w:val="ConsolasChar"/>
    <w:qFormat w:val="1"/>
    <w:rsid w:val="009749FE"/>
    <w:rPr>
      <w:rFonts w:ascii="Consolas" w:hAnsi="Consolas"/>
      <w:b w:val="1"/>
      <w:sz w:val="20"/>
    </w:rPr>
  </w:style>
  <w:style w:type="character" w:styleId="ConsolasChar" w:customStyle="1">
    <w:name w:val="Consolas Char"/>
    <w:basedOn w:val="BodyTextChar"/>
    <w:link w:val="Consolas"/>
    <w:rsid w:val="009749FE"/>
    <w:rPr>
      <w:rFonts w:ascii="Consolas" w:cs="Times New Roman" w:eastAsia="Times New Roman" w:hAnsi="Consolas"/>
      <w:b w:val="1"/>
      <w:sz w:val="20"/>
      <w:szCs w:val="24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332A14"/>
  </w:style>
  <w:style w:type="paragraph" w:styleId="Heading1Unnuimbered" w:customStyle="1">
    <w:name w:val="Heading 1 Unnuimbered"/>
    <w:basedOn w:val="Heading1"/>
    <w:next w:val="BodyText"/>
    <w:rsid w:val="00332A14"/>
    <w:pPr>
      <w:numPr>
        <w:numId w:val="0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A156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6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B3LbsUPkkqHasKAplwEvqtCOQ==">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2022-03-09T15:23:00.0000000Z</dcterms:created>
  <dc:creator>Dan Haynes Jr.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0x010100E04667AF31D3914CB13262D1EA9FE72C</vt:lpwstr>
  </property>
</Properties>
</file>