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D6D17" w14:textId="43500245" w:rsidR="00B27036" w:rsidRPr="00A3502F" w:rsidRDefault="0021487A" w:rsidP="00B25A91">
      <w:pPr>
        <w:jc w:val="center"/>
        <w:rPr>
          <w:rFonts w:eastAsia="Arial"/>
          <w:b/>
          <w:bCs/>
          <w:sz w:val="24"/>
          <w:szCs w:val="24"/>
        </w:rPr>
      </w:pPr>
      <w:r w:rsidRPr="00A3502F">
        <w:rPr>
          <w:rFonts w:eastAsia="Arial"/>
          <w:b/>
          <w:bCs/>
          <w:sz w:val="24"/>
          <w:szCs w:val="24"/>
        </w:rPr>
        <w:t>СОСТАВ И СОДЕРЖАНИЕ</w:t>
      </w:r>
      <w:r w:rsidR="00B25A91" w:rsidRPr="00A3502F">
        <w:rPr>
          <w:sz w:val="24"/>
          <w:szCs w:val="24"/>
        </w:rPr>
        <w:t xml:space="preserve"> </w:t>
      </w:r>
      <w:r w:rsidRPr="00A3502F">
        <w:rPr>
          <w:rFonts w:eastAsia="Arial"/>
          <w:b/>
          <w:bCs/>
          <w:sz w:val="24"/>
          <w:szCs w:val="24"/>
        </w:rPr>
        <w:t>МЕР ПО</w:t>
      </w:r>
      <w:r w:rsidR="00B25A91" w:rsidRPr="00A3502F">
        <w:rPr>
          <w:rFonts w:eastAsia="Arial"/>
          <w:b/>
          <w:bCs/>
          <w:sz w:val="24"/>
          <w:szCs w:val="24"/>
        </w:rPr>
        <w:t xml:space="preserve"> </w:t>
      </w:r>
      <w:r w:rsidRPr="00A3502F">
        <w:rPr>
          <w:rFonts w:eastAsia="Arial"/>
          <w:b/>
          <w:bCs/>
          <w:sz w:val="24"/>
          <w:szCs w:val="24"/>
        </w:rPr>
        <w:t>ОБЕСПЕЧЕНИЮ БЕЗОПАСНОСТИ ПЕРСОНАЛЬНЫХ ДАННЫХ,</w:t>
      </w:r>
      <w:r w:rsidR="00B25A91" w:rsidRPr="00A3502F">
        <w:rPr>
          <w:sz w:val="24"/>
          <w:szCs w:val="24"/>
        </w:rPr>
        <w:t xml:space="preserve"> </w:t>
      </w:r>
      <w:r w:rsidRPr="00A3502F">
        <w:rPr>
          <w:rFonts w:eastAsia="Arial"/>
          <w:b/>
          <w:bCs/>
          <w:sz w:val="24"/>
          <w:szCs w:val="24"/>
        </w:rPr>
        <w:t>НЕОБХОДИМЫХ ДЛЯ ОБЕСПЕЧЕНИЯ КАЖДОГО ИЗ УРОВНЕЙ</w:t>
      </w:r>
      <w:r w:rsidR="00B25A91" w:rsidRPr="00A3502F">
        <w:rPr>
          <w:sz w:val="24"/>
          <w:szCs w:val="24"/>
        </w:rPr>
        <w:t xml:space="preserve"> </w:t>
      </w:r>
      <w:r w:rsidRPr="00A3502F">
        <w:rPr>
          <w:rFonts w:eastAsia="Arial"/>
          <w:b/>
          <w:bCs/>
          <w:sz w:val="24"/>
          <w:szCs w:val="24"/>
        </w:rPr>
        <w:t>ЗАЩИЩЕННОСТИ ПЕРСОНАЛЬНЫХ ДАННЫХ</w:t>
      </w:r>
    </w:p>
    <w:p w14:paraId="04A551F1" w14:textId="77777777" w:rsidR="00B25A91" w:rsidRPr="00A3502F" w:rsidRDefault="00B25A91" w:rsidP="00B25A91">
      <w:pPr>
        <w:jc w:val="center"/>
        <w:rPr>
          <w:sz w:val="24"/>
          <w:szCs w:val="24"/>
        </w:rPr>
      </w:pPr>
    </w:p>
    <w:tbl>
      <w:tblPr>
        <w:tblStyle w:val="1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2111"/>
        <w:gridCol w:w="429"/>
        <w:gridCol w:w="5052"/>
      </w:tblGrid>
      <w:tr w:rsidR="00BC21C1" w:rsidRPr="00BC21C1" w14:paraId="24654134" w14:textId="77777777" w:rsidTr="004A774C">
        <w:tc>
          <w:tcPr>
            <w:tcW w:w="1424" w:type="dxa"/>
            <w:vMerge w:val="restart"/>
            <w:vAlign w:val="center"/>
          </w:tcPr>
          <w:p w14:paraId="74B192B1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Условное обозначение и номер меры</w:t>
            </w:r>
          </w:p>
        </w:tc>
        <w:tc>
          <w:tcPr>
            <w:tcW w:w="2111" w:type="dxa"/>
            <w:vMerge w:val="restart"/>
            <w:vAlign w:val="center"/>
          </w:tcPr>
          <w:p w14:paraId="5B55988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Содержание мер по обеспечению безопасности персональных данных</w:t>
            </w:r>
          </w:p>
        </w:tc>
        <w:tc>
          <w:tcPr>
            <w:tcW w:w="5481" w:type="dxa"/>
            <w:gridSpan w:val="2"/>
            <w:vAlign w:val="center"/>
          </w:tcPr>
          <w:p w14:paraId="7DC908D8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Уровни защищенности персональных данных</w:t>
            </w:r>
          </w:p>
        </w:tc>
      </w:tr>
      <w:tr w:rsidR="00BC21C1" w:rsidRPr="00BC21C1" w14:paraId="0C054CCF" w14:textId="77777777" w:rsidTr="004A774C">
        <w:trPr>
          <w:trHeight w:val="548"/>
        </w:trPr>
        <w:tc>
          <w:tcPr>
            <w:tcW w:w="1424" w:type="dxa"/>
            <w:vMerge/>
            <w:vAlign w:val="center"/>
          </w:tcPr>
          <w:p w14:paraId="5B832FBF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11" w:type="dxa"/>
            <w:vMerge/>
            <w:vAlign w:val="center"/>
          </w:tcPr>
          <w:p w14:paraId="52CB93A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9" w:type="dxa"/>
            <w:vAlign w:val="center"/>
          </w:tcPr>
          <w:p w14:paraId="66EBF1F0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3</w:t>
            </w:r>
          </w:p>
        </w:tc>
        <w:tc>
          <w:tcPr>
            <w:tcW w:w="5052" w:type="dxa"/>
            <w:vAlign w:val="center"/>
          </w:tcPr>
          <w:p w14:paraId="04AD6B98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Описание действия</w:t>
            </w:r>
          </w:p>
        </w:tc>
      </w:tr>
      <w:tr w:rsidR="00BC21C1" w:rsidRPr="00BC21C1" w14:paraId="07BF3E71" w14:textId="77777777" w:rsidTr="004A774C">
        <w:tc>
          <w:tcPr>
            <w:tcW w:w="9016" w:type="dxa"/>
            <w:gridSpan w:val="4"/>
            <w:vAlign w:val="center"/>
          </w:tcPr>
          <w:p w14:paraId="4260699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I. Идентификация и аутентификация субъектов доступа и объектов доступа (ИАФ)</w:t>
            </w:r>
          </w:p>
        </w:tc>
      </w:tr>
      <w:tr w:rsidR="00BC21C1" w:rsidRPr="00BC21C1" w14:paraId="6986484E" w14:textId="77777777" w:rsidTr="004A774C">
        <w:tc>
          <w:tcPr>
            <w:tcW w:w="1424" w:type="dxa"/>
            <w:vAlign w:val="center"/>
          </w:tcPr>
          <w:p w14:paraId="4ECB2933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ИАФ.1</w:t>
            </w:r>
          </w:p>
        </w:tc>
        <w:tc>
          <w:tcPr>
            <w:tcW w:w="2111" w:type="dxa"/>
            <w:vAlign w:val="center"/>
          </w:tcPr>
          <w:p w14:paraId="62F8738D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Идентификация и аутентификация пользователей — сотрудников организации</w:t>
            </w:r>
          </w:p>
        </w:tc>
        <w:tc>
          <w:tcPr>
            <w:tcW w:w="429" w:type="dxa"/>
            <w:vAlign w:val="center"/>
          </w:tcPr>
          <w:p w14:paraId="7075C2E2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70C2500F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Использование встроенной подсистемы пользователей и ролей 1С:Предприятие с обязательной аутентификацией по логину и паролю; пароли хранятся в зашифрованном виде; запрещён вход без идентификации. Применяется как для кассиров, так и для менеджеров по продажам и склада.</w:t>
            </w:r>
          </w:p>
        </w:tc>
      </w:tr>
      <w:tr w:rsidR="00BC21C1" w:rsidRPr="00BC21C1" w14:paraId="0B2F914D" w14:textId="77777777" w:rsidTr="004A774C">
        <w:tc>
          <w:tcPr>
            <w:tcW w:w="1424" w:type="dxa"/>
            <w:vAlign w:val="center"/>
          </w:tcPr>
          <w:p w14:paraId="5F90D816" w14:textId="77777777" w:rsidR="00BC21C1" w:rsidRPr="00BC21C1" w:rsidRDefault="00BC21C1" w:rsidP="00BC21C1">
            <w:pPr>
              <w:jc w:val="center"/>
              <w:rPr>
                <w:spacing w:val="-2"/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ИАФ.3</w:t>
            </w:r>
          </w:p>
        </w:tc>
        <w:tc>
          <w:tcPr>
            <w:tcW w:w="2111" w:type="dxa"/>
            <w:vAlign w:val="center"/>
          </w:tcPr>
          <w:p w14:paraId="52BEB89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Управление идентификаторами (создание, присвоение, уничтожение)</w:t>
            </w:r>
          </w:p>
        </w:tc>
        <w:tc>
          <w:tcPr>
            <w:tcW w:w="429" w:type="dxa"/>
            <w:vAlign w:val="center"/>
          </w:tcPr>
          <w:p w14:paraId="79BBF7E1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3B21651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Учётные записи создаются и управляются через форму «Пользователи»; при увольнении — блокируются (а не удаляются); ведётся журнал изменений учётных записей в регистре сведений для аудита.</w:t>
            </w:r>
          </w:p>
        </w:tc>
      </w:tr>
      <w:tr w:rsidR="00BC21C1" w:rsidRPr="00BC21C1" w14:paraId="017DBB06" w14:textId="77777777" w:rsidTr="004A774C">
        <w:tc>
          <w:tcPr>
            <w:tcW w:w="1424" w:type="dxa"/>
            <w:vAlign w:val="center"/>
          </w:tcPr>
          <w:p w14:paraId="3AE5F311" w14:textId="77777777" w:rsidR="00BC21C1" w:rsidRPr="00BC21C1" w:rsidRDefault="00BC21C1" w:rsidP="00BC21C1">
            <w:pPr>
              <w:jc w:val="center"/>
              <w:rPr>
                <w:spacing w:val="-2"/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ИАФ.4</w:t>
            </w:r>
          </w:p>
        </w:tc>
        <w:tc>
          <w:tcPr>
            <w:tcW w:w="2111" w:type="dxa"/>
            <w:vAlign w:val="center"/>
          </w:tcPr>
          <w:p w14:paraId="22AAA09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Управление средствами аутентификации</w:t>
            </w:r>
          </w:p>
        </w:tc>
        <w:tc>
          <w:tcPr>
            <w:tcW w:w="429" w:type="dxa"/>
            <w:vAlign w:val="center"/>
          </w:tcPr>
          <w:p w14:paraId="06DF1999" w14:textId="77777777" w:rsidR="00BC21C1" w:rsidRPr="00BC21C1" w:rsidRDefault="00BC21C1" w:rsidP="00BC21C1">
            <w:pPr>
              <w:jc w:val="center"/>
              <w:rPr>
                <w:sz w:val="24"/>
                <w:szCs w:val="24"/>
                <w:lang w:val="en-US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37E5AF2A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При первом входе — обязательная смена пароля; пароль должен содержать не менее 8 символов (буквы + цифры); блокировка учётной записи после 5 неудачных попыток входа; запрет повторного использования 3 последних паролей.</w:t>
            </w:r>
          </w:p>
        </w:tc>
      </w:tr>
      <w:tr w:rsidR="00BC21C1" w:rsidRPr="00BC21C1" w14:paraId="7B993AD8" w14:textId="77777777" w:rsidTr="004A774C">
        <w:tc>
          <w:tcPr>
            <w:tcW w:w="1424" w:type="dxa"/>
            <w:vAlign w:val="center"/>
          </w:tcPr>
          <w:p w14:paraId="4F7C83B6" w14:textId="77777777" w:rsidR="00BC21C1" w:rsidRPr="00BC21C1" w:rsidRDefault="00BC21C1" w:rsidP="00BC21C1">
            <w:pPr>
              <w:jc w:val="center"/>
              <w:rPr>
                <w:spacing w:val="-2"/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ИАФ.6</w:t>
            </w:r>
          </w:p>
        </w:tc>
        <w:tc>
          <w:tcPr>
            <w:tcW w:w="2111" w:type="dxa"/>
            <w:vAlign w:val="center"/>
          </w:tcPr>
          <w:p w14:paraId="76D5AF3D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Идентификация и аутентификация внешних пользователей</w:t>
            </w:r>
          </w:p>
        </w:tc>
        <w:tc>
          <w:tcPr>
            <w:tcW w:w="429" w:type="dxa"/>
            <w:vAlign w:val="center"/>
          </w:tcPr>
          <w:p w14:paraId="7EB09F7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58E245B6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Регистрация клиентов (внешних пользователей) — через форму «Личный кабинет покупателя» с подтверждением email или SMS; аутентификация — по email + пароль или одноразовому коду (OTP).</w:t>
            </w:r>
          </w:p>
        </w:tc>
      </w:tr>
      <w:tr w:rsidR="00BC21C1" w:rsidRPr="00BC21C1" w14:paraId="265A77F5" w14:textId="77777777" w:rsidTr="004A774C">
        <w:tc>
          <w:tcPr>
            <w:tcW w:w="9016" w:type="dxa"/>
            <w:gridSpan w:val="4"/>
            <w:vAlign w:val="center"/>
          </w:tcPr>
          <w:p w14:paraId="4073679B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II. Управление доступом субъектов доступа к объектам доступа (УПД)</w:t>
            </w:r>
          </w:p>
        </w:tc>
      </w:tr>
      <w:tr w:rsidR="00BC21C1" w:rsidRPr="00BC21C1" w14:paraId="2E44E60F" w14:textId="77777777" w:rsidTr="004A774C">
        <w:tc>
          <w:tcPr>
            <w:tcW w:w="1424" w:type="dxa"/>
            <w:vAlign w:val="center"/>
          </w:tcPr>
          <w:p w14:paraId="77B8B2E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УПД.1</w:t>
            </w:r>
          </w:p>
        </w:tc>
        <w:tc>
          <w:tcPr>
            <w:tcW w:w="2111" w:type="dxa"/>
            <w:vAlign w:val="center"/>
          </w:tcPr>
          <w:p w14:paraId="03B3BA36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Управление учётными записями (включая внешних пользователей)</w:t>
            </w:r>
          </w:p>
        </w:tc>
        <w:tc>
          <w:tcPr>
            <w:tcW w:w="429" w:type="dxa"/>
            <w:vAlign w:val="center"/>
          </w:tcPr>
          <w:p w14:paraId="20FB53F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64D0832B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Жизненный цикл учетных записей (создание → активация → блокировка → архивация) управляется через специализированную обработку; все действия фиксируются в журнале безопасности.</w:t>
            </w:r>
          </w:p>
        </w:tc>
      </w:tr>
      <w:tr w:rsidR="00BC21C1" w:rsidRPr="00BC21C1" w14:paraId="3ED0CFC2" w14:textId="77777777" w:rsidTr="004A774C">
        <w:tc>
          <w:tcPr>
            <w:tcW w:w="1424" w:type="dxa"/>
            <w:vAlign w:val="center"/>
          </w:tcPr>
          <w:p w14:paraId="243A945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УПД.2</w:t>
            </w:r>
          </w:p>
        </w:tc>
        <w:tc>
          <w:tcPr>
            <w:tcW w:w="2111" w:type="dxa"/>
            <w:vAlign w:val="center"/>
          </w:tcPr>
          <w:p w14:paraId="76595445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Реализация методов и правил разграничения доступа</w:t>
            </w:r>
          </w:p>
        </w:tc>
        <w:tc>
          <w:tcPr>
            <w:tcW w:w="429" w:type="dxa"/>
            <w:vAlign w:val="center"/>
          </w:tcPr>
          <w:p w14:paraId="5C02E1A3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75970CBE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Применяется ролевая модель: «Кассир» — только оформление продаж; «Менеджер по продажам» — доступ к ПДн клиентов; «Администратор» — полный доступ; «Складской работник» — без доступа к ПДн. Права назначаются на уровне объектов и реквизитов.</w:t>
            </w:r>
          </w:p>
        </w:tc>
      </w:tr>
      <w:tr w:rsidR="00BC21C1" w:rsidRPr="00BC21C1" w14:paraId="4D59620C" w14:textId="77777777" w:rsidTr="004A774C">
        <w:tc>
          <w:tcPr>
            <w:tcW w:w="1424" w:type="dxa"/>
            <w:vAlign w:val="center"/>
          </w:tcPr>
          <w:p w14:paraId="6BBF0D5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УПД.4</w:t>
            </w:r>
          </w:p>
        </w:tc>
        <w:tc>
          <w:tcPr>
            <w:tcW w:w="2111" w:type="dxa"/>
            <w:vAlign w:val="center"/>
          </w:tcPr>
          <w:p w14:paraId="1B6F5723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Разделение полномочий</w:t>
            </w:r>
          </w:p>
        </w:tc>
        <w:tc>
          <w:tcPr>
            <w:tcW w:w="429" w:type="dxa"/>
            <w:vAlign w:val="center"/>
          </w:tcPr>
          <w:p w14:paraId="196EAADD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59DAF4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 xml:space="preserve">Чёткое разделение ролей: «Менеджер» — доступ к ПДн клиентов; «Администратор ИБ» — управление пользователями без доступа к </w:t>
            </w:r>
            <w:r w:rsidRPr="00BC21C1">
              <w:rPr>
                <w:sz w:val="24"/>
                <w:szCs w:val="24"/>
              </w:rPr>
              <w:lastRenderedPageBreak/>
              <w:t>ПДн; «Техподдержка» — без доступа к ПДн и настройкам ИБ.</w:t>
            </w:r>
          </w:p>
        </w:tc>
      </w:tr>
      <w:tr w:rsidR="00BC21C1" w:rsidRPr="00BC21C1" w14:paraId="099CA8D0" w14:textId="77777777" w:rsidTr="004A774C">
        <w:tc>
          <w:tcPr>
            <w:tcW w:w="1424" w:type="dxa"/>
            <w:vAlign w:val="center"/>
          </w:tcPr>
          <w:p w14:paraId="791355D9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lastRenderedPageBreak/>
              <w:t>УПД.5</w:t>
            </w:r>
          </w:p>
        </w:tc>
        <w:tc>
          <w:tcPr>
            <w:tcW w:w="2111" w:type="dxa"/>
            <w:vAlign w:val="center"/>
          </w:tcPr>
          <w:p w14:paraId="75D170D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Принцип минимальных привилегий</w:t>
            </w:r>
          </w:p>
        </w:tc>
        <w:tc>
          <w:tcPr>
            <w:tcW w:w="429" w:type="dxa"/>
            <w:vAlign w:val="center"/>
          </w:tcPr>
          <w:p w14:paraId="7EE2266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4E7BF2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Назначаются только необходимые права; недоступные команды скрываются в интерфейсе; запрещены экспорт, печать и удаление ПДн для непрофильных ролей.</w:t>
            </w:r>
          </w:p>
        </w:tc>
      </w:tr>
      <w:tr w:rsidR="00BC21C1" w:rsidRPr="00BC21C1" w14:paraId="07C07AF6" w14:textId="77777777" w:rsidTr="004A774C">
        <w:tc>
          <w:tcPr>
            <w:tcW w:w="1424" w:type="dxa"/>
            <w:vAlign w:val="center"/>
          </w:tcPr>
          <w:p w14:paraId="5A04FA25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УПД.6</w:t>
            </w:r>
          </w:p>
        </w:tc>
        <w:tc>
          <w:tcPr>
            <w:tcW w:w="2111" w:type="dxa"/>
            <w:vAlign w:val="center"/>
          </w:tcPr>
          <w:p w14:paraId="0BFD3B5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Ограничение неуспешных попыток входа</w:t>
            </w:r>
          </w:p>
        </w:tc>
        <w:tc>
          <w:tcPr>
            <w:tcW w:w="429" w:type="dxa"/>
            <w:vAlign w:val="center"/>
          </w:tcPr>
          <w:p w14:paraId="0CD9CFD9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1B077281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Блокировка учётной записи на 30 минут после 5 неудачных попыток; счётчик ошибок хранится в справочнике «Пользователи»; администратор получает уведомление.</w:t>
            </w:r>
          </w:p>
        </w:tc>
      </w:tr>
      <w:tr w:rsidR="00BC21C1" w:rsidRPr="00BC21C1" w14:paraId="328FC1CA" w14:textId="77777777" w:rsidTr="004A774C">
        <w:tc>
          <w:tcPr>
            <w:tcW w:w="1424" w:type="dxa"/>
            <w:vAlign w:val="center"/>
          </w:tcPr>
          <w:p w14:paraId="7E39D667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УПД.10</w:t>
            </w:r>
          </w:p>
        </w:tc>
        <w:tc>
          <w:tcPr>
            <w:tcW w:w="2111" w:type="dxa"/>
            <w:vAlign w:val="center"/>
          </w:tcPr>
          <w:p w14:paraId="0BE31F9D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Блокировка сеанса при бездействии</w:t>
            </w:r>
          </w:p>
        </w:tc>
        <w:tc>
          <w:tcPr>
            <w:tcW w:w="429" w:type="dxa"/>
            <w:vAlign w:val="center"/>
          </w:tcPr>
          <w:p w14:paraId="2340769F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7B136828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Через механизм ПериодическоеДействие в интерфейсе реализован таймер: при 15 минутах бездействия сессия автоматически завершается (ЗавершитьРаботуСистемы()).</w:t>
            </w:r>
          </w:p>
        </w:tc>
      </w:tr>
      <w:tr w:rsidR="00BC21C1" w:rsidRPr="00BC21C1" w14:paraId="328FF592" w14:textId="77777777" w:rsidTr="004A774C">
        <w:tc>
          <w:tcPr>
            <w:tcW w:w="9016" w:type="dxa"/>
            <w:gridSpan w:val="4"/>
            <w:vAlign w:val="center"/>
          </w:tcPr>
          <w:p w14:paraId="500A349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V. Регистрация событий безопасности (РСБ)</w:t>
            </w:r>
          </w:p>
        </w:tc>
      </w:tr>
      <w:tr w:rsidR="00BC21C1" w:rsidRPr="00BC21C1" w14:paraId="7919AA0E" w14:textId="77777777" w:rsidTr="004A774C">
        <w:tc>
          <w:tcPr>
            <w:tcW w:w="1424" w:type="dxa"/>
            <w:vAlign w:val="center"/>
          </w:tcPr>
          <w:p w14:paraId="57CCB9C7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РСБ.1</w:t>
            </w:r>
          </w:p>
        </w:tc>
        <w:tc>
          <w:tcPr>
            <w:tcW w:w="2111" w:type="dxa"/>
            <w:vAlign w:val="center"/>
          </w:tcPr>
          <w:p w14:paraId="63FFFC08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Уничтожение или обезличивание данных при передаче/удалении</w:t>
            </w:r>
          </w:p>
        </w:tc>
        <w:tc>
          <w:tcPr>
            <w:tcW w:w="429" w:type="dxa"/>
            <w:vAlign w:val="center"/>
          </w:tcPr>
          <w:p w14:paraId="6E749898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0A0EE95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Все операции с ПДн (ввод, изменение, экспорт) регистрируются в регистре сведений «ЖурналБезопасности»; записи хранятся 3 года.</w:t>
            </w:r>
          </w:p>
        </w:tc>
      </w:tr>
      <w:tr w:rsidR="00BC21C1" w:rsidRPr="00BC21C1" w14:paraId="4B9CECB5" w14:textId="77777777" w:rsidTr="004A774C">
        <w:tc>
          <w:tcPr>
            <w:tcW w:w="1424" w:type="dxa"/>
            <w:vAlign w:val="center"/>
          </w:tcPr>
          <w:p w14:paraId="689DCEEC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РСБ.2</w:t>
            </w:r>
          </w:p>
        </w:tc>
        <w:tc>
          <w:tcPr>
            <w:tcW w:w="2111" w:type="dxa"/>
            <w:vAlign w:val="center"/>
          </w:tcPr>
          <w:p w14:paraId="09182D0C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Определение состава информации о событиях</w:t>
            </w:r>
          </w:p>
        </w:tc>
        <w:tc>
          <w:tcPr>
            <w:tcW w:w="429" w:type="dxa"/>
            <w:vAlign w:val="center"/>
          </w:tcPr>
          <w:p w14:paraId="7F84DBC1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26EF765F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В журнал записываются: дата/время, пользователь, IP-адрес (ПолучитьПараметрыСоединения().АдресСервера), тип события, объект (например, «Справочник.Клиенты»), факт успешности.</w:t>
            </w:r>
          </w:p>
        </w:tc>
      </w:tr>
      <w:tr w:rsidR="00BC21C1" w:rsidRPr="00BC21C1" w14:paraId="37899BDE" w14:textId="77777777" w:rsidTr="004A774C">
        <w:tc>
          <w:tcPr>
            <w:tcW w:w="1424" w:type="dxa"/>
            <w:vAlign w:val="center"/>
          </w:tcPr>
          <w:p w14:paraId="5E31BF8F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РСБ.3</w:t>
            </w:r>
          </w:p>
        </w:tc>
        <w:tc>
          <w:tcPr>
            <w:tcW w:w="2111" w:type="dxa"/>
            <w:vAlign w:val="center"/>
          </w:tcPr>
          <w:p w14:paraId="358EA8B1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Сбор и хранение информации о событиях</w:t>
            </w:r>
          </w:p>
        </w:tc>
        <w:tc>
          <w:tcPr>
            <w:tcW w:w="429" w:type="dxa"/>
            <w:vAlign w:val="center"/>
          </w:tcPr>
          <w:p w14:paraId="3CEA5CAD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05F2328A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События фиксируются через общие модули: ПриВходеВСистему, ПередЗаписью, ПриВыходеИзСистемы.</w:t>
            </w:r>
          </w:p>
        </w:tc>
      </w:tr>
      <w:tr w:rsidR="00BC21C1" w:rsidRPr="00BC21C1" w14:paraId="28EF7B20" w14:textId="77777777" w:rsidTr="004A774C">
        <w:tc>
          <w:tcPr>
            <w:tcW w:w="1424" w:type="dxa"/>
            <w:vAlign w:val="center"/>
          </w:tcPr>
          <w:p w14:paraId="352D7548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РСБ.7</w:t>
            </w:r>
          </w:p>
        </w:tc>
        <w:tc>
          <w:tcPr>
            <w:tcW w:w="2111" w:type="dxa"/>
            <w:vAlign w:val="center"/>
          </w:tcPr>
          <w:p w14:paraId="2BF918A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Защита информации о событиях</w:t>
            </w:r>
          </w:p>
        </w:tc>
        <w:tc>
          <w:tcPr>
            <w:tcW w:w="429" w:type="dxa"/>
            <w:vAlign w:val="center"/>
          </w:tcPr>
          <w:p w14:paraId="0E32D1A7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EA19C21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Запрещено редактирование и удаление записей в «ЖурналеБезопасности»; доступ — только у роли «Администратор ИБ»; при экспорте ПДн создаётся резервная копия журнала.</w:t>
            </w:r>
          </w:p>
        </w:tc>
      </w:tr>
      <w:tr w:rsidR="00BC21C1" w:rsidRPr="00BC21C1" w14:paraId="44975984" w14:textId="77777777" w:rsidTr="004A774C">
        <w:tc>
          <w:tcPr>
            <w:tcW w:w="9016" w:type="dxa"/>
            <w:gridSpan w:val="4"/>
            <w:vAlign w:val="center"/>
          </w:tcPr>
          <w:p w14:paraId="06534C00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VIII. Контроль (анализ) защищенности персональных данных (АНЗ)</w:t>
            </w:r>
          </w:p>
        </w:tc>
      </w:tr>
      <w:tr w:rsidR="00BC21C1" w:rsidRPr="00BC21C1" w14:paraId="4E87904E" w14:textId="77777777" w:rsidTr="004A774C">
        <w:tc>
          <w:tcPr>
            <w:tcW w:w="1424" w:type="dxa"/>
            <w:vAlign w:val="center"/>
          </w:tcPr>
          <w:p w14:paraId="7D51FBA9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АНЗ.5</w:t>
            </w:r>
          </w:p>
        </w:tc>
        <w:tc>
          <w:tcPr>
            <w:tcW w:w="2111" w:type="dxa"/>
            <w:vAlign w:val="center"/>
          </w:tcPr>
          <w:p w14:paraId="4D307303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Контроль правил генерации паролей, учётных записей и разграничения доступа</w:t>
            </w:r>
          </w:p>
        </w:tc>
        <w:tc>
          <w:tcPr>
            <w:tcW w:w="429" w:type="dxa"/>
            <w:vAlign w:val="center"/>
          </w:tcPr>
          <w:p w14:paraId="56B9143A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1549E29E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При смене пароля проверяется сложность и уникальность; при удалении учётной записи — проверяется наличие связанных документов; все действия логируются.</w:t>
            </w:r>
          </w:p>
        </w:tc>
      </w:tr>
      <w:tr w:rsidR="00BC21C1" w:rsidRPr="00BC21C1" w14:paraId="43B5B37B" w14:textId="77777777" w:rsidTr="004A774C">
        <w:tc>
          <w:tcPr>
            <w:tcW w:w="9016" w:type="dxa"/>
            <w:gridSpan w:val="4"/>
            <w:vAlign w:val="center"/>
          </w:tcPr>
          <w:p w14:paraId="41B7D00F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IX. Обеспечение целостности информационной системы и персональных данных (ОЦЛ)</w:t>
            </w:r>
          </w:p>
        </w:tc>
      </w:tr>
      <w:tr w:rsidR="00BC21C1" w:rsidRPr="00BC21C1" w14:paraId="457B91CA" w14:textId="77777777" w:rsidTr="004A774C">
        <w:tc>
          <w:tcPr>
            <w:tcW w:w="1424" w:type="dxa"/>
            <w:vAlign w:val="center"/>
          </w:tcPr>
          <w:p w14:paraId="2CB33BF8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ОЦЛ.7</w:t>
            </w:r>
          </w:p>
        </w:tc>
        <w:tc>
          <w:tcPr>
            <w:tcW w:w="2111" w:type="dxa"/>
            <w:vAlign w:val="center"/>
          </w:tcPr>
          <w:p w14:paraId="73105B1A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Контроль точности и полноты вводимых данных</w:t>
            </w:r>
          </w:p>
        </w:tc>
        <w:tc>
          <w:tcPr>
            <w:tcW w:w="429" w:type="dxa"/>
            <w:vAlign w:val="center"/>
          </w:tcPr>
          <w:p w14:paraId="5583F59F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272B44C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На формах ввода клиентов реализована валидация: формат email и телефона, контрольные суммы СНИЛС/ИНН, корректность дат; сохранение невозможно при ошибках.</w:t>
            </w:r>
          </w:p>
        </w:tc>
      </w:tr>
      <w:tr w:rsidR="00BC21C1" w:rsidRPr="00BC21C1" w14:paraId="4F0E4106" w14:textId="77777777" w:rsidTr="004A774C">
        <w:tc>
          <w:tcPr>
            <w:tcW w:w="1424" w:type="dxa"/>
            <w:vAlign w:val="center"/>
          </w:tcPr>
          <w:p w14:paraId="3094C57B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ОЦЛ.8</w:t>
            </w:r>
          </w:p>
        </w:tc>
        <w:tc>
          <w:tcPr>
            <w:tcW w:w="2111" w:type="dxa"/>
            <w:vAlign w:val="center"/>
          </w:tcPr>
          <w:p w14:paraId="5668C404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Предупреждение об ошибочных действиях</w:t>
            </w:r>
          </w:p>
        </w:tc>
        <w:tc>
          <w:tcPr>
            <w:tcW w:w="429" w:type="dxa"/>
            <w:vAlign w:val="center"/>
          </w:tcPr>
          <w:p w14:paraId="0C34C079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5EC88E76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При вводе возраста &lt;14 лет — предупреждение; при изменении паспортных данных — запрос подтверждения.</w:t>
            </w:r>
          </w:p>
        </w:tc>
      </w:tr>
      <w:tr w:rsidR="00BC21C1" w:rsidRPr="00BC21C1" w14:paraId="109ABBEA" w14:textId="77777777" w:rsidTr="004A774C">
        <w:tc>
          <w:tcPr>
            <w:tcW w:w="9016" w:type="dxa"/>
            <w:gridSpan w:val="4"/>
            <w:vAlign w:val="center"/>
          </w:tcPr>
          <w:p w14:paraId="70E15C31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lastRenderedPageBreak/>
              <w:t>X. Обеспечение доступности персональных данных (ОДТ)</w:t>
            </w:r>
          </w:p>
        </w:tc>
      </w:tr>
      <w:tr w:rsidR="00BC21C1" w:rsidRPr="00BC21C1" w14:paraId="59BEC367" w14:textId="77777777" w:rsidTr="004A774C">
        <w:tc>
          <w:tcPr>
            <w:tcW w:w="1424" w:type="dxa"/>
            <w:vAlign w:val="center"/>
          </w:tcPr>
          <w:p w14:paraId="1B27BA1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ОДТ.4</w:t>
            </w:r>
          </w:p>
        </w:tc>
        <w:tc>
          <w:tcPr>
            <w:tcW w:w="2111" w:type="dxa"/>
            <w:vAlign w:val="center"/>
          </w:tcPr>
          <w:p w14:paraId="5E1A6256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Резервное копирование ПДн</w:t>
            </w:r>
          </w:p>
        </w:tc>
        <w:tc>
          <w:tcPr>
            <w:tcW w:w="429" w:type="dxa"/>
            <w:vAlign w:val="center"/>
          </w:tcPr>
          <w:p w14:paraId="353B6B9D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39C2EDE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Предусмотрена возможность ручного экспорта критичных ПДн (клиенты, сотрудники) в зашифрованный CSV (AES-256); в документации указано требование регулярного бэкапа средствами СУБД или 1С.</w:t>
            </w:r>
          </w:p>
        </w:tc>
      </w:tr>
      <w:tr w:rsidR="00BC21C1" w:rsidRPr="00BC21C1" w14:paraId="45F4E20F" w14:textId="77777777" w:rsidTr="004A774C">
        <w:tc>
          <w:tcPr>
            <w:tcW w:w="1424" w:type="dxa"/>
            <w:vAlign w:val="center"/>
          </w:tcPr>
          <w:p w14:paraId="065B2E92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ОДТ.5</w:t>
            </w:r>
          </w:p>
        </w:tc>
        <w:tc>
          <w:tcPr>
            <w:tcW w:w="2111" w:type="dxa"/>
            <w:vAlign w:val="center"/>
          </w:tcPr>
          <w:p w14:paraId="73165CF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Восстановление ПДн из резервных копий</w:t>
            </w:r>
          </w:p>
        </w:tc>
        <w:tc>
          <w:tcPr>
            <w:tcW w:w="429" w:type="dxa"/>
            <w:vAlign w:val="center"/>
          </w:tcPr>
          <w:p w14:paraId="3BF89BD0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4B7E439E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Реализован импорт из зашифрованного CSV; перед восстановлением — проверка целостности (хэши); ведётся история резервных копий с датами и инициаторами.</w:t>
            </w:r>
          </w:p>
        </w:tc>
      </w:tr>
      <w:tr w:rsidR="00BC21C1" w:rsidRPr="00BC21C1" w14:paraId="03B42C32" w14:textId="77777777" w:rsidTr="004A774C">
        <w:tc>
          <w:tcPr>
            <w:tcW w:w="9016" w:type="dxa"/>
            <w:gridSpan w:val="4"/>
            <w:vAlign w:val="center"/>
          </w:tcPr>
          <w:p w14:paraId="5E91353C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XV. Управление конфигурацией информационной системы и системы защиты персональных данных (УКФ)</w:t>
            </w:r>
          </w:p>
        </w:tc>
      </w:tr>
      <w:tr w:rsidR="00BC21C1" w:rsidRPr="00BC21C1" w14:paraId="7F3AAE7C" w14:textId="77777777" w:rsidTr="004A774C">
        <w:tc>
          <w:tcPr>
            <w:tcW w:w="1424" w:type="dxa"/>
            <w:vAlign w:val="center"/>
          </w:tcPr>
          <w:p w14:paraId="32103522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УКФ.2</w:t>
            </w:r>
          </w:p>
        </w:tc>
        <w:tc>
          <w:tcPr>
            <w:tcW w:w="2111" w:type="dxa"/>
            <w:vAlign w:val="center"/>
          </w:tcPr>
          <w:p w14:paraId="32D33152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Управление изменениями конфигурации ИС и системы защиты</w:t>
            </w:r>
          </w:p>
        </w:tc>
        <w:tc>
          <w:tcPr>
            <w:tcW w:w="429" w:type="dxa"/>
            <w:vAlign w:val="center"/>
          </w:tcPr>
          <w:p w14:paraId="6B17D3B4" w14:textId="77777777" w:rsidR="00BC21C1" w:rsidRPr="00BC21C1" w:rsidRDefault="00BC21C1" w:rsidP="00BC21C1">
            <w:pPr>
              <w:jc w:val="center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+</w:t>
            </w:r>
          </w:p>
        </w:tc>
        <w:tc>
          <w:tcPr>
            <w:tcW w:w="5052" w:type="dxa"/>
            <w:vAlign w:val="center"/>
          </w:tcPr>
          <w:p w14:paraId="0C219415" w14:textId="77777777" w:rsidR="00BC21C1" w:rsidRPr="00BC21C1" w:rsidRDefault="00BC21C1" w:rsidP="00BC21C1">
            <w:pPr>
              <w:jc w:val="both"/>
              <w:rPr>
                <w:sz w:val="24"/>
                <w:szCs w:val="24"/>
              </w:rPr>
            </w:pPr>
            <w:r w:rsidRPr="00BC21C1">
              <w:rPr>
                <w:sz w:val="24"/>
                <w:szCs w:val="24"/>
              </w:rPr>
              <w:t>Конфигурация хранится в файловой форме в Git; ведётся changelog с указанием версии, даты, описания и</w:t>
            </w:r>
            <w:bookmarkStart w:id="0" w:name="_GoBack"/>
            <w:bookmarkEnd w:id="0"/>
            <w:r w:rsidRPr="00BC21C1">
              <w:rPr>
                <w:sz w:val="24"/>
                <w:szCs w:val="24"/>
              </w:rPr>
              <w:t>зменений и затронутых ПДн; прямое редактирование в «Конфигураторе» на рабочих базах запрещено.</w:t>
            </w:r>
          </w:p>
        </w:tc>
      </w:tr>
    </w:tbl>
    <w:p w14:paraId="272F8323" w14:textId="77777777" w:rsidR="0021487A" w:rsidRPr="00A3502F" w:rsidRDefault="0021487A" w:rsidP="00B25A91">
      <w:pPr>
        <w:jc w:val="both"/>
        <w:rPr>
          <w:sz w:val="24"/>
          <w:szCs w:val="24"/>
        </w:rPr>
      </w:pPr>
    </w:p>
    <w:sectPr w:rsidR="0021487A" w:rsidRPr="00A3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886"/>
    <w:rsid w:val="00026322"/>
    <w:rsid w:val="00067272"/>
    <w:rsid w:val="0021487A"/>
    <w:rsid w:val="00355B7C"/>
    <w:rsid w:val="003A37E3"/>
    <w:rsid w:val="00481AC6"/>
    <w:rsid w:val="00534EC3"/>
    <w:rsid w:val="007800D0"/>
    <w:rsid w:val="007B6301"/>
    <w:rsid w:val="00812241"/>
    <w:rsid w:val="00816523"/>
    <w:rsid w:val="008C383C"/>
    <w:rsid w:val="009C01E8"/>
    <w:rsid w:val="009D1886"/>
    <w:rsid w:val="00A3492B"/>
    <w:rsid w:val="00A3502F"/>
    <w:rsid w:val="00A40891"/>
    <w:rsid w:val="00A66A49"/>
    <w:rsid w:val="00B25A91"/>
    <w:rsid w:val="00B27036"/>
    <w:rsid w:val="00B77AAB"/>
    <w:rsid w:val="00BC21C1"/>
    <w:rsid w:val="00C63D17"/>
    <w:rsid w:val="00E31FC7"/>
    <w:rsid w:val="00EB0378"/>
    <w:rsid w:val="00F861A2"/>
    <w:rsid w:val="00FE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349F"/>
  <w15:chartTrackingRefBased/>
  <w15:docId w15:val="{4CDFD48F-38D7-466E-817B-F3A39B13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87A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4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C01E8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styleId="a4">
    <w:name w:val="Strong"/>
    <w:basedOn w:val="a0"/>
    <w:uiPriority w:val="22"/>
    <w:qFormat/>
    <w:rsid w:val="00355B7C"/>
    <w:rPr>
      <w:b/>
      <w:bCs/>
    </w:rPr>
  </w:style>
  <w:style w:type="table" w:customStyle="1" w:styleId="1">
    <w:name w:val="Сетка таблицы1"/>
    <w:basedOn w:val="a1"/>
    <w:next w:val="a3"/>
    <w:uiPriority w:val="39"/>
    <w:rsid w:val="00BC2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7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470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91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868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4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009960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88779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335988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63373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74305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62890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648561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73632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93215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900079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96962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745368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10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67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55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35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68228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83524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1311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7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1340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58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21F66-9BAA-4B10-9909-50841DFB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790</Words>
  <Characters>4505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Nespovity</dc:creator>
  <cp:keywords/>
  <dc:description/>
  <cp:lastModifiedBy>Kirill</cp:lastModifiedBy>
  <cp:revision>5</cp:revision>
  <dcterms:created xsi:type="dcterms:W3CDTF">2025-11-24T18:49:00Z</dcterms:created>
  <dcterms:modified xsi:type="dcterms:W3CDTF">2025-11-24T19:47:00Z</dcterms:modified>
</cp:coreProperties>
</file>