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spacing w:after="0" w:line="240" w:lineRule="auto"/>
        <w:shd w:val="clear" w:color="auto" w:fill="ffffff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Практическая работа №1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pacing w:after="0" w:line="240" w:lineRule="auto"/>
        <w:shd w:val="clear" w:color="auto" w:fill="ffffff"/>
        <w:rPr>
          <w:rFonts w:ascii="Times New Roman" w:hAnsi="Times New Roman" w:eastAsia="Times New Roman" w:cs="Times New Roman"/>
          <w:sz w:val="28"/>
          <w:szCs w:val="28"/>
        </w:rPr>
      </w:pPr>
      <w:r/>
      <w:bookmarkStart w:id="0" w:name="_GoBack"/>
      <w:r/>
      <w:bookmarkEnd w:id="0"/>
      <w:r/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jc w:val="center"/>
        <w:spacing w:after="0" w:line="240" w:lineRule="auto"/>
        <w:shd w:val="clear" w:color="auto" w:fill="ffffff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Федеральный закон №152 «О персональных данных»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pacing w:after="0" w:line="240" w:lineRule="auto"/>
        <w:shd w:val="clear" w:color="auto" w:fill="ffffff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-426" w:firstLine="710"/>
        <w:jc w:val="both"/>
        <w:spacing w:after="0" w:line="240" w:lineRule="auto"/>
        <w:shd w:val="clear" w:color="auto" w:fill="ffffff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использованием любой правовой информационно-поисковой системы(«Гарант», «Консультант Плюс» и др.), заполните следующую таблицу:</w:t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W w:w="0" w:type="auto"/>
        <w:tblInd w:w="-669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387"/>
        <w:gridCol w:w="4530"/>
      </w:tblGrid>
      <w:tr>
        <w:tblPrEx/>
        <w:trPr>
          <w:trHeight w:val="315"/>
        </w:trPr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5387" w:type="dxa"/>
            <w:textDirection w:val="lrTb"/>
            <w:noWrap w:val="false"/>
          </w:tcPr>
          <w:p>
            <w:pPr>
              <w:jc w:val="center"/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ВОПРОС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4530" w:type="dxa"/>
            <w:textDirection w:val="lrTb"/>
            <w:noWrap w:val="false"/>
          </w:tcPr>
          <w:p>
            <w:pPr>
              <w:jc w:val="center"/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ОТВЕТ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blPrEx/>
        <w:trPr>
          <w:trHeight w:val="540"/>
        </w:trPr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5387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Основные понятия, используемые в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Cs/>
                <w:sz w:val="28"/>
                <w:szCs w:val="28"/>
              </w:rPr>
              <w:t xml:space="preserve">за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коне.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4530" w:type="dxa"/>
            <w:textDirection w:val="lrTb"/>
            <w:noWrap w:val="false"/>
          </w:tcPr>
          <w:p>
            <w:pPr>
              <w:ind w:left="0" w:right="0" w:firstLine="0"/>
              <w:jc w:val="both"/>
              <w:spacing w:before="0" w:after="0" w:afterAutospacing="0" w:line="240" w:lineRule="auto"/>
              <w:rPr>
                <w:b w:val="0"/>
                <w:bCs w:val="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PT Serif" w:hAnsi="PT Serif" w:eastAsia="PT Serif" w:cs="PT Serif"/>
                <w:b w:val="0"/>
                <w:bCs w:val="0"/>
                <w:color w:val="464c55"/>
                <w:sz w:val="24"/>
              </w:rPr>
              <w:t xml:space="preserve">1) </w:t>
            </w:r>
            <w:r>
              <w:rPr>
                <w:rFonts w:ascii="PT Serif" w:hAnsi="PT Serif" w:eastAsia="PT Serif" w:cs="PT Serif"/>
                <w:b w:val="0"/>
                <w:bCs w:val="0"/>
                <w:color w:val="22272f"/>
                <w:sz w:val="24"/>
              </w:rPr>
              <w:t xml:space="preserve">персональные данные</w:t>
            </w:r>
            <w:r>
              <w:rPr>
                <w:rFonts w:ascii="PT Serif" w:hAnsi="PT Serif" w:eastAsia="PT Serif" w:cs="PT Serif"/>
                <w:b w:val="0"/>
                <w:bCs w:val="0"/>
                <w:color w:val="464c55"/>
                <w:sz w:val="24"/>
              </w:rPr>
              <w:t xml:space="preserve"> - любая информация, относящаяся к прямо или косвенно определенному или определяемому физическому лицу (субъекту персональных данных);</w:t>
            </w:r>
            <w:r>
              <w:rPr>
                <w:b w:val="0"/>
                <w:bCs w:val="0"/>
              </w:rPr>
            </w:r>
          </w:p>
          <w:p>
            <w:pPr>
              <w:ind w:left="0" w:right="0" w:firstLine="0"/>
              <w:jc w:val="both"/>
              <w:spacing w:before="0" w:after="0" w:afterAutospacing="0" w:line="240" w:lineRule="auto"/>
              <w:rPr>
                <w:b w:val="0"/>
                <w:bCs w:val="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PT Serif" w:hAnsi="PT Serif" w:eastAsia="PT Serif" w:cs="PT Serif"/>
                <w:b w:val="0"/>
                <w:bCs w:val="0"/>
                <w:color w:val="464c55"/>
                <w:sz w:val="24"/>
              </w:rPr>
              <w:t xml:space="preserve">1.1) </w:t>
            </w:r>
            <w:r>
              <w:rPr>
                <w:rFonts w:ascii="PT Serif" w:hAnsi="PT Serif" w:eastAsia="PT Serif" w:cs="PT Serif"/>
                <w:b w:val="0"/>
                <w:bCs w:val="0"/>
                <w:color w:val="22272f"/>
                <w:sz w:val="24"/>
              </w:rPr>
              <w:t xml:space="preserve">персональные данные, разрешенные субъектом персональных данных для распространения,</w:t>
            </w:r>
            <w:r>
              <w:rPr>
                <w:rFonts w:ascii="PT Serif" w:hAnsi="PT Serif" w:eastAsia="PT Serif" w:cs="PT Serif"/>
                <w:b w:val="0"/>
                <w:bCs w:val="0"/>
                <w:color w:val="464c55"/>
                <w:sz w:val="24"/>
              </w:rPr>
              <w:t xml:space="preserve"> - персональные данные, доступ неограниченного круга лиц к которым предоставлен субъектом персональных данных путем дачи согласия на обработку персональных данных, разрешенных субъектом персональных данных для распространения в порядке</w:t>
            </w:r>
            <w:r>
              <w:rPr>
                <w:rFonts w:ascii="PT Serif" w:hAnsi="PT Serif" w:eastAsia="PT Serif" w:cs="PT Serif"/>
                <w:b w:val="0"/>
                <w:bCs w:val="0"/>
                <w:color w:val="464c55"/>
                <w:sz w:val="24"/>
              </w:rPr>
              <w:t xml:space="preserve">, предусмотренном настоящим Федеральным законом;</w:t>
            </w:r>
            <w:r>
              <w:rPr>
                <w:b w:val="0"/>
                <w:bCs w:val="0"/>
              </w:rPr>
            </w:r>
          </w:p>
          <w:p>
            <w:pPr>
              <w:ind w:left="0" w:right="0" w:firstLine="0"/>
              <w:jc w:val="both"/>
              <w:spacing w:before="0" w:after="0" w:afterAutospacing="0" w:line="240" w:lineRule="auto"/>
              <w:rPr>
                <w:b w:val="0"/>
                <w:bCs w:val="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b w:val="0"/>
                <w:bCs w:val="0"/>
              </w:rPr>
            </w:r>
            <w:r>
              <w:rPr>
                <w:rFonts w:ascii="PT Serif" w:hAnsi="PT Serif" w:eastAsia="PT Serif" w:cs="PT Serif"/>
                <w:b w:val="0"/>
                <w:bCs w:val="0"/>
                <w:color w:val="464c55"/>
                <w:sz w:val="24"/>
              </w:rPr>
              <w:t xml:space="preserve">2) </w:t>
            </w:r>
            <w:r>
              <w:rPr>
                <w:rFonts w:ascii="PT Serif" w:hAnsi="PT Serif" w:eastAsia="PT Serif" w:cs="PT Serif"/>
                <w:b w:val="0"/>
                <w:bCs w:val="0"/>
                <w:color w:val="22272f"/>
                <w:sz w:val="24"/>
              </w:rPr>
              <w:t xml:space="preserve">оператор</w:t>
            </w:r>
            <w:r>
              <w:rPr>
                <w:rFonts w:ascii="PT Serif" w:hAnsi="PT Serif" w:eastAsia="PT Serif" w:cs="PT Serif"/>
                <w:b w:val="0"/>
                <w:bCs w:val="0"/>
                <w:color w:val="464c55"/>
                <w:sz w:val="24"/>
              </w:rPr>
              <w:t xml:space="preserve"> -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</w:t>
            </w:r>
            <w:r>
              <w:rPr>
                <w:rFonts w:ascii="PT Serif" w:hAnsi="PT Serif" w:eastAsia="PT Serif" w:cs="PT Serif"/>
                <w:b w:val="0"/>
                <w:bCs w:val="0"/>
                <w:color w:val="464c55"/>
                <w:sz w:val="24"/>
              </w:rPr>
              <w:t xml:space="preserve"> персональных данных, подлежащих обработке, действия (операции), совершаемые с персональными данными;</w:t>
            </w:r>
            <w:r>
              <w:rPr>
                <w:b w:val="0"/>
                <w:bCs w:val="0"/>
              </w:rPr>
            </w:r>
          </w:p>
          <w:p>
            <w:pPr>
              <w:ind w:left="0" w:right="0" w:firstLine="0"/>
              <w:jc w:val="both"/>
              <w:spacing w:before="0" w:after="0" w:afterAutospacing="0" w:line="240" w:lineRule="auto"/>
              <w:rPr>
                <w:b w:val="0"/>
                <w:bCs w:val="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PT Serif" w:hAnsi="PT Serif" w:eastAsia="PT Serif" w:cs="PT Serif"/>
                <w:b w:val="0"/>
                <w:bCs w:val="0"/>
                <w:color w:val="464c55"/>
                <w:sz w:val="24"/>
              </w:rPr>
              <w:t xml:space="preserve">3) </w:t>
            </w:r>
            <w:r>
              <w:rPr>
                <w:rFonts w:ascii="PT Serif" w:hAnsi="PT Serif" w:eastAsia="PT Serif" w:cs="PT Serif"/>
                <w:b w:val="0"/>
                <w:bCs w:val="0"/>
                <w:color w:val="22272f"/>
                <w:sz w:val="24"/>
              </w:rPr>
              <w:t xml:space="preserve">обработка персональных данных</w:t>
            </w:r>
            <w:r>
              <w:rPr>
                <w:rFonts w:ascii="PT Serif" w:hAnsi="PT Serif" w:eastAsia="PT Serif" w:cs="PT Serif"/>
                <w:b w:val="0"/>
                <w:bCs w:val="0"/>
                <w:color w:val="464c55"/>
                <w:sz w:val="24"/>
              </w:rPr>
              <w:t xml:space="preserve"> - любое действие (операция) или совокупность действий (операций), совершаемых с использованием средств автоматизации или без использования таких средств с персональными данными, включая сбор, запись, систематизацию, накопление, хранение, уточнение (обновл</w:t>
            </w:r>
            <w:r>
              <w:rPr>
                <w:rFonts w:ascii="PT Serif" w:hAnsi="PT Serif" w:eastAsia="PT Serif" w:cs="PT Serif"/>
                <w:b w:val="0"/>
                <w:bCs w:val="0"/>
                <w:color w:val="464c55"/>
                <w:sz w:val="24"/>
              </w:rPr>
              <w:t xml:space="preserve">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данных;</w:t>
            </w:r>
            <w:r>
              <w:rPr>
                <w:b w:val="0"/>
                <w:bCs w:val="0"/>
              </w:rPr>
            </w:r>
          </w:p>
          <w:p>
            <w:pPr>
              <w:ind w:left="0" w:right="0" w:firstLine="0"/>
              <w:jc w:val="both"/>
              <w:spacing w:before="0" w:after="0" w:afterAutospacing="0" w:line="240" w:lineRule="auto"/>
              <w:rPr>
                <w:b w:val="0"/>
                <w:bCs w:val="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PT Serif" w:hAnsi="PT Serif" w:eastAsia="PT Serif" w:cs="PT Serif"/>
                <w:b w:val="0"/>
                <w:bCs w:val="0"/>
                <w:color w:val="464c55"/>
                <w:sz w:val="24"/>
              </w:rPr>
              <w:t xml:space="preserve">4) </w:t>
            </w:r>
            <w:r>
              <w:rPr>
                <w:rFonts w:ascii="PT Serif" w:hAnsi="PT Serif" w:eastAsia="PT Serif" w:cs="PT Serif"/>
                <w:b w:val="0"/>
                <w:bCs w:val="0"/>
                <w:color w:val="22272f"/>
                <w:sz w:val="24"/>
              </w:rPr>
              <w:t xml:space="preserve">автоматизированная обработка персональных данных</w:t>
            </w:r>
            <w:r>
              <w:rPr>
                <w:rFonts w:ascii="PT Serif" w:hAnsi="PT Serif" w:eastAsia="PT Serif" w:cs="PT Serif"/>
                <w:b w:val="0"/>
                <w:bCs w:val="0"/>
                <w:color w:val="464c55"/>
                <w:sz w:val="24"/>
              </w:rPr>
              <w:t xml:space="preserve"> - обработка персональных данных с помощью средств вычислительной техники;</w:t>
            </w:r>
            <w:r>
              <w:rPr>
                <w:b w:val="0"/>
                <w:bCs w:val="0"/>
              </w:rPr>
            </w:r>
          </w:p>
          <w:p>
            <w:pPr>
              <w:ind w:left="0" w:right="0" w:firstLine="0"/>
              <w:jc w:val="both"/>
              <w:spacing w:before="0" w:after="0" w:afterAutospacing="0" w:line="240" w:lineRule="auto"/>
              <w:rPr>
                <w:b w:val="0"/>
                <w:bCs w:val="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PT Serif" w:hAnsi="PT Serif" w:eastAsia="PT Serif" w:cs="PT Serif"/>
                <w:b w:val="0"/>
                <w:bCs w:val="0"/>
                <w:color w:val="464c55"/>
                <w:sz w:val="24"/>
              </w:rPr>
              <w:t xml:space="preserve">5) </w:t>
            </w:r>
            <w:r>
              <w:rPr>
                <w:rFonts w:ascii="PT Serif" w:hAnsi="PT Serif" w:eastAsia="PT Serif" w:cs="PT Serif"/>
                <w:b w:val="0"/>
                <w:bCs w:val="0"/>
                <w:color w:val="22272f"/>
                <w:sz w:val="24"/>
              </w:rPr>
              <w:t xml:space="preserve">распространение персональных данных</w:t>
            </w:r>
            <w:r>
              <w:rPr>
                <w:rFonts w:ascii="PT Serif" w:hAnsi="PT Serif" w:eastAsia="PT Serif" w:cs="PT Serif"/>
                <w:b w:val="0"/>
                <w:bCs w:val="0"/>
                <w:color w:val="464c55"/>
                <w:sz w:val="24"/>
              </w:rPr>
              <w:t xml:space="preserve"> - действия, направленные на раскрытие персональных данных неопределенному кругу лиц;</w:t>
            </w:r>
            <w:r>
              <w:rPr>
                <w:b w:val="0"/>
                <w:bCs w:val="0"/>
              </w:rPr>
            </w:r>
          </w:p>
          <w:p>
            <w:pPr>
              <w:ind w:left="0" w:right="0" w:firstLine="0"/>
              <w:jc w:val="both"/>
              <w:spacing w:before="0" w:after="0" w:afterAutospacing="0" w:line="240" w:lineRule="auto"/>
              <w:rPr>
                <w:b w:val="0"/>
                <w:bCs w:val="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PT Serif" w:hAnsi="PT Serif" w:eastAsia="PT Serif" w:cs="PT Serif"/>
                <w:b w:val="0"/>
                <w:bCs w:val="0"/>
                <w:color w:val="464c55"/>
                <w:sz w:val="24"/>
              </w:rPr>
              <w:t xml:space="preserve">6) </w:t>
            </w:r>
            <w:r>
              <w:rPr>
                <w:rFonts w:ascii="PT Serif" w:hAnsi="PT Serif" w:eastAsia="PT Serif" w:cs="PT Serif"/>
                <w:b w:val="0"/>
                <w:bCs w:val="0"/>
                <w:color w:val="22272f"/>
                <w:sz w:val="24"/>
              </w:rPr>
              <w:t xml:space="preserve">предоставление персональных данных</w:t>
            </w:r>
            <w:r>
              <w:rPr>
                <w:rFonts w:ascii="PT Serif" w:hAnsi="PT Serif" w:eastAsia="PT Serif" w:cs="PT Serif"/>
                <w:b w:val="0"/>
                <w:bCs w:val="0"/>
                <w:color w:val="464c55"/>
                <w:sz w:val="24"/>
              </w:rPr>
              <w:t xml:space="preserve"> - действия, направленные на раскрытие персональных данных определенному лицу или определенному кругу лиц;</w:t>
            </w:r>
            <w:r>
              <w:rPr>
                <w:b w:val="0"/>
                <w:bCs w:val="0"/>
              </w:rPr>
            </w:r>
          </w:p>
          <w:p>
            <w:pPr>
              <w:ind w:left="0" w:right="0" w:firstLine="0"/>
              <w:jc w:val="both"/>
              <w:spacing w:before="0" w:after="0" w:afterAutospacing="0" w:line="240" w:lineRule="auto"/>
              <w:rPr>
                <w:b w:val="0"/>
                <w:bCs w:val="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PT Serif" w:hAnsi="PT Serif" w:eastAsia="PT Serif" w:cs="PT Serif"/>
                <w:b w:val="0"/>
                <w:bCs w:val="0"/>
                <w:color w:val="464c55"/>
                <w:sz w:val="24"/>
              </w:rPr>
              <w:t xml:space="preserve">7) </w:t>
            </w:r>
            <w:r>
              <w:rPr>
                <w:rFonts w:ascii="PT Serif" w:hAnsi="PT Serif" w:eastAsia="PT Serif" w:cs="PT Serif"/>
                <w:b w:val="0"/>
                <w:bCs w:val="0"/>
                <w:color w:val="22272f"/>
                <w:sz w:val="24"/>
              </w:rPr>
              <w:t xml:space="preserve">блокирование персональных данных</w:t>
            </w:r>
            <w:r>
              <w:rPr>
                <w:rFonts w:ascii="PT Serif" w:hAnsi="PT Serif" w:eastAsia="PT Serif" w:cs="PT Serif"/>
                <w:b w:val="0"/>
                <w:bCs w:val="0"/>
                <w:color w:val="464c55"/>
                <w:sz w:val="24"/>
              </w:rPr>
              <w:t xml:space="preserve"> - временное прекращение обработки персональных данных (за исключением случаев, если обработка необходима для уточнения персональных данных);</w:t>
            </w:r>
            <w:r>
              <w:rPr>
                <w:b w:val="0"/>
                <w:bCs w:val="0"/>
              </w:rPr>
            </w:r>
          </w:p>
          <w:p>
            <w:pPr>
              <w:ind w:left="0" w:right="0" w:firstLine="0"/>
              <w:jc w:val="both"/>
              <w:spacing w:before="0" w:after="0" w:afterAutospacing="0" w:line="240" w:lineRule="auto"/>
              <w:rPr>
                <w:b w:val="0"/>
                <w:bCs w:val="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PT Serif" w:hAnsi="PT Serif" w:eastAsia="PT Serif" w:cs="PT Serif"/>
                <w:b w:val="0"/>
                <w:bCs w:val="0"/>
                <w:color w:val="464c55"/>
                <w:sz w:val="24"/>
              </w:rPr>
              <w:t xml:space="preserve">8) </w:t>
            </w:r>
            <w:r>
              <w:rPr>
                <w:rFonts w:ascii="PT Serif" w:hAnsi="PT Serif" w:eastAsia="PT Serif" w:cs="PT Serif"/>
                <w:b w:val="0"/>
                <w:bCs w:val="0"/>
                <w:color w:val="22272f"/>
                <w:sz w:val="24"/>
              </w:rPr>
              <w:t xml:space="preserve">уничтожение персональных данных</w:t>
            </w:r>
            <w:r>
              <w:rPr>
                <w:rFonts w:ascii="PT Serif" w:hAnsi="PT Serif" w:eastAsia="PT Serif" w:cs="PT Serif"/>
                <w:b w:val="0"/>
                <w:bCs w:val="0"/>
                <w:color w:val="464c55"/>
                <w:sz w:val="24"/>
              </w:rPr>
              <w:t xml:space="preserve"> - действия, в результате которых становится невозможным восстановить содержание персональных данных в информационной системе персональных данных и (или) в результате которых уничтожаются материальные носители персональных данных;</w:t>
            </w:r>
            <w:r>
              <w:rPr>
                <w:b w:val="0"/>
                <w:bCs w:val="0"/>
              </w:rPr>
            </w:r>
          </w:p>
          <w:p>
            <w:pPr>
              <w:ind w:left="0" w:right="0" w:firstLine="0"/>
              <w:jc w:val="both"/>
              <w:spacing w:before="0" w:after="0" w:afterAutospacing="0" w:line="240" w:lineRule="auto"/>
              <w:rPr>
                <w:b w:val="0"/>
                <w:bCs w:val="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PT Serif" w:hAnsi="PT Serif" w:eastAsia="PT Serif" w:cs="PT Serif"/>
                <w:b w:val="0"/>
                <w:bCs w:val="0"/>
                <w:color w:val="464c55"/>
                <w:sz w:val="24"/>
              </w:rPr>
              <w:t xml:space="preserve">9) </w:t>
            </w:r>
            <w:r>
              <w:rPr>
                <w:rFonts w:ascii="PT Serif" w:hAnsi="PT Serif" w:eastAsia="PT Serif" w:cs="PT Serif"/>
                <w:b w:val="0"/>
                <w:bCs w:val="0"/>
                <w:color w:val="22272f"/>
                <w:sz w:val="24"/>
              </w:rPr>
              <w:t xml:space="preserve">обезличивание персональных данных</w:t>
            </w:r>
            <w:r>
              <w:rPr>
                <w:rFonts w:ascii="PT Serif" w:hAnsi="PT Serif" w:eastAsia="PT Serif" w:cs="PT Serif"/>
                <w:b w:val="0"/>
                <w:bCs w:val="0"/>
                <w:color w:val="464c55"/>
                <w:sz w:val="24"/>
              </w:rPr>
              <w:t xml:space="preserve"> - 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данных;</w:t>
            </w:r>
            <w:r>
              <w:rPr>
                <w:b w:val="0"/>
                <w:bCs w:val="0"/>
              </w:rPr>
            </w:r>
          </w:p>
          <w:p>
            <w:pPr>
              <w:ind w:left="0" w:right="0" w:firstLine="0"/>
              <w:jc w:val="both"/>
              <w:spacing w:before="0" w:after="0" w:afterAutospacing="0" w:line="240" w:lineRule="auto"/>
              <w:rPr>
                <w:b w:val="0"/>
                <w:bCs w:val="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PT Serif" w:hAnsi="PT Serif" w:eastAsia="PT Serif" w:cs="PT Serif"/>
                <w:b w:val="0"/>
                <w:bCs w:val="0"/>
                <w:color w:val="464c55"/>
                <w:sz w:val="24"/>
              </w:rPr>
              <w:t xml:space="preserve">10) </w:t>
            </w:r>
            <w:r>
              <w:rPr>
                <w:rFonts w:ascii="PT Serif" w:hAnsi="PT Serif" w:eastAsia="PT Serif" w:cs="PT Serif"/>
                <w:b w:val="0"/>
                <w:bCs w:val="0"/>
                <w:color w:val="22272f"/>
                <w:sz w:val="24"/>
              </w:rPr>
              <w:t xml:space="preserve">информационная система персональных данных</w:t>
            </w:r>
            <w:r>
              <w:rPr>
                <w:rFonts w:ascii="PT Serif" w:hAnsi="PT Serif" w:eastAsia="PT Serif" w:cs="PT Serif"/>
                <w:b w:val="0"/>
                <w:bCs w:val="0"/>
                <w:color w:val="464c55"/>
                <w:sz w:val="24"/>
              </w:rPr>
              <w:t xml:space="preserve"> - совокупность содержащихся в базах данных персональных данных и обеспечивающих их обработку информационных технологий и технических средств;</w:t>
            </w:r>
            <w:r>
              <w:rPr>
                <w:b w:val="0"/>
                <w:bCs w:val="0"/>
              </w:rPr>
            </w:r>
          </w:p>
          <w:p>
            <w:pPr>
              <w:ind w:left="0" w:right="0" w:firstLine="0"/>
              <w:jc w:val="both"/>
              <w:spacing w:before="0" w:after="0" w:afterAutospacing="0" w:line="240" w:lineRule="auto"/>
              <w:rPr>
                <w:b w:val="0"/>
                <w:bCs w:val="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PT Serif" w:hAnsi="PT Serif" w:eastAsia="PT Serif" w:cs="PT Serif"/>
                <w:b w:val="0"/>
                <w:bCs w:val="0"/>
                <w:color w:val="464c55"/>
                <w:sz w:val="24"/>
              </w:rPr>
              <w:t xml:space="preserve">11) </w:t>
            </w:r>
            <w:r>
              <w:rPr>
                <w:rFonts w:ascii="PT Serif" w:hAnsi="PT Serif" w:eastAsia="PT Serif" w:cs="PT Serif"/>
                <w:b w:val="0"/>
                <w:bCs w:val="0"/>
                <w:color w:val="22272f"/>
                <w:sz w:val="24"/>
              </w:rPr>
              <w:t xml:space="preserve">трансграничная передача персональных данных</w:t>
            </w:r>
            <w:r>
              <w:rPr>
                <w:rFonts w:ascii="PT Serif" w:hAnsi="PT Serif" w:eastAsia="PT Serif" w:cs="PT Serif"/>
                <w:b w:val="0"/>
                <w:bCs w:val="0"/>
                <w:color w:val="464c55"/>
                <w:sz w:val="24"/>
              </w:rPr>
              <w:t xml:space="preserve"> - передача персональных данных на территорию иностранного государства органу власти иностранного государства, иностранному физическому лицу или иностранному юридическому лицу</w:t>
            </w:r>
            <w:r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PT Serif" w:hAnsi="PT Serif" w:eastAsia="PT Serif" w:cs="PT Serif"/>
                <w:b w:val="0"/>
                <w:bCs w:val="0"/>
                <w:sz w:val="24"/>
              </w:rPr>
            </w:r>
          </w:p>
        </w:tc>
      </w:tr>
      <w:tr>
        <w:tblPrEx/>
        <w:trPr>
          <w:trHeight w:val="540"/>
        </w:trPr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5387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Cs/>
                <w:sz w:val="28"/>
                <w:szCs w:val="28"/>
              </w:rPr>
              <w:t xml:space="preserve">Каким законодательством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регламентируются персональные данные.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4530" w:type="dxa"/>
            <w:textDirection w:val="lrTb"/>
            <w:noWrap w:val="false"/>
          </w:tcPr>
          <w:p>
            <w:pPr>
              <w:jc w:val="both"/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Персональные данные в России регламентируются Федеральным законом от 27.07.2006 № 152-ФЗ «О персональных данных»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blPrEx/>
        <w:trPr>
          <w:trHeight w:val="525"/>
        </w:trPr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5387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Основные методы и принципы обработки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персональных данных.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4530" w:type="dxa"/>
            <w:textDirection w:val="lrTb"/>
            <w:noWrap w:val="false"/>
          </w:tcPr>
          <w:p>
            <w:pPr>
              <w:ind w:left="0" w:right="0" w:firstLine="0"/>
              <w:jc w:val="both"/>
              <w:spacing w:before="0" w:after="0" w:afterAutospacing="0" w:line="24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PT Serif" w:hAnsi="PT Serif" w:eastAsia="PT Serif" w:cs="PT Serif"/>
                <w:color w:val="464c55"/>
                <w:sz w:val="24"/>
              </w:rPr>
              <w:t xml:space="preserve">1. Обработка персональных данных должна осуществляться на законной и справедливой основе.</w:t>
            </w:r>
            <w:r/>
          </w:p>
          <w:p>
            <w:pPr>
              <w:ind w:left="0" w:right="0" w:firstLine="0"/>
              <w:jc w:val="both"/>
              <w:spacing w:before="0" w:after="0" w:afterAutospacing="0" w:line="24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PT Serif" w:hAnsi="PT Serif" w:eastAsia="PT Serif" w:cs="PT Serif"/>
                <w:color w:val="464c55"/>
                <w:sz w:val="24"/>
              </w:rPr>
              <w:t xml:space="preserve">2. Обработка персональных данных должна ограничиваться достижением конкретных, заранее определенных и законных целей. Не допускается обработка персональных данных, несовместимая с целями сбора персональных данных.</w:t>
            </w:r>
            <w:r/>
          </w:p>
          <w:p>
            <w:pPr>
              <w:ind w:left="0" w:right="0" w:firstLine="0"/>
              <w:jc w:val="both"/>
              <w:spacing w:before="0" w:after="0" w:afterAutospacing="0" w:line="24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PT Serif" w:hAnsi="PT Serif" w:eastAsia="PT Serif" w:cs="PT Serif"/>
                <w:color w:val="464c55"/>
                <w:sz w:val="24"/>
              </w:rPr>
              <w:t xml:space="preserve">3. Не допускается объединение баз данных, содержащих персональные данные, обработка которых осуществляется в целях, несовместимых между собой.</w:t>
            </w:r>
            <w:r/>
          </w:p>
          <w:p>
            <w:pPr>
              <w:ind w:left="0" w:right="0" w:firstLine="0"/>
              <w:jc w:val="both"/>
              <w:spacing w:before="0" w:after="0" w:afterAutospacing="0" w:line="24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PT Serif" w:hAnsi="PT Serif" w:eastAsia="PT Serif" w:cs="PT Serif"/>
                <w:color w:val="464c55"/>
                <w:sz w:val="24"/>
              </w:rPr>
              <w:t xml:space="preserve">4. Обработке подлежат только персональные данные, которые отвечают целям их обработки.</w:t>
            </w:r>
            <w:r/>
          </w:p>
          <w:p>
            <w:pPr>
              <w:ind w:left="0" w:right="0" w:firstLine="0"/>
              <w:jc w:val="both"/>
              <w:spacing w:before="0" w:after="0" w:afterAutospacing="0" w:line="24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PT Serif" w:hAnsi="PT Serif" w:eastAsia="PT Serif" w:cs="PT Serif"/>
                <w:color w:val="464c55"/>
                <w:sz w:val="24"/>
              </w:rPr>
              <w:t xml:space="preserve">5. Содержание и объем обрабатываемых персональных данных должны соответствовать заявленным целям обработки. Обрабатываемые персональные данные не должны быть избыточными по отношению к заявленным целям их обработки.</w:t>
            </w:r>
            <w:r/>
          </w:p>
          <w:p>
            <w:pPr>
              <w:ind w:left="0" w:right="0" w:firstLine="0"/>
              <w:jc w:val="both"/>
              <w:spacing w:before="0" w:after="0" w:afterAutospacing="0" w:line="24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PT Serif" w:hAnsi="PT Serif" w:eastAsia="PT Serif" w:cs="PT Serif"/>
                <w:color w:val="464c55"/>
                <w:sz w:val="24"/>
              </w:rPr>
              <w:t xml:space="preserve">6. При обработке персональных данных должны быть обеспечены точность персональных данных, их достаточность, а в необходимых случаях и актуальность по отношению к целям обработки персональных данных. Оператор должен принимать необходимые меры либо обеспечив</w:t>
            </w:r>
            <w:r>
              <w:rPr>
                <w:rFonts w:ascii="PT Serif" w:hAnsi="PT Serif" w:eastAsia="PT Serif" w:cs="PT Serif"/>
                <w:color w:val="464c55"/>
                <w:sz w:val="24"/>
              </w:rPr>
              <w:t xml:space="preserve">ать их принятие по удалению или уточнению неполных или неточных данных.</w:t>
            </w:r>
            <w:r/>
          </w:p>
          <w:p>
            <w:pPr>
              <w:ind w:left="0" w:right="0" w:firstLine="0"/>
              <w:jc w:val="both"/>
              <w:spacing w:before="0" w:after="0" w:afterAutospacing="0" w:line="24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PT Serif" w:hAnsi="PT Serif" w:eastAsia="PT Serif" w:cs="PT Serif"/>
                <w:color w:val="464c55"/>
                <w:sz w:val="24"/>
              </w:rPr>
              <w:t xml:space="preserve">7. Хранение персональных данных должно осуществляться в форме, позволяющей определить субъекта персональных данных, не дольше, чем этого требуют цели обработки персональных данных, если срок хранения персональных данных не установлен федеральным законом, д</w:t>
            </w:r>
            <w:r>
              <w:rPr>
                <w:rFonts w:ascii="PT Serif" w:hAnsi="PT Serif" w:eastAsia="PT Serif" w:cs="PT Serif"/>
                <w:color w:val="464c55"/>
                <w:sz w:val="24"/>
              </w:rPr>
              <w:t xml:space="preserve">оговором, стороной которого, выгодоприобретателем или поручителем по которому является субъект персональных данных. Обрабатываемые персональные данные подлежат уничтожению либо обезличиванию по достижении целей обработки или в случае утраты необходимости в</w:t>
            </w:r>
            <w:r>
              <w:rPr>
                <w:rFonts w:ascii="PT Serif" w:hAnsi="PT Serif" w:eastAsia="PT Serif" w:cs="PT Serif"/>
                <w:color w:val="464c55"/>
                <w:sz w:val="24"/>
              </w:rPr>
              <w:t xml:space="preserve"> достижении этих целей, если иное не предусмотрено федеральным законом.</w:t>
            </w:r>
            <w:r/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PT Serif" w:hAnsi="PT Serif" w:eastAsia="PT Serif" w:cs="PT Serif"/>
                <w:sz w:val="24"/>
              </w:rPr>
            </w:r>
          </w:p>
        </w:tc>
      </w:tr>
      <w:tr>
        <w:tblPrEx/>
        <w:trPr>
          <w:trHeight w:val="540"/>
        </w:trPr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5387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Для чего необходима защита персональных данных.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4530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защита персональных данных необходима для </w:t>
            </w:r>
            <w:r>
              <w:rPr>
                <w:rFonts w:ascii="PT Serif" w:hAnsi="PT Serif" w:eastAsia="PT Serif" w:cs="PT Serif"/>
                <w:color w:val="464c55"/>
                <w:sz w:val="24"/>
                <w:highlight w:val="white"/>
              </w:rPr>
              <w:t xml:space="preserve">обеспечения защиты прав и свобод человека и гражданина, в том числе защиты прав на неприкосновенность частной жизни, личную и семейную тайну.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blPrEx/>
        <w:trPr>
          <w:trHeight w:val="525"/>
        </w:trPr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5387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В чем заключается конфиденциальность персональных данных.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4530" w:type="dxa"/>
            <w:textDirection w:val="lrTb"/>
            <w:noWrap w:val="false"/>
          </w:tcPr>
          <w:p>
            <w:pPr>
              <w:ind w:left="0" w:right="0" w:firstLine="0"/>
              <w:spacing w:before="0" w:after="300"/>
              <w:shd w:val="clear" w:color="ffffff" w:fill="ffffff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PT Serif" w:hAnsi="PT Serif" w:eastAsia="PT Serif" w:cs="PT Serif"/>
                <w:color w:val="464c55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конфиденциальность персональных данных заключается в ом, что о</w:t>
            </w:r>
            <w:r>
              <w:rPr>
                <w:rFonts w:ascii="PT Serif" w:hAnsi="PT Serif" w:eastAsia="PT Serif" w:cs="PT Serif"/>
                <w:color w:val="464c55"/>
                <w:sz w:val="24"/>
              </w:rPr>
              <w:t xml:space="preserve">ператоры и иные лица, получившие доступ к персональным данным, обязаны не раскрывать третьим лицам и не распространять персональные данные без согласия субъекта персональных данных, если иное не предусмотрено федеральным законом.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PT Serif" w:hAnsi="PT Serif" w:eastAsia="PT Serif" w:cs="PT Serif"/>
                <w:sz w:val="24"/>
              </w:rPr>
            </w:r>
          </w:p>
        </w:tc>
      </w:tr>
      <w:tr>
        <w:tblPrEx/>
        <w:trPr>
          <w:trHeight w:val="540"/>
        </w:trPr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5387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Cs/>
                <w:sz w:val="28"/>
                <w:szCs w:val="28"/>
              </w:rPr>
              <w:t xml:space="preserve">Какие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данные в соответствии с законом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входят в разряд персональных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4530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Согласно законодательству РФ, персональными данными является любая информация, относящаяся прямо или косвенно к конкретному физическому лицу. К ним относятся общие данные (ФИО, дата рождения, паспортные данные, адрес проживания, номера телефонов, email, инф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ормация об образовании и месте работы, данные о семейном положении), а также специальные категории (расовая и национальная принадлежность, политические взгляды, состояние здоровья, интимная жизнь, судимость) и биометрические данные (физиологические и биолог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ические особенности, используемые для установления личности, например, фотографии, отпечатки пальцев). 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blPrEx/>
        <w:trPr>
          <w:trHeight w:val="810"/>
        </w:trPr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5387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В каких случаях допускается обработка персональных данных специальных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категорий.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4530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Обработка персональных данных допускается в случаях, если: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1) субъект персональных данных дал согласие в письменной форме на обработку своих персональных данных;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2) обработка персональных данных, разрешенных субъектом персональных данных для распространения, осуществляется с соблюдением запретов и условий, предусмотренных статьей 10.1 настоящего Федерального закона;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2.1) обработка персональных данных необходима в связи с реализацией международных договоров Российской Федерации о реадмиссии;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2.2) обработка персональных данных осуществляется в соответствии с Федеральным законом от 25 января 2002 года N 8-ФЗ "О Всероссийской переписи населения";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2.3) обработка персональных данных осуществляется в соответствии с законодательством о государственной социальной помощи, трудовым законодательством, пенсионным законодательством Российской Федерации;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3) обработка персональных данных необходима для защиты жизни, здоровья или иных жизненно важных интересов субъекта персональных данных либо жизни, здоровья или иных жизненно важных интересов других лиц и получение согласия субъекта персональных данных невоз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можно;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4) обработка персональных данных осуществляется в медико-профилактических целях, в целях установления медицинского диагноза, оказания медицинских и медико-социальных услуг при условии, что обработка персональных данных осуществляется лицом, профессионально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занимающимся медицинской деятельностью и обязанным в соответствии с законодательством Российской Федерации сохранять врачебную тайну;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5) обработка персональных данных членов (участников) общественного объединения или религиозной организации осуществляется соответствующими общественным объединением или религиозной организацией, действующими в соответствии с законодательством Российской Фед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ерации, для достижения законных целей, предусмотренных их учредительными документами, при условии, что персональные данные не будут распространяться без согласия в письменной форме субъектов персональных данных;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6) обработка персональных данных необходима для установления или осуществления прав субъекта персональных данных или третьих лиц, а равно и в связи с осуществлением правосудия;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7) обработка персональных данных осуществляется в соответствии с законодательством Российской Федерации об обороне, о безопасности, о противодействии терроризму, о транспортной безопасности, о противодействии коррупции, об оперативно-разыскной деятельности,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об исполнительном производстве, уголовно-процессуальным, уголовно-исполнительным законодательством Российской Федерации;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7.1) обработка полученных в установленных законодательством Российской Федерации случаях персональных данных осуществляется органами прокуратуры в связи с осуществлением ими прокурорского надзора;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8) обработка персональных данных осуществляется в соответствии с законодательством об обязательных видах страхования, со страховым законодательством;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9) обработка персональных данных осуществляется в случаях, предусмотренных законодательством Российской Федерации, государственными органами, муниципальными органами или организациями в целях устройства детей, оставшихся без попечения родителей, на воспитан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ие в семьи граждан;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10) обработка персональных данных осуществляется в соответствии с законодательством Российской Федерации о гражданстве Российской Федерации.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blPrEx/>
        <w:trPr>
          <w:trHeight w:val="525"/>
        </w:trPr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5387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Что такое биометрические данные, как они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обрабатываются.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4530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Биометрические данные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это 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ведения, которые характеризуют физиологические и биологические особенности человека, на основании которых можно установить его личность (биометрические персональные данные) и которые используются оператором для установления личности субъекта персональных д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анных, могут обрабатываться только при наличии согласия в письменной форме субъекта персональных данных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blPrEx/>
        <w:trPr>
          <w:trHeight w:val="525"/>
        </w:trPr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5387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Как передаются персональные данные на территории иностранных государств.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4530" w:type="dxa"/>
            <w:textDirection w:val="lrTb"/>
            <w:noWrap w:val="false"/>
          </w:tcPr>
          <w:p>
            <w:r/>
            <w:r>
              <w:t xml:space="preserve">Трансграничная передача персональных данных осуществляется в соответствии с настоящим Федеральным законом и международными договорами Российской Федерации.</w:t>
            </w:r>
            <w:r/>
            <w:r/>
          </w:p>
        </w:tc>
      </w:tr>
      <w:tr>
        <w:tblPrEx/>
        <w:trPr>
          <w:trHeight w:val="810"/>
        </w:trPr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5387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Как обрабатываются персональные данные в Государственных органах,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муниципальных органах.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4530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Государственные органы, муниципальные органы создают в пределах своих полномочий, установленных в соответствии с федеральными законами, государственные или муниципальные информационные системы персональных данных.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blPrEx/>
        <w:trPr>
          <w:trHeight w:val="795"/>
        </w:trPr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5387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На получение каких сведений имеет право субъект, в какой форме сведения должны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быть предоставлены.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4530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Субъект персональных данных имеет право на получение сведений, указанных в части 7 настоящей статьи, за исключением случаев, предусмотренных частью 8 настоящей статьи. Субъект персональных данных вправе требовать от оператора уточнения его персональных данн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ых, их блокирования или уничтожения в случае, если персональные данные являются неполными, устаревшими, неточными, незаконно полученными или не являются необходимыми для заявленной цели обработки, а также принимать предусмотренные законом меры по защите сво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их прав.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blPrEx/>
        <w:trPr>
          <w:trHeight w:val="445"/>
        </w:trPr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5387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Права субъектов персональных данных на основании автоматизированной их обработки.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4530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Запрещается принятие на основании исключительно автоматизированной обработки персональных данных решений, порождающих юридические последствия в отношении субъекта персональных данных или иным образом затрагивающих его права и законные интересы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blPrEx/>
        <w:trPr>
          <w:trHeight w:val="330"/>
        </w:trPr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5387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Кто такой оператор, е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го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обязанности и что он обязан предоставить субъекту персональных данных.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4530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  <w:rPr>
                <w:rFonts w:ascii="Liberation Sans" w:hAnsi="Liberation Sans" w:eastAsia="Liberation Sans" w:cs="Liberation Sans"/>
                <w:color w:val="001d35"/>
                <w:sz w:val="27"/>
                <w:szCs w:val="27"/>
                <w:highlight w:val="none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white"/>
              </w:rPr>
              <w:t xml:space="preserve">Оператор персональных данных (ПДн) — это организация или физическое лицо, которое организует и/или осуществляет обработку ПДн, а также определяет цели и содержание такой обработки.</w:t>
            </w: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white"/>
              </w:rPr>
              <w:t xml:space="preserve">При сборе персональных данных оператор обязан предоставить субъекту персональных данных по его просьбе следующую информацию</w:t>
            </w: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white"/>
              </w:rPr>
              <w:t xml:space="preserve">:</w:t>
            </w:r>
            <w:r>
              <w:rPr>
                <w:rFonts w:ascii="Liberation Sans" w:hAnsi="Liberation Sans" w:eastAsia="Liberation Sans" w:cs="Liberation Sans"/>
                <w:color w:val="001d35"/>
                <w:sz w:val="27"/>
                <w:szCs w:val="27"/>
                <w:highlight w:val="none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  <w:t xml:space="preserve">1) подтверждение факта обработки персональных данных оператором;</w:t>
            </w: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  <w:t xml:space="preserve">2) правовые основания и цели обработки персональных данных;</w:t>
            </w: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  <w:t xml:space="preserve">3) цели и применяемые оператором способы обработки персональных данных;</w:t>
            </w: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  <w:t xml:space="preserve">4) наименование и место нахождения оператора, сведения о лицах (за исключением работников оператора), которые имеют доступ к персональным данным или которым могут быть раскрыты персональные данные на основании договора с оператором или на основании федераль</w:t>
            </w: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  <w:t xml:space="preserve">ного закона;</w:t>
            </w: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  <w:t xml:space="preserve">5) обрабатываемые персональные данные, относящиеся к соответствующему субъекту персональных данных, источник их получения, если иной порядок представления таких данных не предусмотрен федеральным законом;</w:t>
            </w: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  <w:t xml:space="preserve">6) сроки обработки персональных данных, в том числе сроки их хранения;</w:t>
            </w: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  <w:t xml:space="preserve">7) порядок осуществления субъектом персональных данных прав, предусмотренных настоящим Федеральным законом;</w:t>
            </w: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  <w:t xml:space="preserve">8) информацию об осуществленной или о предполагаемой трансграничной передаче данных;</w:t>
            </w: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  <w:t xml:space="preserve">9) наименование или фамилию, имя, отчество и адрес лица, осуществляющего обработку персональных данных по поручению оператора, если обработка поручена или будет поручена такому лицу;</w:t>
            </w: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  <w:t xml:space="preserve">Часть 7 дополнена пунктом 9.1 с 1 сентября 2022 г. - Федеральный закон от 14 июля 2022 г. N 266-ФЗ</w:t>
            </w: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  <w:t xml:space="preserve">9.1) информацию о способах исполнения оператором обязанностей, установленных статьей 18.1 настоящего Федерального закона;</w:t>
            </w: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</w:p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  <w:t xml:space="preserve">10) иные сведения, предусмотренные настоящим Федеральным законом или другими федеральными законами.</w:t>
            </w: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  <w:r>
              <w:rPr>
                <w:rFonts w:ascii="Liberation Sans" w:hAnsi="Liberation Sans" w:eastAsia="Liberation Sans" w:cs="Liberation Sans"/>
                <w:color w:val="001d35"/>
                <w:sz w:val="27"/>
                <w:highlight w:val="none"/>
              </w:rPr>
            </w:r>
          </w:p>
        </w:tc>
      </w:tr>
      <w:tr>
        <w:tblPrEx/>
        <w:trPr>
          <w:trHeight w:val="330"/>
        </w:trPr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5387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Как представляется уведомление об обработке персональных данных.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4530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Оператор до начала обработки персональных данных обязан уведомить уполномоченный орган по защите прав субъектов персональных данных о своем намерении осуществлять обработку персональных данных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blPrEx/>
        <w:trPr>
          <w:trHeight w:val="330"/>
        </w:trPr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5387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Ответственные за организацию обработки персональных данных в организациях их обязанности и ответственность.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4530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1. Оператор, являющийся юридическим лицом, назначает лицо, ответственное за организацию обработки персональных данных.</w:t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2. Лицо, ответственное за организацию обработки персональных данных, получает указания непосредственно от исполнительного органа организации, являющейся оператором, и подотчетно ему.</w:t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3. Оператор обязан предоставлять лицу, ответственному за организацию обработки персональных данных, сведения, указанные в части 3 статьи 22 настоящего Федерального закона.</w:t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4. Лицо, ответственное за организацию обработки персональных данных, в частности, обязано:</w:t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1) осуществлять внутренний контроль за соблюдением оператором и его работниками законодательства Российской Федерации о персональных данных, в том числе требований к защите персональных данных;</w:t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2) доводить до сведения работников оператора положения законодательства Российской Федерации о персональных данных, локальных актов по вопросам обработки персональных данных, требований к защите персональных данных;</w:t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</w:r>
            <w:r/>
          </w:p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3) организовывать прием и обработку обращений и запросов субъектов персональных данных или их представителей и (или) осуществлять контроль за приемом и обработкой таких обращений и запросов.</w:t>
            </w:r>
            <w:r/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blPrEx/>
        <w:trPr>
          <w:trHeight w:val="330"/>
        </w:trPr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5387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Федеральный орган, отвечающий за защиту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прав субъектов персональных данных.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4530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Федеральный орган исполнительной власти 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амостоятельно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осуществляет функции по контролю и надзору за соответствием обработки персональных данных требованиям законодательства Российской Федерации в области персональных данных.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blPrEx/>
        <w:trPr>
          <w:trHeight w:val="330"/>
        </w:trPr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5387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Требования к защите персональных данных.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4530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Требования к защите персональных данных в России устанавливает Федеральный закон № 152-ФЗ «О защите персональных данных». Операторы персональных данных обязаны принимать организационные и технические меры для защиты данных, включая получение согласия на обр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аботку, установление ограничений доступа, назначение ответственного лица, разработку локальных документов, использование сертифицированных средств защиты, резервное копирование и контроль за действиями с данными. </w:t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Основные организационные меры:</w:t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Разработка локальных нормативных актов (ЛНА):</w:t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Создание и принятие документов, таких как политика защиты ПДн, регламентирующих порядок обработки и защиты персональных данных в организации. </w:t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Определение ответственного за защиту ПДн:</w:t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Назначение сотрудника, ответственного за организацию обработки и безопасность персональных данных. </w:t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Обучение и информирование персонала:</w:t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Ознакомление сотрудников с требованиями законодательства, ЛНА и правилами работы с персональными данными. </w:t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Ограничение доступа:</w:t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Установление правил доступа персонала к персональным данным и разграничение прав доступа. </w:t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Организация хранения:</w:t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Обеспечение сохранности носителей персональных данных, хранение их в закрытых помещениях и учет машинных носителей. </w:t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Контроль за нарушениями:</w:t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Выявление, реагирование и устранение нарушений требований к обработке персональных данных. </w:t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Основные технические меры:</w:t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Средства защиты информации:</w:t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Использование сертифицированных криптографических средств (шифрование), межсетевых экранов, антивирусов и систем контроля доступа. </w:t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Система защиты персональных данных (СЗПДн):</w:t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Создание комплекса средств защиты для обеспечения безопасности данных в информационных системах. </w:t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Обнаружение и реагирование:</w:t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Применение мер для обнаружения фактов несанкционированного доступа к персональным данным и реагирование на инциденты. </w:t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Резервное копирование:</w:t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Создание резервных копий данных для их восстановления в случае утраты или повреждения. </w:t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Контроль действий:</w:t>
            </w:r>
            <w:r/>
          </w:p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Ведение регистрации и учета всех действий, совершаемых с персональными данными в информационных системах. </w:t>
            </w:r>
            <w:r/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blPrEx/>
        <w:trPr>
          <w:trHeight w:val="330"/>
        </w:trPr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5387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Ответственность за нарушение федерального закона ФЗ №152.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ffffff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4530" w:type="dxa"/>
            <w:textDirection w:val="lrTb"/>
            <w:noWrap w:val="false"/>
          </w:tcPr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1. Лица, виновные в нарушении требований настоящего Федерального закона, несут предусмотренную законодательством Российской Федерации ответственность.</w:t>
            </w:r>
            <w:r/>
          </w:p>
          <w:p>
            <w:pPr>
              <w:spacing w:after="0" w:line="240" w:lineRule="auto"/>
              <w:shd w:val="clear" w:color="auto" w:fill="ffffff"/>
            </w:pPr>
            <w:r>
              <w:rPr>
                <w:rFonts w:ascii="Times New Roman" w:hAnsi="Times New Roman" w:cs="Times New Roman"/>
                <w:sz w:val="28"/>
                <w:szCs w:val="28"/>
              </w:rPr>
            </w:r>
            <w:r/>
          </w:p>
          <w:p>
            <w:pPr>
              <w:spacing w:after="0" w:line="240" w:lineRule="auto"/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2. Моральный вред, причиненный субъекту персональных данных вследствие нарушения его прав, нарушения правил обработки персональных данных, установленных настоящим Федеральным законом, а также требований к защите персональных данных, установленных в соответс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твии с настоящим Федеральным законом, подлежит возмещению в соответствии с законодательством Российской Федерации. Возмещение морального вреда осуществляется независимо от возмещения имущественного вреда и понесенных субъектом персональных данных убытков.</w:t>
            </w:r>
            <w:r/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r/>
      <w:r/>
    </w:p>
    <w:p>
      <w:r/>
      <w:r/>
    </w:p>
    <w:p>
      <w:r/>
      <w:r/>
    </w:p>
    <w:p>
      <w:r/>
      <w:r/>
    </w:p>
    <w:sectPr>
      <w:footnotePr/>
      <w:endnotePr/>
      <w:type w:val="nextPage"/>
      <w:pgSz w:w="11906" w:h="16838" w:orient="portrait"/>
      <w:pgMar w:top="1134" w:right="850" w:bottom="1134" w:left="1701" w:header="708" w:footer="708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/>
      <w:r>
        <w:separator/>
      </w:r>
      <w:r/>
    </w:p>
  </w:endnote>
  <w:endnote w:type="continuationSeparator" w:id="0">
    <w:p>
      <w:pPr>
        <w:spacing w:after="0" w:line="240" w:lineRule="auto"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PT Serif">
    <w:panose1 w:val="020A0603040505020204"/>
  </w:font>
  <w:font w:name="Times New Roman">
    <w:panose1 w:val="02020603050405020304"/>
  </w:font>
  <w:font w:name="Tahoma">
    <w:panose1 w:val="020B060403050404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/>
      <w:r>
        <w:separator/>
      </w:r>
      <w:r/>
    </w:p>
  </w:footnote>
  <w:footnote w:type="continuationSeparator" w:id="0">
    <w:p>
      <w:pPr>
        <w:spacing w:after="0" w:line="240" w:lineRule="auto"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tru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3">
    <w:name w:val="Heading 1"/>
    <w:basedOn w:val="617"/>
    <w:next w:val="617"/>
    <w:link w:val="14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14">
    <w:name w:val="Heading 1 Char"/>
    <w:basedOn w:val="618"/>
    <w:link w:val="13"/>
    <w:uiPriority w:val="9"/>
    <w:rPr>
      <w:rFonts w:ascii="Arial" w:hAnsi="Arial" w:eastAsia="Arial" w:cs="Arial"/>
      <w:sz w:val="40"/>
      <w:szCs w:val="40"/>
    </w:rPr>
  </w:style>
  <w:style w:type="paragraph" w:styleId="15">
    <w:name w:val="Heading 2"/>
    <w:basedOn w:val="617"/>
    <w:next w:val="617"/>
    <w:link w:val="16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16">
    <w:name w:val="Heading 2 Char"/>
    <w:basedOn w:val="618"/>
    <w:link w:val="15"/>
    <w:uiPriority w:val="9"/>
    <w:rPr>
      <w:rFonts w:ascii="Arial" w:hAnsi="Arial" w:eastAsia="Arial" w:cs="Arial"/>
      <w:sz w:val="34"/>
    </w:rPr>
  </w:style>
  <w:style w:type="paragraph" w:styleId="17">
    <w:name w:val="Heading 3"/>
    <w:basedOn w:val="617"/>
    <w:next w:val="617"/>
    <w:link w:val="18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18">
    <w:name w:val="Heading 3 Char"/>
    <w:basedOn w:val="618"/>
    <w:link w:val="17"/>
    <w:uiPriority w:val="9"/>
    <w:rPr>
      <w:rFonts w:ascii="Arial" w:hAnsi="Arial" w:eastAsia="Arial" w:cs="Arial"/>
      <w:sz w:val="30"/>
      <w:szCs w:val="30"/>
    </w:rPr>
  </w:style>
  <w:style w:type="paragraph" w:styleId="19">
    <w:name w:val="Heading 4"/>
    <w:basedOn w:val="617"/>
    <w:next w:val="617"/>
    <w:link w:val="20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20">
    <w:name w:val="Heading 4 Char"/>
    <w:basedOn w:val="618"/>
    <w:link w:val="19"/>
    <w:uiPriority w:val="9"/>
    <w:rPr>
      <w:rFonts w:ascii="Arial" w:hAnsi="Arial" w:eastAsia="Arial" w:cs="Arial"/>
      <w:b/>
      <w:bCs/>
      <w:sz w:val="26"/>
      <w:szCs w:val="26"/>
    </w:rPr>
  </w:style>
  <w:style w:type="paragraph" w:styleId="21">
    <w:name w:val="Heading 5"/>
    <w:basedOn w:val="617"/>
    <w:next w:val="617"/>
    <w:link w:val="22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22">
    <w:name w:val="Heading 5 Char"/>
    <w:basedOn w:val="618"/>
    <w:link w:val="21"/>
    <w:uiPriority w:val="9"/>
    <w:rPr>
      <w:rFonts w:ascii="Arial" w:hAnsi="Arial" w:eastAsia="Arial" w:cs="Arial"/>
      <w:b/>
      <w:bCs/>
      <w:sz w:val="24"/>
      <w:szCs w:val="24"/>
    </w:rPr>
  </w:style>
  <w:style w:type="paragraph" w:styleId="23">
    <w:name w:val="Heading 6"/>
    <w:basedOn w:val="617"/>
    <w:next w:val="617"/>
    <w:link w:val="24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24">
    <w:name w:val="Heading 6 Char"/>
    <w:basedOn w:val="618"/>
    <w:link w:val="23"/>
    <w:uiPriority w:val="9"/>
    <w:rPr>
      <w:rFonts w:ascii="Arial" w:hAnsi="Arial" w:eastAsia="Arial" w:cs="Arial"/>
      <w:b/>
      <w:bCs/>
      <w:sz w:val="22"/>
      <w:szCs w:val="22"/>
    </w:rPr>
  </w:style>
  <w:style w:type="paragraph" w:styleId="25">
    <w:name w:val="Heading 7"/>
    <w:basedOn w:val="617"/>
    <w:next w:val="617"/>
    <w:link w:val="26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26">
    <w:name w:val="Heading 7 Char"/>
    <w:basedOn w:val="618"/>
    <w:link w:val="25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27">
    <w:name w:val="Heading 8"/>
    <w:basedOn w:val="617"/>
    <w:next w:val="617"/>
    <w:link w:val="28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28">
    <w:name w:val="Heading 8 Char"/>
    <w:basedOn w:val="618"/>
    <w:link w:val="27"/>
    <w:uiPriority w:val="9"/>
    <w:rPr>
      <w:rFonts w:ascii="Arial" w:hAnsi="Arial" w:eastAsia="Arial" w:cs="Arial"/>
      <w:i/>
      <w:iCs/>
      <w:sz w:val="22"/>
      <w:szCs w:val="22"/>
    </w:rPr>
  </w:style>
  <w:style w:type="paragraph" w:styleId="29">
    <w:name w:val="Heading 9"/>
    <w:basedOn w:val="617"/>
    <w:next w:val="617"/>
    <w:link w:val="30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30">
    <w:name w:val="Heading 9 Char"/>
    <w:basedOn w:val="618"/>
    <w:link w:val="29"/>
    <w:uiPriority w:val="9"/>
    <w:rPr>
      <w:rFonts w:ascii="Arial" w:hAnsi="Arial" w:eastAsia="Arial" w:cs="Arial"/>
      <w:i/>
      <w:iCs/>
      <w:sz w:val="21"/>
      <w:szCs w:val="21"/>
    </w:rPr>
  </w:style>
  <w:style w:type="paragraph" w:styleId="31">
    <w:name w:val="List Paragraph"/>
    <w:basedOn w:val="617"/>
    <w:uiPriority w:val="34"/>
    <w:qFormat/>
    <w:pPr>
      <w:contextualSpacing/>
      <w:ind w:left="720"/>
    </w:pPr>
  </w:style>
  <w:style w:type="paragraph" w:styleId="33">
    <w:name w:val="No Spacing"/>
    <w:uiPriority w:val="1"/>
    <w:qFormat/>
    <w:pPr>
      <w:spacing w:before="0" w:after="0" w:line="240" w:lineRule="auto"/>
    </w:pPr>
  </w:style>
  <w:style w:type="paragraph" w:styleId="34">
    <w:name w:val="Title"/>
    <w:basedOn w:val="617"/>
    <w:next w:val="617"/>
    <w:link w:val="35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5">
    <w:name w:val="Title Char"/>
    <w:basedOn w:val="618"/>
    <w:link w:val="34"/>
    <w:uiPriority w:val="10"/>
    <w:rPr>
      <w:sz w:val="48"/>
      <w:szCs w:val="48"/>
    </w:rPr>
  </w:style>
  <w:style w:type="paragraph" w:styleId="36">
    <w:name w:val="Subtitle"/>
    <w:basedOn w:val="617"/>
    <w:next w:val="617"/>
    <w:link w:val="37"/>
    <w:uiPriority w:val="11"/>
    <w:qFormat/>
    <w:pPr>
      <w:spacing w:before="200" w:after="200"/>
    </w:pPr>
    <w:rPr>
      <w:sz w:val="24"/>
      <w:szCs w:val="24"/>
    </w:rPr>
  </w:style>
  <w:style w:type="character" w:styleId="37">
    <w:name w:val="Subtitle Char"/>
    <w:basedOn w:val="618"/>
    <w:link w:val="36"/>
    <w:uiPriority w:val="11"/>
    <w:rPr>
      <w:sz w:val="24"/>
      <w:szCs w:val="24"/>
    </w:rPr>
  </w:style>
  <w:style w:type="paragraph" w:styleId="38">
    <w:name w:val="Quote"/>
    <w:basedOn w:val="617"/>
    <w:next w:val="617"/>
    <w:link w:val="39"/>
    <w:uiPriority w:val="29"/>
    <w:qFormat/>
    <w:pPr>
      <w:ind w:left="720" w:right="720"/>
    </w:pPr>
    <w:rPr>
      <w:i/>
    </w:rPr>
  </w:style>
  <w:style w:type="character" w:styleId="39">
    <w:name w:val="Quote Char"/>
    <w:link w:val="38"/>
    <w:uiPriority w:val="29"/>
    <w:rPr>
      <w:i/>
    </w:rPr>
  </w:style>
  <w:style w:type="paragraph" w:styleId="40">
    <w:name w:val="Intense Quote"/>
    <w:basedOn w:val="617"/>
    <w:next w:val="617"/>
    <w:link w:val="41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1">
    <w:name w:val="Intense Quote Char"/>
    <w:link w:val="40"/>
    <w:uiPriority w:val="30"/>
    <w:rPr>
      <w:i/>
    </w:rPr>
  </w:style>
  <w:style w:type="paragraph" w:styleId="42">
    <w:name w:val="Header"/>
    <w:basedOn w:val="617"/>
    <w:link w:val="43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3">
    <w:name w:val="Header Char"/>
    <w:basedOn w:val="618"/>
    <w:link w:val="42"/>
    <w:uiPriority w:val="99"/>
  </w:style>
  <w:style w:type="paragraph" w:styleId="44">
    <w:name w:val="Footer"/>
    <w:basedOn w:val="617"/>
    <w:link w:val="4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5">
    <w:name w:val="Footer Char"/>
    <w:basedOn w:val="618"/>
    <w:link w:val="44"/>
    <w:uiPriority w:val="99"/>
  </w:style>
  <w:style w:type="paragraph" w:styleId="46">
    <w:name w:val="Caption"/>
    <w:basedOn w:val="617"/>
    <w:next w:val="617"/>
    <w:link w:val="47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7">
    <w:name w:val="Caption Char"/>
    <w:basedOn w:val="618"/>
    <w:link w:val="46"/>
    <w:uiPriority w:val="35"/>
    <w:rPr>
      <w:b/>
      <w:bCs/>
      <w:color w:val="4f81bd" w:themeColor="accent1"/>
      <w:sz w:val="18"/>
      <w:szCs w:val="18"/>
    </w:rPr>
  </w:style>
  <w:style w:type="table" w:styleId="48">
    <w:name w:val="Table Grid"/>
    <w:basedOn w:val="619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49">
    <w:name w:val="Table Grid Light"/>
    <w:basedOn w:val="61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0">
    <w:name w:val="Plain Table 1"/>
    <w:basedOn w:val="61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1">
    <w:name w:val="Plain Table 2"/>
    <w:basedOn w:val="619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2">
    <w:name w:val="Plain Table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3">
    <w:name w:val="Plain Table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4">
    <w:name w:val="Plain Table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5">
    <w:name w:val="Grid Table 1 Light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">
    <w:name w:val="Grid Table 1 Light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3">
    <w:name w:val="Grid Table 2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4"/>
    <w:basedOn w:val="61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7">
    <w:name w:val="Grid Table 4 - Accent 1"/>
    <w:basedOn w:val="61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8">
    <w:name w:val="Grid Table 4 - Accent 2"/>
    <w:basedOn w:val="61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9">
    <w:name w:val="Grid Table 4 - Accent 3"/>
    <w:basedOn w:val="61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0">
    <w:name w:val="Grid Table 4 - Accent 4"/>
    <w:basedOn w:val="61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1">
    <w:name w:val="Grid Table 4 - Accent 5"/>
    <w:basedOn w:val="61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2">
    <w:name w:val="Grid Table 4 - Accent 6"/>
    <w:basedOn w:val="61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3">
    <w:name w:val="Grid Table 5 Dark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4">
    <w:name w:val="Grid Table 5 Dark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85">
    <w:name w:val="Grid Table 5 Dark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87">
    <w:name w:val="Grid Table 5 Dark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88">
    <w:name w:val="Grid Table 5 Dark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90">
    <w:name w:val="Grid Table 6 Colorful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91">
    <w:name w:val="Grid Table 6 Colorful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92">
    <w:name w:val="Grid Table 6 Colorful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93">
    <w:name w:val="Grid Table 6 Colorful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94">
    <w:name w:val="Grid Table 6 Colorful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95">
    <w:name w:val="Grid Table 6 Colorful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6">
    <w:name w:val="Grid Table 6 Colorful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7">
    <w:name w:val="Grid Table 7 Colorful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8">
    <w:name w:val="Grid Table 7 Colorful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266777" w:themeColor="accent5" w:themeShade="95"/>
        <w:sz w:val="22"/>
      </w:r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5"/>
        <w:sz w:val="22"/>
      </w:r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4">
    <w:name w:val="List Table 1 Light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5">
    <w:name w:val="List Table 1 Light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2">
    <w:name w:val="List Table 2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3">
    <w:name w:val="List Table 2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4">
    <w:name w:val="List Table 2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5">
    <w:name w:val="List Table 2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6">
    <w:name w:val="List Table 2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7">
    <w:name w:val="List Table 2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8">
    <w:name w:val="List Table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9">
    <w:name w:val="List Table 3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5 Dark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3">
    <w:name w:val="List Table 5 Dark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4">
    <w:name w:val="List Table 5 Dark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5">
    <w:name w:val="List Table 5 Dark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6">
    <w:name w:val="List Table 5 Dark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7">
    <w:name w:val="List Table 5 Dark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8">
    <w:name w:val="List Table 5 Dark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9">
    <w:name w:val="List Table 6 Colorful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0">
    <w:name w:val="List Table 6 Colorful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1">
    <w:name w:val="List Table 6 Colorful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2">
    <w:name w:val="List Table 6 Colorful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3">
    <w:name w:val="List Table 6 Colorful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4">
    <w:name w:val="List Table 6 Colorful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5">
    <w:name w:val="List Table 6 Colorful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6">
    <w:name w:val="List Table 7 Colorful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47">
    <w:name w:val="List Table 7 Colorful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2a4b71" w:themeColor="accent1" w:themeShade="95"/>
        <w:sz w:val="22"/>
      </w:rPr>
    </w:tblStylePr>
  </w:style>
  <w:style w:type="table" w:styleId="148">
    <w:name w:val="List Table 7 Colorful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</w:tblStylePr>
  </w:style>
  <w:style w:type="table" w:styleId="149">
    <w:name w:val="List Table 7 Colorful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</w:tblStylePr>
  </w:style>
  <w:style w:type="table" w:styleId="150">
    <w:name w:val="List Table 7 Colorful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</w:tblStylePr>
  </w:style>
  <w:style w:type="table" w:styleId="151">
    <w:name w:val="List Table 7 Colorful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</w:tblStylePr>
  </w:style>
  <w:style w:type="table" w:styleId="152">
    <w:name w:val="List Table 7 Colorful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</w:tblStylePr>
  </w:style>
  <w:style w:type="table" w:styleId="153">
    <w:name w:val="Lined - Accent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4">
    <w:name w:val="Lined - Accent 1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55">
    <w:name w:val="Lined - Accent 2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56">
    <w:name w:val="Lined - Accent 3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57">
    <w:name w:val="Lined - Accent 4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58">
    <w:name w:val="Lined - Accent 5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59">
    <w:name w:val="Lined - Accent 6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0">
    <w:name w:val="Bordered &amp; Lined - Accent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1">
    <w:name w:val="Bordered &amp; Lined - Accent 1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62">
    <w:name w:val="Bordered &amp; Lined - Accent 2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63">
    <w:name w:val="Bordered &amp; Lined - Accent 3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64">
    <w:name w:val="Bordered &amp; Lined - Accent 4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65">
    <w:name w:val="Bordered &amp; Lined - Accent 5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66">
    <w:name w:val="Bordered &amp; Lined - Accent 6"/>
    <w:basedOn w:val="6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7">
    <w:name w:val="Bordered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8">
    <w:name w:val="Bordered - Accent 1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69">
    <w:name w:val="Bordered - Accent 2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0">
    <w:name w:val="Bordered - Accent 3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1">
    <w:name w:val="Bordered - Accent 4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2">
    <w:name w:val="Bordered - Accent 5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3">
    <w:name w:val="Bordered - Accent 6"/>
    <w:basedOn w:val="6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74">
    <w:name w:val="Hyperlink"/>
    <w:uiPriority w:val="99"/>
    <w:unhideWhenUsed/>
    <w:rPr>
      <w:color w:val="0000ff" w:themeColor="hyperlink"/>
      <w:u w:val="single"/>
    </w:rPr>
  </w:style>
  <w:style w:type="paragraph" w:styleId="175">
    <w:name w:val="footnote text"/>
    <w:basedOn w:val="617"/>
    <w:link w:val="176"/>
    <w:uiPriority w:val="99"/>
    <w:semiHidden/>
    <w:unhideWhenUsed/>
    <w:pPr>
      <w:spacing w:after="40" w:line="240" w:lineRule="auto"/>
    </w:pPr>
    <w:rPr>
      <w:sz w:val="18"/>
    </w:rPr>
  </w:style>
  <w:style w:type="character" w:styleId="176">
    <w:name w:val="Footnote Text Char"/>
    <w:link w:val="175"/>
    <w:uiPriority w:val="99"/>
    <w:rPr>
      <w:sz w:val="18"/>
    </w:rPr>
  </w:style>
  <w:style w:type="character" w:styleId="177">
    <w:name w:val="footnote reference"/>
    <w:basedOn w:val="618"/>
    <w:uiPriority w:val="99"/>
    <w:unhideWhenUsed/>
    <w:rPr>
      <w:vertAlign w:val="superscript"/>
    </w:rPr>
  </w:style>
  <w:style w:type="paragraph" w:styleId="178">
    <w:name w:val="endnote text"/>
    <w:basedOn w:val="617"/>
    <w:link w:val="179"/>
    <w:uiPriority w:val="99"/>
    <w:semiHidden/>
    <w:unhideWhenUsed/>
    <w:pPr>
      <w:spacing w:after="0" w:line="240" w:lineRule="auto"/>
    </w:pPr>
    <w:rPr>
      <w:sz w:val="20"/>
    </w:rPr>
  </w:style>
  <w:style w:type="character" w:styleId="179">
    <w:name w:val="Endnote Text Char"/>
    <w:link w:val="178"/>
    <w:uiPriority w:val="99"/>
    <w:rPr>
      <w:sz w:val="20"/>
    </w:rPr>
  </w:style>
  <w:style w:type="character" w:styleId="180">
    <w:name w:val="endnote reference"/>
    <w:basedOn w:val="618"/>
    <w:uiPriority w:val="99"/>
    <w:semiHidden/>
    <w:unhideWhenUsed/>
    <w:rPr>
      <w:vertAlign w:val="superscript"/>
    </w:rPr>
  </w:style>
  <w:style w:type="paragraph" w:styleId="181">
    <w:name w:val="toc 1"/>
    <w:basedOn w:val="617"/>
    <w:next w:val="617"/>
    <w:uiPriority w:val="39"/>
    <w:unhideWhenUsed/>
    <w:pPr>
      <w:ind w:left="0" w:right="0" w:firstLine="0"/>
      <w:spacing w:after="57"/>
    </w:pPr>
  </w:style>
  <w:style w:type="paragraph" w:styleId="182">
    <w:name w:val="toc 2"/>
    <w:basedOn w:val="617"/>
    <w:next w:val="617"/>
    <w:uiPriority w:val="39"/>
    <w:unhideWhenUsed/>
    <w:pPr>
      <w:ind w:left="283" w:right="0" w:firstLine="0"/>
      <w:spacing w:after="57"/>
    </w:pPr>
  </w:style>
  <w:style w:type="paragraph" w:styleId="183">
    <w:name w:val="toc 3"/>
    <w:basedOn w:val="617"/>
    <w:next w:val="617"/>
    <w:uiPriority w:val="39"/>
    <w:unhideWhenUsed/>
    <w:pPr>
      <w:ind w:left="567" w:right="0" w:firstLine="0"/>
      <w:spacing w:after="57"/>
    </w:pPr>
  </w:style>
  <w:style w:type="paragraph" w:styleId="184">
    <w:name w:val="toc 4"/>
    <w:basedOn w:val="617"/>
    <w:next w:val="617"/>
    <w:uiPriority w:val="39"/>
    <w:unhideWhenUsed/>
    <w:pPr>
      <w:ind w:left="850" w:right="0" w:firstLine="0"/>
      <w:spacing w:after="57"/>
    </w:pPr>
  </w:style>
  <w:style w:type="paragraph" w:styleId="185">
    <w:name w:val="toc 5"/>
    <w:basedOn w:val="617"/>
    <w:next w:val="617"/>
    <w:uiPriority w:val="39"/>
    <w:unhideWhenUsed/>
    <w:pPr>
      <w:ind w:left="1134" w:right="0" w:firstLine="0"/>
      <w:spacing w:after="57"/>
    </w:pPr>
  </w:style>
  <w:style w:type="paragraph" w:styleId="186">
    <w:name w:val="toc 6"/>
    <w:basedOn w:val="617"/>
    <w:next w:val="617"/>
    <w:uiPriority w:val="39"/>
    <w:unhideWhenUsed/>
    <w:pPr>
      <w:ind w:left="1417" w:right="0" w:firstLine="0"/>
      <w:spacing w:after="57"/>
    </w:pPr>
  </w:style>
  <w:style w:type="paragraph" w:styleId="187">
    <w:name w:val="toc 7"/>
    <w:basedOn w:val="617"/>
    <w:next w:val="617"/>
    <w:uiPriority w:val="39"/>
    <w:unhideWhenUsed/>
    <w:pPr>
      <w:ind w:left="1701" w:right="0" w:firstLine="0"/>
      <w:spacing w:after="57"/>
    </w:pPr>
  </w:style>
  <w:style w:type="paragraph" w:styleId="188">
    <w:name w:val="toc 8"/>
    <w:basedOn w:val="617"/>
    <w:next w:val="617"/>
    <w:uiPriority w:val="39"/>
    <w:unhideWhenUsed/>
    <w:pPr>
      <w:ind w:left="1984" w:right="0" w:firstLine="0"/>
      <w:spacing w:after="57"/>
    </w:pPr>
  </w:style>
  <w:style w:type="paragraph" w:styleId="189">
    <w:name w:val="toc 9"/>
    <w:basedOn w:val="617"/>
    <w:next w:val="617"/>
    <w:uiPriority w:val="39"/>
    <w:unhideWhenUsed/>
    <w:pPr>
      <w:ind w:left="2268" w:right="0" w:firstLine="0"/>
      <w:spacing w:after="57"/>
    </w:pPr>
  </w:style>
  <w:style w:type="paragraph" w:styleId="190">
    <w:name w:val="TOC Heading"/>
    <w:uiPriority w:val="39"/>
    <w:unhideWhenUsed/>
  </w:style>
  <w:style w:type="paragraph" w:styleId="191">
    <w:name w:val="table of figures"/>
    <w:basedOn w:val="617"/>
    <w:next w:val="617"/>
    <w:uiPriority w:val="99"/>
    <w:unhideWhenUsed/>
    <w:pPr>
      <w:spacing w:after="0" w:afterAutospacing="0"/>
    </w:pPr>
  </w:style>
  <w:style w:type="paragraph" w:styleId="617" w:default="1">
    <w:name w:val="Normal"/>
    <w:qFormat/>
  </w:style>
  <w:style w:type="character" w:styleId="618" w:default="1">
    <w:name w:val="Default Paragraph Font"/>
    <w:uiPriority w:val="1"/>
    <w:semiHidden/>
    <w:unhideWhenUsed/>
  </w:style>
  <w:style w:type="table" w:styleId="619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20" w:default="1">
    <w:name w:val="No List"/>
    <w:uiPriority w:val="99"/>
    <w:semiHidden/>
    <w:unhideWhenUsed/>
  </w:style>
  <w:style w:type="paragraph" w:styleId="621">
    <w:name w:val="Balloon Text"/>
    <w:basedOn w:val="617"/>
    <w:link w:val="622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622" w:customStyle="1">
    <w:name w:val="Текст выноски Знак"/>
    <w:basedOn w:val="618"/>
    <w:link w:val="621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Р7-Офис/2025.2.2.831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Админ</dc:creator>
  <cp:lastModifiedBy>student</cp:lastModifiedBy>
  <cp:revision>7</cp:revision>
  <dcterms:created xsi:type="dcterms:W3CDTF">2022-09-16T11:06:00Z</dcterms:created>
  <dcterms:modified xsi:type="dcterms:W3CDTF">2025-09-10T13:18:01Z</dcterms:modified>
</cp:coreProperties>
</file>