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ПРАКТИЧЕСКОЕ ЗАНЯТИЕ № 12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</w:pPr>
      <w:r/>
      <w:bookmarkStart w:id="0" w:name="_GoBack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ОБОРОТНЫЕ РЕГИСТРЫ НАКОПЛЕНИЯ</w:t>
      </w:r>
      <w:bookmarkEnd w:id="0"/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</w:r>
    </w:p>
    <w:p>
      <w:pPr>
        <w:pStyle w:val="635"/>
        <w:rPr>
          <w:rStyle w:val="638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</w:t>
      </w:r>
      <w:r>
        <w:rPr>
          <w:rFonts w:ascii="Times New Roman" w:hAnsi="Times New Roman" w:cs="Times New Roman"/>
        </w:rPr>
        <w:t xml:space="preserve"> – научиться создавать оборотные </w:t>
      </w:r>
      <w:r>
        <w:rPr>
          <w:rStyle w:val="639"/>
          <w:rFonts w:ascii="Times New Roman" w:hAnsi="Times New Roman" w:cs="Times New Roman"/>
          <w:b w:val="0"/>
        </w:rPr>
        <w:t xml:space="preserve">регистры накопления</w:t>
      </w:r>
      <w:r>
        <w:rPr>
          <w:rFonts w:ascii="Times New Roman" w:hAnsi="Times New Roman" w:cs="Times New Roman"/>
          <w:b/>
        </w:rPr>
        <w:t xml:space="preserve">;</w:t>
      </w:r>
      <w:r>
        <w:rPr>
          <w:rFonts w:ascii="Times New Roman" w:hAnsi="Times New Roman" w:cs="Times New Roman"/>
        </w:rPr>
        <w:t xml:space="preserve"> устанавливать настройки объектов; создавать движение документов.</w:t>
      </w:r>
      <w:r>
        <w:rPr>
          <w:rStyle w:val="638"/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ТЕОРЕТИЧЕСКАЯ ЧАСТЬ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Что такое оборотный регистр накопления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Регистры накопления могут быть регистрами остатков и регистрами оборотов.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Существующие в нашей конфигурации регистры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ОстаткиМатериалов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являются регистрами остатков.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вы помните, при создании отчета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Материалы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конструкторе запроса мы видели, что для таких регистров система создает три виртуальные таблицы: таблица остатков, оборотов и совокупная таблица остатков и оборотов.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Оборотный регистр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накапливает только обороты, остатки ему безраз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личны. Поэтому единственной виртуальной таблицей, которую будет создавать система для такого регистра, будет таблица оборотов. В остальном оборотный регистр ничем не отличается от регистра остатков.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Следует сказать об одной особенности конструирования регистров накопления, напрямую 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вязанной с возможностью получения остатков. При создании оборотного регистра накопления нет особой сложности в определении того, какие именно данные должны являться измерениями регистра - мы можем назначить в качестве его измерений любые нужные нам данные.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Совсем иная ситуация в случае регистра накопления, поддерживаю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щего накопление остатков. Для него выбор измерений должен выпол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няться исходя из того, что движения регистра могут быть осущест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влены в две стороны: приход и расход. Таким образом, в качестве измерений нужно выбирать те данные, по которым движения точно будут осуществляться как в одну, так и в другую сторону.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Скорее всего, при поступлении материалов поставщик будет указан, а вот при расходовании материалов, с большой долей вероятности, поставщик указываться не будет. В большинстве случаев это совер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шенно лишняя информация.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Значит, поставщика следует добавить не как измерение, а как реквизит регистра накопления.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же при расходе материалов поставщик будет указываться наверняка, имеет смысл добавить поставщика в измерения регистра.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Иными словами, по каждому из измерений регистра накопления остатков ресурсы обязательно должны изменяться в обе стороны: приход и расход. Не должно существовать таких измерений, по которым осуществляется только приход или только расход.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Нарушение этого принципа построения регистров накопления будет вести к непроизводительному использованию ресурсов системы и как следствие к замедлению работы и падению производительности.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реквизитов же регистра этот принцип не важен. По рекви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зитам регистра ресурсы могут только приходоваться или только расходоваться.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ПРАКТИЧЕСКАЯ ЧАСТЬ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lang w:eastAsia="ru-RU"/>
        </w:rPr>
        <w:t xml:space="preserve">Задание 1.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lang w:eastAsia="ru-RU"/>
        </w:rPr>
        <w:t xml:space="preserve">Добавление оборотного регистра накопления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 режиме Конфигуратор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Откроем конфигуратор и создадим новый объект конфигурации Регистр накопления.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Основные: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имя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Продажи; вид регистра –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Обороты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расширенное представление списка –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Движения документа по регистру Продажи.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Подсистемы: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отметим, что этот регистр будет отобра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жаться в подсистемах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Бухгалтерия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Учет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материалов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Оказание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услуг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Данные: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создадим измерения регистра: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Номенклатура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тип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СправочникСсылка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оменклатура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Клиент, тип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СправочникСсылка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.К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лиенты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Мастер, тип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СправочникСсылка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.С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отрудники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Создадим три ресурса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Количество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тип Число, длина 15, точность 3;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Выручка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тип Число, длина 15, точность 2;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Стоимость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тип Число, длина 15, точность 2.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before="100" w:beforeAutospacing="1" w:after="100" w:afterAutospacing="1" w:line="240" w:lineRule="auto"/>
        <w:shd w:val="clear" w:color="auto" w:fil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1570" cy="2767330"/>
                <wp:effectExtent l="0" t="0" r="0" b="0"/>
                <wp:docPr id="1" name="Рисунок 1" descr="http://7-veter.ru/pis-site/LR12_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7-veter.ru/pis-site/LR12_clip_image00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01570" cy="276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9.10pt;height:217.9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 - В дереве объектов конфигурации выделим ветвь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Подсистемы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вызовем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подсистемы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В открывшемся окне выделим подсистему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Бухгалтерия; 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группе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Панель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навигации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.О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бычное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включи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видимость у команды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Продажи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мышью перетащим ее в группу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Панель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навигации.См.также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Аналогично, выделив подсистемы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ОказаниеУслуг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УчетМатериалов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в панели навигации включим видимость у команды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Продажи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перенесем ее в группу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акже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Проведение документа «Оказание услуги» по трем регистрам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Изменим процедуру проведения документа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затем в режиме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1С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редприятие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перепровед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все эти документы.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 режиме Конфигуратор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Откроем окно редактирования объекта конфигурации Документ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 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укажем, что этот документ будет создавать движения еще и по регистру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Продажи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- На закладке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Прочее: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нажмем кнопку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Модуль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объекта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затем откроем процедуру обработчика события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ОбработкаПроведения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изменим код следующим образом (см.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Процедура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ОбработкаПроведени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Отказ, Режим)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   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.О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статкиМатериалов.Записывать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Истина;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Движения.СтоимостьМатериалов.Записывать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Истина;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Движения.Продажи.Записывать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Истина;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 Для Каждого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Из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ПереченьНоменклатуры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Цикл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Если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.Н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оменклатура.ВидНоменклатуры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Перечисления.ВидыНоменклатуры.Материал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Тогда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    //регистр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ОстаткиМатериалов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Расход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   Движение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.О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статкиМатериалов.Добавить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();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         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Движение.ВидДвижения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ВидДвиженияНакопления.Расход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Движение.Период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Дата;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Движение.Материал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ТекСтрокаПереченьНоменклатуры.Номенклатура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Движение.Склад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=Склад;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Движение.Количество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ТекСтрокаПереченьНоменклатуры.Количество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  //регистр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СтоимостьМатериалов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Расход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            Движение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.С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тоимостьМатериалов.Добавить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();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           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Движение.ВидДвижения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ВидДвиженияНакопления.Расход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 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Движение.Период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Дата;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Движение.Материал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ТекСтрокаПереченьНоменклатуры.Номенклатура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Движение.Стоимость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=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ТекСтрокаПереченьНоменклатуры.Количество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*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ТекСтрокаПереченьНоменклатуры.Стоимость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КонецЕсли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 //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РегистрПродажи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    Движение =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Движения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.П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родажи.Добавить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();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Движение.Период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Дата;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Движение.Номенклатура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ТекСтрокаПереченьНоменклатуры.Номенклатура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Движение.Клиент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Клиент;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Движение.Мастер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– Мастер;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Движение.Количество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ТекСтрокаПереченьНоменклатуры.Количество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Движение.Выручка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ТекСтрокаПереченьНоменклатуры.Сумма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  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Движение.Стоимость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ТекСтрокаПереченьНоменклатуры.Стоимость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*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ТекСтрокаПереченьНоменклатуры.Количество</w:t>
      </w:r>
      <w:r>
        <w:rPr>
          <w:rFonts w:ascii="Times New Roman" w:hAnsi="Times New Roman" w:eastAsia="Times New Roman" w:cs="Times New Roman"/>
          <w:b/>
          <w:bCs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КонецЦикла</w:t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br/>
      </w:r>
      <w:r>
        <w:rPr>
          <w:rFonts w:ascii="Times New Roman" w:hAnsi="Times New Roman" w:eastAsia="Times New Roman" w:cs="Times New Roman"/>
          <w:iCs/>
          <w:sz w:val="20"/>
          <w:szCs w:val="20"/>
          <w:lang w:eastAsia="ru-RU"/>
        </w:rPr>
        <w:t xml:space="preserve">КонецПроцедуры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Отредактируем командный интерфейс формы документа, чтобы в панели навигации формы иметь возможность переходить к списку записей регистра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Продажи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связанному с документом: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 - Откроем форму документа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перейдем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закладку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Командный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интерфейс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раскроем группу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ерейти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увидим команду для открытия регистра накопления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Продажи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Установим свойство Видимость для этой команды.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36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 режиме 1С: Предприятие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режиме 1С: Предприятие 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перепровед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все документы для этого запустим 1С: Предприятие в режиме отладки и откроем по очереди каждый документ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Оказание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услуги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 w:clear="all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Контрольные вопросы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Что такое оборотный регистр накопления.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В чем отличие между регистром накопления остатков и оборотным регистром накопления.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Как выбирать реквизиты и измерения при создании регистров накопления.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Как создать оборотный регистр накопления.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:lang w:eastAsia="ru-RU"/>
        </w:rPr>
        <w:t xml:space="preserve">Тест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1. Какие виды регистров накопления используются в 1С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редприятие?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a) регистры материалов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b) регистры оборотов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c) регистры оборотов и регистры остатков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d) регистры объектов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2. В чем отличие между регистром накопления остатков и оборотным регистром накопления?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a) Регистр остатков накапливает остатки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b) Оборотный регистр накапливает только обороты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c) Регистр остатков накапливает реквизиты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d) Оборотный регистр не накапливает остатки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3. Какие данные можно назначить в качестве измерений оборотного регистра накопления?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a) Любые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b) Только табличную часть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c) Только растр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d) Только информацию об атрибутах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4. По реквизитам регистра ресурсы могут: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a) Только приходоваться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b) Приходоваться и расходоваться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c) Только расходоваться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d) Только приходоваться или только расходоваться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5. Для какого регистра накопления нужно установить свойство «Видимость»?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a) Продажи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b) Счета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c) Доходы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outlineLvl w:val="2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d) Справочник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choolBook">
    <w:panose1 w:val="05050102010205020202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9"/>
    <w:next w:val="62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9"/>
    <w:next w:val="62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9"/>
    <w:next w:val="62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9"/>
    <w:next w:val="62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9"/>
    <w:next w:val="62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0"/>
    <w:link w:val="34"/>
    <w:uiPriority w:val="10"/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9"/>
    <w:next w:val="6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9"/>
    <w:next w:val="629"/>
    <w:uiPriority w:val="99"/>
    <w:unhideWhenUsed/>
    <w:pPr>
      <w:spacing w:after="0" w:afterAutospacing="0"/>
    </w:pPr>
  </w:style>
  <w:style w:type="paragraph" w:styleId="629" w:default="1">
    <w:name w:val="Normal"/>
    <w:qFormat/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paragraph" w:styleId="633">
    <w:name w:val="Balloon Text"/>
    <w:basedOn w:val="629"/>
    <w:link w:val="63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34" w:customStyle="1">
    <w:name w:val="Текст выноски Знак"/>
    <w:basedOn w:val="630"/>
    <w:link w:val="633"/>
    <w:uiPriority w:val="99"/>
    <w:semiHidden/>
    <w:rPr>
      <w:rFonts w:ascii="Tahoma" w:hAnsi="Tahoma" w:cs="Tahoma"/>
      <w:sz w:val="16"/>
      <w:szCs w:val="16"/>
    </w:rPr>
  </w:style>
  <w:style w:type="paragraph" w:styleId="635" w:customStyle="1">
    <w:name w:val="Текст документа"/>
    <w:basedOn w:val="629"/>
    <w:link w:val="636"/>
    <w:qFormat/>
    <w:pPr>
      <w:ind w:firstLine="709"/>
      <w:jc w:val="both"/>
      <w:spacing w:after="0"/>
    </w:pPr>
    <w:rPr>
      <w:rFonts w:ascii="SchoolBook" w:hAnsi="SchoolBook" w:eastAsiaTheme="minorEastAsia"/>
      <w:sz w:val="28"/>
      <w:szCs w:val="28"/>
      <w:lang w:eastAsia="ru-RU"/>
    </w:rPr>
  </w:style>
  <w:style w:type="character" w:styleId="636" w:customStyle="1">
    <w:name w:val="Текст документа Знак"/>
    <w:basedOn w:val="630"/>
    <w:link w:val="635"/>
    <w:rPr>
      <w:rFonts w:ascii="SchoolBook" w:hAnsi="SchoolBook" w:eastAsiaTheme="minorEastAsia"/>
      <w:sz w:val="28"/>
      <w:szCs w:val="28"/>
      <w:lang w:eastAsia="ru-RU"/>
    </w:rPr>
  </w:style>
  <w:style w:type="paragraph" w:styleId="637" w:customStyle="1">
    <w:name w:val="Нумерация"/>
    <w:basedOn w:val="640"/>
    <w:link w:val="638"/>
    <w:qFormat/>
    <w:pPr>
      <w:ind w:left="0"/>
      <w:jc w:val="both"/>
      <w:spacing w:after="0"/>
    </w:pPr>
    <w:rPr>
      <w:rFonts w:ascii="SchoolBook" w:hAnsi="SchoolBook" w:eastAsiaTheme="minorEastAsia"/>
      <w:sz w:val="28"/>
      <w:lang w:eastAsia="ru-RU"/>
    </w:rPr>
  </w:style>
  <w:style w:type="character" w:styleId="638" w:customStyle="1">
    <w:name w:val="Нумерация Знак"/>
    <w:basedOn w:val="630"/>
    <w:link w:val="637"/>
    <w:rPr>
      <w:rFonts w:ascii="SchoolBook" w:hAnsi="SchoolBook" w:eastAsiaTheme="minorEastAsia"/>
      <w:sz w:val="28"/>
      <w:lang w:eastAsia="ru-RU"/>
    </w:rPr>
  </w:style>
  <w:style w:type="character" w:styleId="639">
    <w:name w:val="Strong"/>
    <w:basedOn w:val="630"/>
    <w:rPr>
      <w:b/>
      <w:bCs/>
    </w:rPr>
  </w:style>
  <w:style w:type="paragraph" w:styleId="640">
    <w:name w:val="List Paragraph"/>
    <w:basedOn w:val="62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6</cp:revision>
  <dcterms:created xsi:type="dcterms:W3CDTF">2015-10-16T20:22:00Z</dcterms:created>
  <dcterms:modified xsi:type="dcterms:W3CDTF">2025-03-05T05:56:16Z</dcterms:modified>
</cp:coreProperties>
</file>