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280E5" w14:textId="77777777" w:rsidR="008A6077" w:rsidRPr="005656E4" w:rsidRDefault="00053E25" w:rsidP="00053E25">
      <w:pPr>
        <w:spacing w:line="240" w:lineRule="auto"/>
      </w:pPr>
      <w:r w:rsidRPr="005656E4">
        <w:t>Joshua Krasnogorov</w:t>
      </w:r>
    </w:p>
    <w:p w14:paraId="2E990909" w14:textId="77777777" w:rsidR="008A6077" w:rsidRPr="005656E4" w:rsidRDefault="00053E25" w:rsidP="00053E25">
      <w:pPr>
        <w:spacing w:line="240" w:lineRule="auto"/>
      </w:pPr>
      <w:r w:rsidRPr="005656E4">
        <w:t>Martin Cenek</w:t>
      </w:r>
    </w:p>
    <w:p w14:paraId="7AB2FA8A" w14:textId="77777777" w:rsidR="008A6077" w:rsidRPr="005656E4" w:rsidRDefault="00053E25" w:rsidP="00053E25">
      <w:pPr>
        <w:spacing w:line="240" w:lineRule="auto"/>
      </w:pPr>
      <w:r w:rsidRPr="005656E4">
        <w:t>CS-429</w:t>
      </w:r>
    </w:p>
    <w:p w14:paraId="559D7051" w14:textId="18BD93CE" w:rsidR="00053E25" w:rsidRPr="005656E4" w:rsidRDefault="00061216" w:rsidP="00053E25">
      <w:pPr>
        <w:spacing w:line="240" w:lineRule="auto"/>
      </w:pPr>
      <w:r>
        <w:t>6 April</w:t>
      </w:r>
      <w:r w:rsidR="00EE31D3" w:rsidRPr="005656E4">
        <w:t xml:space="preserve"> 2025</w:t>
      </w:r>
    </w:p>
    <w:p w14:paraId="6853E239" w14:textId="17A105D9" w:rsidR="00B76BFF" w:rsidRDefault="000E5977" w:rsidP="00126A1B">
      <w:pPr>
        <w:spacing w:line="240" w:lineRule="auto"/>
        <w:jc w:val="center"/>
      </w:pPr>
      <w:r w:rsidRPr="005656E4">
        <w:t xml:space="preserve">Assignment </w:t>
      </w:r>
      <w:r w:rsidR="00126A1B" w:rsidRPr="005656E4">
        <w:t>6 Write-Up</w:t>
      </w:r>
    </w:p>
    <w:p w14:paraId="0FD425DF" w14:textId="76935F0F" w:rsidR="00393988" w:rsidRDefault="008A6077" w:rsidP="002A46A2">
      <w:pPr>
        <w:spacing w:line="240" w:lineRule="auto"/>
        <w:ind w:firstLine="720"/>
      </w:pPr>
      <w:r w:rsidRPr="005656E4">
        <w:t xml:space="preserve">The “spam assassin” feature vector performs phenomenally well considering the </w:t>
      </w:r>
      <w:r w:rsidR="000E4810" w:rsidRPr="005656E4">
        <w:t xml:space="preserve">limited number of vectors.  </w:t>
      </w:r>
      <w:r w:rsidR="00F51038" w:rsidRPr="005656E4">
        <w:t>With a batch of just 100 emails, it was able to correctly identify 8</w:t>
      </w:r>
      <w:r w:rsidR="00831E83" w:rsidRPr="005656E4">
        <w:t>7.9</w:t>
      </w:r>
      <w:r w:rsidR="00F51038" w:rsidRPr="005656E4">
        <w:t>% of spam emails. That number went up to 96.3%</w:t>
      </w:r>
      <w:r w:rsidR="005656E4">
        <w:t xml:space="preserve"> </w:t>
      </w:r>
      <w:r w:rsidR="00393988">
        <w:t>with a training set of 12,400</w:t>
      </w:r>
      <w:r w:rsidR="005656E4">
        <w:t>.</w:t>
      </w:r>
      <w:r w:rsidR="00393988">
        <w:t xml:space="preserve"> Considering the</w:t>
      </w:r>
      <w:r w:rsidR="00D44793">
        <w:t xml:space="preserve"> virtually infinite dataset we have access to</w:t>
      </w:r>
      <w:r w:rsidR="0003788C">
        <w:t xml:space="preserve"> </w:t>
      </w:r>
      <w:r w:rsidR="00393988">
        <w:t>it’s no surprise that current spam filters are incredibly reliable</w:t>
      </w:r>
      <w:r w:rsidR="005A11A2">
        <w:t>. Since increasing the partition size by 100 wouldn’t lead to me approaching the 12400/3100 split, I used the np.linspace tool to create equal partitions from 100 to 12400.</w:t>
      </w:r>
      <w:r w:rsidR="00C6629D">
        <w:t xml:space="preserve"> </w:t>
      </w:r>
    </w:p>
    <w:p w14:paraId="4C03A394" w14:textId="77777777" w:rsidR="005A11A2" w:rsidRDefault="005A11A2" w:rsidP="005A11A2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5A11A2" w14:paraId="6BBD646E" w14:textId="77777777" w:rsidTr="005A11A2">
        <w:tc>
          <w:tcPr>
            <w:tcW w:w="2697" w:type="dxa"/>
          </w:tcPr>
          <w:p w14:paraId="54C0D82F" w14:textId="3C8D94D5" w:rsidR="005A11A2" w:rsidRDefault="005A11A2" w:rsidP="00742FB6">
            <w:pPr>
              <w:jc w:val="center"/>
            </w:pPr>
            <w:r>
              <w:t>train size</w:t>
            </w:r>
          </w:p>
        </w:tc>
        <w:tc>
          <w:tcPr>
            <w:tcW w:w="2697" w:type="dxa"/>
          </w:tcPr>
          <w:p w14:paraId="05327797" w14:textId="23B0DFE9" w:rsidR="005A11A2" w:rsidRDefault="005A11A2" w:rsidP="00742FB6">
            <w:pPr>
              <w:jc w:val="center"/>
            </w:pPr>
            <w:r>
              <w:t>precision</w:t>
            </w:r>
          </w:p>
        </w:tc>
        <w:tc>
          <w:tcPr>
            <w:tcW w:w="2698" w:type="dxa"/>
          </w:tcPr>
          <w:p w14:paraId="7C22A0A3" w14:textId="0A5FBA6E" w:rsidR="005A11A2" w:rsidRDefault="005A11A2" w:rsidP="00742FB6">
            <w:pPr>
              <w:jc w:val="center"/>
            </w:pPr>
            <w:r>
              <w:t>recall</w:t>
            </w:r>
          </w:p>
        </w:tc>
        <w:tc>
          <w:tcPr>
            <w:tcW w:w="2698" w:type="dxa"/>
          </w:tcPr>
          <w:p w14:paraId="577983AD" w14:textId="3FCF46ED" w:rsidR="005A11A2" w:rsidRDefault="005A11A2" w:rsidP="00742FB6">
            <w:pPr>
              <w:jc w:val="center"/>
            </w:pPr>
            <w:r>
              <w:t>accuracy</w:t>
            </w:r>
          </w:p>
        </w:tc>
      </w:tr>
      <w:tr w:rsidR="005A11A2" w14:paraId="0B8DCF46" w14:textId="77777777" w:rsidTr="005A11A2">
        <w:tc>
          <w:tcPr>
            <w:tcW w:w="2697" w:type="dxa"/>
          </w:tcPr>
          <w:p w14:paraId="55191914" w14:textId="606D1BD2" w:rsidR="005A11A2" w:rsidRDefault="005A11A2" w:rsidP="00742FB6">
            <w:pPr>
              <w:jc w:val="center"/>
            </w:pPr>
            <w:r w:rsidRPr="005A11A2">
              <w:t>100</w:t>
            </w:r>
          </w:p>
        </w:tc>
        <w:tc>
          <w:tcPr>
            <w:tcW w:w="2697" w:type="dxa"/>
          </w:tcPr>
          <w:p w14:paraId="3EE407A8" w14:textId="3A7A92F5" w:rsidR="005A11A2" w:rsidRDefault="005A11A2" w:rsidP="00742FB6">
            <w:pPr>
              <w:jc w:val="center"/>
            </w:pPr>
            <w:r>
              <w:t>0.9941</w:t>
            </w:r>
          </w:p>
        </w:tc>
        <w:tc>
          <w:tcPr>
            <w:tcW w:w="2698" w:type="dxa"/>
          </w:tcPr>
          <w:p w14:paraId="4D068761" w14:textId="394CD242" w:rsidR="005A11A2" w:rsidRDefault="005A11A2" w:rsidP="00742FB6">
            <w:pPr>
              <w:jc w:val="center"/>
            </w:pPr>
            <w:r>
              <w:t>0.8790</w:t>
            </w:r>
          </w:p>
        </w:tc>
        <w:tc>
          <w:tcPr>
            <w:tcW w:w="2698" w:type="dxa"/>
          </w:tcPr>
          <w:p w14:paraId="0E847BCB" w14:textId="0A1F2199" w:rsidR="005A11A2" w:rsidRDefault="005A11A2" w:rsidP="00742FB6">
            <w:pPr>
              <w:jc w:val="center"/>
            </w:pPr>
            <w:r>
              <w:t>0.9454</w:t>
            </w:r>
          </w:p>
        </w:tc>
      </w:tr>
      <w:tr w:rsidR="005A11A2" w14:paraId="33060D2A" w14:textId="77777777" w:rsidTr="005A11A2">
        <w:tc>
          <w:tcPr>
            <w:tcW w:w="2697" w:type="dxa"/>
          </w:tcPr>
          <w:p w14:paraId="4C6B6477" w14:textId="219B11C5" w:rsidR="005A11A2" w:rsidRDefault="005A11A2" w:rsidP="00742FB6">
            <w:pPr>
              <w:jc w:val="center"/>
            </w:pPr>
            <w:r>
              <w:t>1394</w:t>
            </w:r>
          </w:p>
        </w:tc>
        <w:tc>
          <w:tcPr>
            <w:tcW w:w="2697" w:type="dxa"/>
          </w:tcPr>
          <w:p w14:paraId="4EF9FDF9" w14:textId="2CDBAA2B" w:rsidR="005A11A2" w:rsidRDefault="00742FB6" w:rsidP="00742FB6">
            <w:pPr>
              <w:jc w:val="center"/>
            </w:pPr>
            <w:r>
              <w:t>0.9881</w:t>
            </w:r>
          </w:p>
        </w:tc>
        <w:tc>
          <w:tcPr>
            <w:tcW w:w="2698" w:type="dxa"/>
          </w:tcPr>
          <w:p w14:paraId="67912401" w14:textId="6A792FFA" w:rsidR="005A11A2" w:rsidRDefault="00742FB6" w:rsidP="00742FB6">
            <w:pPr>
              <w:jc w:val="center"/>
            </w:pPr>
            <w:r>
              <w:t>0.9521</w:t>
            </w:r>
          </w:p>
        </w:tc>
        <w:tc>
          <w:tcPr>
            <w:tcW w:w="2698" w:type="dxa"/>
          </w:tcPr>
          <w:p w14:paraId="461F1F71" w14:textId="754B9C5D" w:rsidR="005A11A2" w:rsidRDefault="00742FB6" w:rsidP="00742FB6">
            <w:pPr>
              <w:jc w:val="center"/>
            </w:pPr>
            <w:r>
              <w:t>0.9747</w:t>
            </w:r>
          </w:p>
        </w:tc>
      </w:tr>
      <w:tr w:rsidR="005A11A2" w14:paraId="3C00FDC6" w14:textId="77777777" w:rsidTr="005A11A2">
        <w:tc>
          <w:tcPr>
            <w:tcW w:w="2697" w:type="dxa"/>
          </w:tcPr>
          <w:p w14:paraId="5272EF7F" w14:textId="2B837C63" w:rsidR="005A11A2" w:rsidRDefault="005A11A2" w:rsidP="00742FB6">
            <w:pPr>
              <w:jc w:val="center"/>
            </w:pPr>
            <w:r>
              <w:t>2689</w:t>
            </w:r>
          </w:p>
        </w:tc>
        <w:tc>
          <w:tcPr>
            <w:tcW w:w="2697" w:type="dxa"/>
          </w:tcPr>
          <w:p w14:paraId="1E5AAC96" w14:textId="31E80FA7" w:rsidR="005A11A2" w:rsidRDefault="00742FB6" w:rsidP="00742FB6">
            <w:pPr>
              <w:jc w:val="center"/>
            </w:pPr>
            <w:r>
              <w:t>0.9840</w:t>
            </w:r>
          </w:p>
        </w:tc>
        <w:tc>
          <w:tcPr>
            <w:tcW w:w="2698" w:type="dxa"/>
          </w:tcPr>
          <w:p w14:paraId="179BBAFB" w14:textId="62D825FE" w:rsidR="005A11A2" w:rsidRDefault="00742FB6" w:rsidP="00742FB6">
            <w:pPr>
              <w:jc w:val="center"/>
            </w:pPr>
            <w:r w:rsidRPr="00742FB6">
              <w:t>0.9607</w:t>
            </w:r>
          </w:p>
        </w:tc>
        <w:tc>
          <w:tcPr>
            <w:tcW w:w="2698" w:type="dxa"/>
          </w:tcPr>
          <w:p w14:paraId="4C60E368" w14:textId="4DA155B6" w:rsidR="005A11A2" w:rsidRDefault="00742FB6" w:rsidP="00742FB6">
            <w:pPr>
              <w:jc w:val="center"/>
            </w:pPr>
            <w:r w:rsidRPr="00742FB6">
              <w:t>0.9770</w:t>
            </w:r>
          </w:p>
        </w:tc>
      </w:tr>
      <w:tr w:rsidR="005A11A2" w14:paraId="12E02738" w14:textId="77777777" w:rsidTr="005A11A2">
        <w:tc>
          <w:tcPr>
            <w:tcW w:w="2697" w:type="dxa"/>
          </w:tcPr>
          <w:p w14:paraId="160EFC4C" w14:textId="1D2B61E5" w:rsidR="005A11A2" w:rsidRDefault="005A11A2" w:rsidP="00742FB6">
            <w:pPr>
              <w:jc w:val="center"/>
            </w:pPr>
            <w:r>
              <w:t>3984</w:t>
            </w:r>
          </w:p>
        </w:tc>
        <w:tc>
          <w:tcPr>
            <w:tcW w:w="2697" w:type="dxa"/>
          </w:tcPr>
          <w:p w14:paraId="57F1AD80" w14:textId="671E3E92" w:rsidR="005A11A2" w:rsidRDefault="00742FB6" w:rsidP="00742FB6">
            <w:pPr>
              <w:jc w:val="center"/>
            </w:pPr>
            <w:r w:rsidRPr="00742FB6">
              <w:t>0.9867</w:t>
            </w:r>
          </w:p>
        </w:tc>
        <w:tc>
          <w:tcPr>
            <w:tcW w:w="2698" w:type="dxa"/>
          </w:tcPr>
          <w:p w14:paraId="6D99E2AF" w14:textId="1F04273A" w:rsidR="005A11A2" w:rsidRDefault="00742FB6" w:rsidP="00742FB6">
            <w:pPr>
              <w:jc w:val="center"/>
            </w:pPr>
            <w:r w:rsidRPr="00742FB6">
              <w:t>0.9623</w:t>
            </w:r>
          </w:p>
        </w:tc>
        <w:tc>
          <w:tcPr>
            <w:tcW w:w="2698" w:type="dxa"/>
          </w:tcPr>
          <w:p w14:paraId="439A55F3" w14:textId="0A2A2043" w:rsidR="005A11A2" w:rsidRDefault="00742FB6" w:rsidP="00742FB6">
            <w:pPr>
              <w:jc w:val="center"/>
            </w:pPr>
            <w:r w:rsidRPr="00742FB6">
              <w:t>0.9792</w:t>
            </w:r>
          </w:p>
        </w:tc>
      </w:tr>
      <w:tr w:rsidR="005A11A2" w14:paraId="0B07420B" w14:textId="77777777" w:rsidTr="005A11A2">
        <w:tc>
          <w:tcPr>
            <w:tcW w:w="2697" w:type="dxa"/>
          </w:tcPr>
          <w:p w14:paraId="35B3AB29" w14:textId="22B8572B" w:rsidR="005A11A2" w:rsidRDefault="005A11A2" w:rsidP="00742FB6">
            <w:pPr>
              <w:jc w:val="center"/>
            </w:pPr>
            <w:r>
              <w:t>5278</w:t>
            </w:r>
          </w:p>
        </w:tc>
        <w:tc>
          <w:tcPr>
            <w:tcW w:w="2697" w:type="dxa"/>
          </w:tcPr>
          <w:p w14:paraId="48BA0CA6" w14:textId="6E9EE127" w:rsidR="005A11A2" w:rsidRDefault="00742FB6" w:rsidP="00742FB6">
            <w:pPr>
              <w:jc w:val="center"/>
            </w:pPr>
            <w:r w:rsidRPr="00742FB6">
              <w:t>0.9849</w:t>
            </w:r>
          </w:p>
        </w:tc>
        <w:tc>
          <w:tcPr>
            <w:tcW w:w="2698" w:type="dxa"/>
          </w:tcPr>
          <w:p w14:paraId="24842475" w14:textId="5E3B3923" w:rsidR="005A11A2" w:rsidRDefault="00742FB6" w:rsidP="00742FB6">
            <w:pPr>
              <w:jc w:val="center"/>
            </w:pPr>
            <w:r w:rsidRPr="00742FB6">
              <w:t>0.9612</w:t>
            </w:r>
          </w:p>
        </w:tc>
        <w:tc>
          <w:tcPr>
            <w:tcW w:w="2698" w:type="dxa"/>
          </w:tcPr>
          <w:p w14:paraId="7C776269" w14:textId="05F52B68" w:rsidR="005A11A2" w:rsidRDefault="00742FB6" w:rsidP="00742FB6">
            <w:pPr>
              <w:jc w:val="center"/>
            </w:pPr>
            <w:r w:rsidRPr="00742FB6">
              <w:t>0.9787</w:t>
            </w:r>
          </w:p>
        </w:tc>
      </w:tr>
      <w:tr w:rsidR="005A11A2" w14:paraId="3FDDE14C" w14:textId="77777777" w:rsidTr="005A11A2">
        <w:tc>
          <w:tcPr>
            <w:tcW w:w="2697" w:type="dxa"/>
          </w:tcPr>
          <w:p w14:paraId="1BCD6DC2" w14:textId="45E0401B" w:rsidR="005A11A2" w:rsidRDefault="005A11A2" w:rsidP="00742FB6">
            <w:pPr>
              <w:jc w:val="center"/>
            </w:pPr>
            <w:r>
              <w:t>6573</w:t>
            </w:r>
          </w:p>
        </w:tc>
        <w:tc>
          <w:tcPr>
            <w:tcW w:w="2697" w:type="dxa"/>
          </w:tcPr>
          <w:p w14:paraId="32F85D15" w14:textId="2F13B1CF" w:rsidR="005A11A2" w:rsidRDefault="00742FB6" w:rsidP="00742FB6">
            <w:pPr>
              <w:jc w:val="center"/>
            </w:pPr>
            <w:r w:rsidRPr="00742FB6">
              <w:t>0.9824</w:t>
            </w:r>
          </w:p>
        </w:tc>
        <w:tc>
          <w:tcPr>
            <w:tcW w:w="2698" w:type="dxa"/>
          </w:tcPr>
          <w:p w14:paraId="7D17AB8B" w14:textId="393FE936" w:rsidR="005A11A2" w:rsidRDefault="00742FB6" w:rsidP="00742FB6">
            <w:pPr>
              <w:jc w:val="center"/>
            </w:pPr>
            <w:r w:rsidRPr="00742FB6">
              <w:t>0.9824</w:t>
            </w:r>
          </w:p>
        </w:tc>
        <w:tc>
          <w:tcPr>
            <w:tcW w:w="2698" w:type="dxa"/>
          </w:tcPr>
          <w:p w14:paraId="101CE730" w14:textId="60B11332" w:rsidR="005A11A2" w:rsidRDefault="00742FB6" w:rsidP="00742FB6">
            <w:pPr>
              <w:jc w:val="center"/>
            </w:pPr>
            <w:r w:rsidRPr="00742FB6">
              <w:t>0.9778</w:t>
            </w:r>
          </w:p>
        </w:tc>
      </w:tr>
      <w:tr w:rsidR="005A11A2" w14:paraId="089F184F" w14:textId="77777777" w:rsidTr="005A11A2">
        <w:tc>
          <w:tcPr>
            <w:tcW w:w="2697" w:type="dxa"/>
          </w:tcPr>
          <w:p w14:paraId="3A1DEAEF" w14:textId="70EB97B1" w:rsidR="005A11A2" w:rsidRDefault="005A11A2" w:rsidP="00742FB6">
            <w:pPr>
              <w:jc w:val="center"/>
            </w:pPr>
            <w:r>
              <w:t>7868</w:t>
            </w:r>
          </w:p>
        </w:tc>
        <w:tc>
          <w:tcPr>
            <w:tcW w:w="2697" w:type="dxa"/>
          </w:tcPr>
          <w:p w14:paraId="28CA99EF" w14:textId="5245EDE0" w:rsidR="005A11A2" w:rsidRDefault="00742FB6" w:rsidP="00742FB6">
            <w:pPr>
              <w:jc w:val="center"/>
            </w:pPr>
            <w:r w:rsidRPr="00742FB6">
              <w:t>0.9840</w:t>
            </w:r>
          </w:p>
        </w:tc>
        <w:tc>
          <w:tcPr>
            <w:tcW w:w="2698" w:type="dxa"/>
          </w:tcPr>
          <w:p w14:paraId="7F8027C2" w14:textId="106E7F1F" w:rsidR="005A11A2" w:rsidRDefault="00742FB6" w:rsidP="00742FB6">
            <w:pPr>
              <w:jc w:val="center"/>
            </w:pPr>
            <w:r w:rsidRPr="00742FB6">
              <w:t>0.9840</w:t>
            </w:r>
          </w:p>
        </w:tc>
        <w:tc>
          <w:tcPr>
            <w:tcW w:w="2698" w:type="dxa"/>
          </w:tcPr>
          <w:p w14:paraId="728237AF" w14:textId="1174709C" w:rsidR="005A11A2" w:rsidRDefault="00742FB6" w:rsidP="00742FB6">
            <w:pPr>
              <w:jc w:val="center"/>
            </w:pPr>
            <w:r w:rsidRPr="00742FB6">
              <w:t>0.9777</w:t>
            </w:r>
          </w:p>
        </w:tc>
      </w:tr>
      <w:tr w:rsidR="005A11A2" w14:paraId="721A82DB" w14:textId="77777777" w:rsidTr="005A11A2">
        <w:tc>
          <w:tcPr>
            <w:tcW w:w="2697" w:type="dxa"/>
          </w:tcPr>
          <w:p w14:paraId="38997C28" w14:textId="3AF351C4" w:rsidR="005A11A2" w:rsidRDefault="005A11A2" w:rsidP="00742FB6">
            <w:pPr>
              <w:jc w:val="center"/>
            </w:pPr>
            <w:r>
              <w:t>9163</w:t>
            </w:r>
          </w:p>
        </w:tc>
        <w:tc>
          <w:tcPr>
            <w:tcW w:w="2697" w:type="dxa"/>
          </w:tcPr>
          <w:p w14:paraId="733CE7E4" w14:textId="4C326F44" w:rsidR="005A11A2" w:rsidRDefault="00742FB6" w:rsidP="00742FB6">
            <w:pPr>
              <w:jc w:val="center"/>
            </w:pPr>
            <w:r w:rsidRPr="00742FB6">
              <w:t>0.9812</w:t>
            </w:r>
          </w:p>
        </w:tc>
        <w:tc>
          <w:tcPr>
            <w:tcW w:w="2698" w:type="dxa"/>
          </w:tcPr>
          <w:p w14:paraId="0298FC1C" w14:textId="50050DB3" w:rsidR="005A11A2" w:rsidRDefault="00742FB6" w:rsidP="00742FB6">
            <w:pPr>
              <w:jc w:val="center"/>
            </w:pPr>
            <w:r w:rsidRPr="00742FB6">
              <w:t>0.9559</w:t>
            </w:r>
          </w:p>
        </w:tc>
        <w:tc>
          <w:tcPr>
            <w:tcW w:w="2698" w:type="dxa"/>
          </w:tcPr>
          <w:p w14:paraId="420C6F66" w14:textId="67617FA7" w:rsidR="005A11A2" w:rsidRDefault="00742FB6" w:rsidP="00742FB6">
            <w:pPr>
              <w:jc w:val="center"/>
            </w:pPr>
            <w:r w:rsidRPr="00742FB6">
              <w:t>0.9790</w:t>
            </w:r>
          </w:p>
        </w:tc>
      </w:tr>
      <w:tr w:rsidR="005A11A2" w14:paraId="612BFCA7" w14:textId="77777777" w:rsidTr="005A11A2">
        <w:tc>
          <w:tcPr>
            <w:tcW w:w="2697" w:type="dxa"/>
          </w:tcPr>
          <w:p w14:paraId="09F4AD46" w14:textId="235CB1ED" w:rsidR="005A11A2" w:rsidRDefault="005A11A2" w:rsidP="00742FB6">
            <w:pPr>
              <w:jc w:val="center"/>
            </w:pPr>
            <w:r>
              <w:t>10457</w:t>
            </w:r>
          </w:p>
        </w:tc>
        <w:tc>
          <w:tcPr>
            <w:tcW w:w="2697" w:type="dxa"/>
          </w:tcPr>
          <w:p w14:paraId="0AA81B71" w14:textId="522969AE" w:rsidR="005A11A2" w:rsidRDefault="00742FB6" w:rsidP="00742FB6">
            <w:pPr>
              <w:jc w:val="center"/>
            </w:pPr>
            <w:r w:rsidRPr="00742FB6">
              <w:t>0.9808</w:t>
            </w:r>
          </w:p>
        </w:tc>
        <w:tc>
          <w:tcPr>
            <w:tcW w:w="2698" w:type="dxa"/>
          </w:tcPr>
          <w:p w14:paraId="6E317CB0" w14:textId="3CF1DDB5" w:rsidR="005A11A2" w:rsidRDefault="00742FB6" w:rsidP="00742FB6">
            <w:pPr>
              <w:jc w:val="center"/>
            </w:pPr>
            <w:r w:rsidRPr="00742FB6">
              <w:t>0.9636</w:t>
            </w:r>
          </w:p>
        </w:tc>
        <w:tc>
          <w:tcPr>
            <w:tcW w:w="2698" w:type="dxa"/>
          </w:tcPr>
          <w:p w14:paraId="7B896671" w14:textId="0AA6AB4D" w:rsidR="005A11A2" w:rsidRDefault="00742FB6" w:rsidP="00742FB6">
            <w:pPr>
              <w:jc w:val="center"/>
            </w:pPr>
            <w:r w:rsidRPr="00742FB6">
              <w:t>0.9837</w:t>
            </w:r>
          </w:p>
        </w:tc>
      </w:tr>
      <w:tr w:rsidR="005A11A2" w14:paraId="7A2A97B7" w14:textId="77777777" w:rsidTr="005A11A2">
        <w:tc>
          <w:tcPr>
            <w:tcW w:w="2697" w:type="dxa"/>
          </w:tcPr>
          <w:p w14:paraId="643ABA14" w14:textId="0AB71767" w:rsidR="005A11A2" w:rsidRDefault="005A11A2" w:rsidP="00742FB6">
            <w:pPr>
              <w:jc w:val="center"/>
            </w:pPr>
            <w:r>
              <w:t>11752</w:t>
            </w:r>
          </w:p>
        </w:tc>
        <w:tc>
          <w:tcPr>
            <w:tcW w:w="2697" w:type="dxa"/>
          </w:tcPr>
          <w:p w14:paraId="3C0175AC" w14:textId="1C21FE84" w:rsidR="005A11A2" w:rsidRDefault="00742FB6" w:rsidP="00742FB6">
            <w:pPr>
              <w:jc w:val="center"/>
            </w:pPr>
            <w:r w:rsidRPr="00742FB6">
              <w:t>0.9618</w:t>
            </w:r>
          </w:p>
        </w:tc>
        <w:tc>
          <w:tcPr>
            <w:tcW w:w="2698" w:type="dxa"/>
          </w:tcPr>
          <w:p w14:paraId="1F0C0A3F" w14:textId="0B68AA2F" w:rsidR="005A11A2" w:rsidRDefault="00742FB6" w:rsidP="00742FB6">
            <w:pPr>
              <w:jc w:val="center"/>
            </w:pPr>
            <w:r w:rsidRPr="00742FB6">
              <w:t>0.9641</w:t>
            </w:r>
          </w:p>
        </w:tc>
        <w:tc>
          <w:tcPr>
            <w:tcW w:w="2698" w:type="dxa"/>
          </w:tcPr>
          <w:p w14:paraId="2BF1E6A8" w14:textId="0642284C" w:rsidR="005A11A2" w:rsidRDefault="00742FB6" w:rsidP="00742FB6">
            <w:pPr>
              <w:jc w:val="center"/>
            </w:pPr>
            <w:r w:rsidRPr="00742FB6">
              <w:t>0.9834</w:t>
            </w:r>
          </w:p>
        </w:tc>
      </w:tr>
      <w:tr w:rsidR="005A11A2" w14:paraId="644ADCA6" w14:textId="77777777" w:rsidTr="005A11A2">
        <w:tc>
          <w:tcPr>
            <w:tcW w:w="2697" w:type="dxa"/>
          </w:tcPr>
          <w:p w14:paraId="4B64CDA6" w14:textId="3DD99596" w:rsidR="005A11A2" w:rsidRDefault="005A11A2" w:rsidP="00742FB6">
            <w:pPr>
              <w:jc w:val="center"/>
            </w:pPr>
            <w:r>
              <w:t>12400</w:t>
            </w:r>
          </w:p>
        </w:tc>
        <w:tc>
          <w:tcPr>
            <w:tcW w:w="2697" w:type="dxa"/>
          </w:tcPr>
          <w:p w14:paraId="7532486C" w14:textId="6BF4BC67" w:rsidR="005A11A2" w:rsidRDefault="00742FB6" w:rsidP="00742FB6">
            <w:pPr>
              <w:jc w:val="center"/>
            </w:pPr>
            <w:r w:rsidRPr="00742FB6">
              <w:t>0.9536</w:t>
            </w:r>
          </w:p>
        </w:tc>
        <w:tc>
          <w:tcPr>
            <w:tcW w:w="2698" w:type="dxa"/>
          </w:tcPr>
          <w:p w14:paraId="25113F63" w14:textId="629DC0E9" w:rsidR="005A11A2" w:rsidRDefault="00742FB6" w:rsidP="00742FB6">
            <w:pPr>
              <w:jc w:val="center"/>
            </w:pPr>
            <w:r w:rsidRPr="00742FB6">
              <w:t>0.9629</w:t>
            </w:r>
          </w:p>
        </w:tc>
        <w:tc>
          <w:tcPr>
            <w:tcW w:w="2698" w:type="dxa"/>
          </w:tcPr>
          <w:p w14:paraId="21B97F06" w14:textId="55DA1735" w:rsidR="005A11A2" w:rsidRDefault="00742FB6" w:rsidP="00742FB6">
            <w:pPr>
              <w:jc w:val="center"/>
            </w:pPr>
            <w:r w:rsidRPr="00742FB6">
              <w:t>0.9861</w:t>
            </w:r>
          </w:p>
        </w:tc>
      </w:tr>
    </w:tbl>
    <w:p w14:paraId="2330E7F8" w14:textId="3B5840F3" w:rsidR="005A11A2" w:rsidRPr="00CC43DC" w:rsidRDefault="005A11A2" w:rsidP="005A11A2">
      <w:pPr>
        <w:spacing w:line="240" w:lineRule="auto"/>
        <w:rPr>
          <w:i/>
          <w:iCs/>
          <w:sz w:val="20"/>
          <w:szCs w:val="20"/>
        </w:rPr>
      </w:pPr>
      <w:r w:rsidRPr="00CC43DC">
        <w:rPr>
          <w:i/>
          <w:iCs/>
          <w:sz w:val="20"/>
          <w:szCs w:val="20"/>
        </w:rPr>
        <w:t xml:space="preserve">Only </w:t>
      </w:r>
      <w:r w:rsidR="00BD397E" w:rsidRPr="00CC43DC">
        <w:rPr>
          <w:i/>
          <w:iCs/>
          <w:sz w:val="20"/>
          <w:szCs w:val="20"/>
        </w:rPr>
        <w:t>the first</w:t>
      </w:r>
      <w:r w:rsidRPr="00CC43DC">
        <w:rPr>
          <w:i/>
          <w:iCs/>
          <w:sz w:val="20"/>
          <w:szCs w:val="20"/>
        </w:rPr>
        <w:t xml:space="preserve"> batch and every other batch after </w:t>
      </w:r>
      <w:r w:rsidR="00BD397E" w:rsidRPr="00CC43DC">
        <w:rPr>
          <w:i/>
          <w:iCs/>
          <w:sz w:val="20"/>
          <w:szCs w:val="20"/>
        </w:rPr>
        <w:t>(</w:t>
      </w:r>
      <w:r w:rsidRPr="00CC43DC">
        <w:rPr>
          <w:i/>
          <w:iCs/>
          <w:sz w:val="20"/>
          <w:szCs w:val="20"/>
        </w:rPr>
        <w:t>as well as</w:t>
      </w:r>
      <w:r w:rsidR="00BD397E" w:rsidRPr="00CC43DC">
        <w:rPr>
          <w:i/>
          <w:iCs/>
          <w:sz w:val="20"/>
          <w:szCs w:val="20"/>
        </w:rPr>
        <w:t xml:space="preserve"> the</w:t>
      </w:r>
      <w:r w:rsidRPr="00CC43DC">
        <w:rPr>
          <w:i/>
          <w:iCs/>
          <w:sz w:val="20"/>
          <w:szCs w:val="20"/>
        </w:rPr>
        <w:t xml:space="preserve"> last batch</w:t>
      </w:r>
      <w:r w:rsidR="00BD397E" w:rsidRPr="00CC43DC">
        <w:rPr>
          <w:i/>
          <w:iCs/>
          <w:sz w:val="20"/>
          <w:szCs w:val="20"/>
        </w:rPr>
        <w:t xml:space="preserve">) are </w:t>
      </w:r>
      <w:r w:rsidRPr="00CC43DC">
        <w:rPr>
          <w:i/>
          <w:iCs/>
          <w:sz w:val="20"/>
          <w:szCs w:val="20"/>
        </w:rPr>
        <w:t>recorded for brevity</w:t>
      </w:r>
    </w:p>
    <w:p w14:paraId="5DCB81E0" w14:textId="77777777" w:rsidR="00AB1630" w:rsidRDefault="00AB1630" w:rsidP="007D7FBD">
      <w:pPr>
        <w:spacing w:line="240" w:lineRule="auto"/>
      </w:pPr>
    </w:p>
    <w:p w14:paraId="0D686C8F" w14:textId="02164CF8" w:rsidR="003F70C5" w:rsidRPr="008A6077" w:rsidRDefault="000E4810" w:rsidP="007D7FBD">
      <w:pPr>
        <w:spacing w:line="240" w:lineRule="auto"/>
        <w:ind w:firstLine="72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67F082A" wp14:editId="4220B672">
            <wp:extent cx="6010275" cy="3005138"/>
            <wp:effectExtent l="0" t="0" r="0" b="5080"/>
            <wp:docPr id="64453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082" cy="300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70C5" w:rsidRPr="008A6077" w:rsidSect="00053E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B6E93"/>
    <w:multiLevelType w:val="hybridMultilevel"/>
    <w:tmpl w:val="A0DA404C"/>
    <w:lvl w:ilvl="0" w:tplc="05EC81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8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E2"/>
    <w:rsid w:val="0001138B"/>
    <w:rsid w:val="00035434"/>
    <w:rsid w:val="0003788C"/>
    <w:rsid w:val="0005262C"/>
    <w:rsid w:val="00053E25"/>
    <w:rsid w:val="00055DB5"/>
    <w:rsid w:val="00061216"/>
    <w:rsid w:val="00072D5C"/>
    <w:rsid w:val="000E4810"/>
    <w:rsid w:val="000E5977"/>
    <w:rsid w:val="000E678D"/>
    <w:rsid w:val="001062D8"/>
    <w:rsid w:val="00126A1B"/>
    <w:rsid w:val="0014195F"/>
    <w:rsid w:val="001619DA"/>
    <w:rsid w:val="001B47E2"/>
    <w:rsid w:val="001B582E"/>
    <w:rsid w:val="001C028A"/>
    <w:rsid w:val="0023011A"/>
    <w:rsid w:val="00243969"/>
    <w:rsid w:val="00245897"/>
    <w:rsid w:val="0026707F"/>
    <w:rsid w:val="00285476"/>
    <w:rsid w:val="002935B1"/>
    <w:rsid w:val="002A46A2"/>
    <w:rsid w:val="002F3417"/>
    <w:rsid w:val="002F42A2"/>
    <w:rsid w:val="00303A2F"/>
    <w:rsid w:val="00331856"/>
    <w:rsid w:val="003320D0"/>
    <w:rsid w:val="003415FA"/>
    <w:rsid w:val="0034169E"/>
    <w:rsid w:val="00393988"/>
    <w:rsid w:val="00396B80"/>
    <w:rsid w:val="003E522F"/>
    <w:rsid w:val="003F474D"/>
    <w:rsid w:val="003F4836"/>
    <w:rsid w:val="003F70C5"/>
    <w:rsid w:val="00420118"/>
    <w:rsid w:val="004244CA"/>
    <w:rsid w:val="00453AC5"/>
    <w:rsid w:val="00453CF0"/>
    <w:rsid w:val="004A39B4"/>
    <w:rsid w:val="004B7A6B"/>
    <w:rsid w:val="004C3AEA"/>
    <w:rsid w:val="005246DA"/>
    <w:rsid w:val="0052544B"/>
    <w:rsid w:val="00542877"/>
    <w:rsid w:val="005656E4"/>
    <w:rsid w:val="00577A7E"/>
    <w:rsid w:val="00585265"/>
    <w:rsid w:val="005870D6"/>
    <w:rsid w:val="005A11A2"/>
    <w:rsid w:val="005A6D00"/>
    <w:rsid w:val="005B4536"/>
    <w:rsid w:val="005D444A"/>
    <w:rsid w:val="006D276A"/>
    <w:rsid w:val="006D4949"/>
    <w:rsid w:val="006E71EC"/>
    <w:rsid w:val="006F08DE"/>
    <w:rsid w:val="007175BC"/>
    <w:rsid w:val="00724B30"/>
    <w:rsid w:val="00742FB6"/>
    <w:rsid w:val="0074614D"/>
    <w:rsid w:val="007567BE"/>
    <w:rsid w:val="00773D0E"/>
    <w:rsid w:val="00787D85"/>
    <w:rsid w:val="007D7FBD"/>
    <w:rsid w:val="00803FE8"/>
    <w:rsid w:val="00821E92"/>
    <w:rsid w:val="00831E83"/>
    <w:rsid w:val="0086391E"/>
    <w:rsid w:val="0088091A"/>
    <w:rsid w:val="008A6077"/>
    <w:rsid w:val="008E0C33"/>
    <w:rsid w:val="009544EB"/>
    <w:rsid w:val="00980E5E"/>
    <w:rsid w:val="009C03A4"/>
    <w:rsid w:val="009D5096"/>
    <w:rsid w:val="009F14EB"/>
    <w:rsid w:val="00A36197"/>
    <w:rsid w:val="00A90C1C"/>
    <w:rsid w:val="00A922CE"/>
    <w:rsid w:val="00AA5BBB"/>
    <w:rsid w:val="00AB1630"/>
    <w:rsid w:val="00AE3ACC"/>
    <w:rsid w:val="00AE70C5"/>
    <w:rsid w:val="00AF0F60"/>
    <w:rsid w:val="00B73E7E"/>
    <w:rsid w:val="00B76BFF"/>
    <w:rsid w:val="00BA71D9"/>
    <w:rsid w:val="00BD2EAF"/>
    <w:rsid w:val="00BD397E"/>
    <w:rsid w:val="00BF068E"/>
    <w:rsid w:val="00BF6DAE"/>
    <w:rsid w:val="00C6629D"/>
    <w:rsid w:val="00CC43DC"/>
    <w:rsid w:val="00D44793"/>
    <w:rsid w:val="00D52779"/>
    <w:rsid w:val="00D70C9A"/>
    <w:rsid w:val="00D838D7"/>
    <w:rsid w:val="00D854E8"/>
    <w:rsid w:val="00DA7F3B"/>
    <w:rsid w:val="00DE06E1"/>
    <w:rsid w:val="00DE5283"/>
    <w:rsid w:val="00E018EF"/>
    <w:rsid w:val="00E33D53"/>
    <w:rsid w:val="00EC5C42"/>
    <w:rsid w:val="00EE31D3"/>
    <w:rsid w:val="00F12510"/>
    <w:rsid w:val="00F51038"/>
    <w:rsid w:val="00F702A9"/>
    <w:rsid w:val="00F7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88E3"/>
  <w15:chartTrackingRefBased/>
  <w15:docId w15:val="{30598C27-011C-4141-B1CE-3152ABD8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7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1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Krasnogorov, Joshua</dc:creator>
  <cp:keywords/>
  <dc:description/>
  <cp:lastModifiedBy>Krasnogorov, Joshua</cp:lastModifiedBy>
  <cp:revision>108</cp:revision>
  <cp:lastPrinted>2025-03-25T00:51:00Z</cp:lastPrinted>
  <dcterms:created xsi:type="dcterms:W3CDTF">2025-03-20T17:59:00Z</dcterms:created>
  <dcterms:modified xsi:type="dcterms:W3CDTF">2025-03-25T00:56:00Z</dcterms:modified>
</cp:coreProperties>
</file>