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ПОЛИТИКА В ОТНОШЕНИИ ОБРАБОТКИ ПЕРСОНАЛЬНЫХ ДАННЫХ</w:t>
      </w:r>
    </w:p>
    <w:p>
      <w:pPr>
        <w:jc w:val="center"/>
      </w:pPr>
      <w:r>
        <w:rPr>
          <w:i/>
          <w:sz w:val="20"/>
        </w:rPr>
        <w:t>Рабочая редакция режима A</w:t>
      </w:r>
    </w:p>
    <w:p>
      <w:r>
        <w:t>Оператор текущего проекта: Романов Михаил Александрович. Контакт: m.romanov.biz@gmail.com. Сайт: poehali163.ru.</w:t>
      </w:r>
    </w:p>
    <w:p>
      <w:pPr>
        <w:pStyle w:val="Heading1"/>
      </w:pPr>
      <w:r>
        <w:t>1. Общие положения</w:t>
      </w:r>
    </w:p>
    <w:p>
      <w:r>
        <w:t>Оператор: Романов Михаил Александрович. Контакт: m.romanov.biz@gmail.com. Сайт: poehali163.ru. Публичный домашний адрес в текущей версии не раскрывается; при переходе к ИП/службе заказа реквизиты дополняются.</w:t>
      </w:r>
    </w:p>
    <w:p>
      <w:pPr>
        <w:pStyle w:val="Heading1"/>
      </w:pPr>
      <w:r>
        <w:t>2. Цели</w:t>
      </w:r>
    </w:p>
    <w:p>
      <w:pPr>
        <w:pStyle w:val="ListBullet"/>
      </w:pPr>
      <w:r>
        <w:t>регистрация и аутентификация через email/OTP;</w:t>
      </w:r>
    </w:p>
    <w:p>
      <w:pPr>
        <w:pStyle w:val="ListBullet"/>
      </w:pPr>
      <w:r>
        <w:t>создание аккаунта;</w:t>
      </w:r>
    </w:p>
    <w:p>
      <w:pPr>
        <w:pStyle w:val="ListBullet"/>
      </w:pPr>
      <w:r>
        <w:t>создание и исполнение заказов;</w:t>
      </w:r>
    </w:p>
    <w:p>
      <w:pPr>
        <w:pStyle w:val="ListBullet"/>
      </w:pPr>
      <w:r>
        <w:t>взаимодействие пассажира и водителя;</w:t>
      </w:r>
    </w:p>
    <w:p>
      <w:pPr>
        <w:pStyle w:val="ListBullet"/>
      </w:pPr>
      <w:r>
        <w:t>расчёт маршрута, времени и стоимости;</w:t>
      </w:r>
    </w:p>
    <w:p>
      <w:pPr>
        <w:pStyle w:val="ListBullet"/>
      </w:pPr>
      <w:r>
        <w:t>уведомления;</w:t>
      </w:r>
    </w:p>
    <w:p>
      <w:pPr>
        <w:pStyle w:val="ListBullet"/>
      </w:pPr>
      <w:r>
        <w:t>безопасность и предотвращение злоупотреблений;</w:t>
      </w:r>
    </w:p>
    <w:p>
      <w:pPr>
        <w:pStyle w:val="ListBullet"/>
      </w:pPr>
      <w:r>
        <w:t>обработка обращений;</w:t>
      </w:r>
    </w:p>
    <w:p>
      <w:pPr>
        <w:pStyle w:val="ListBullet"/>
      </w:pPr>
      <w:r>
        <w:t>исполнение законных обязанностей.</w:t>
      </w:r>
    </w:p>
    <w:p>
      <w:pPr>
        <w:pStyle w:val="Heading1"/>
      </w:pPr>
      <w:r>
        <w:t>3. Категории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shd w:fill="EDEDED"/>
          </w:tcPr>
          <w:p>
            <w:r>
              <w:t>Категория</w:t>
            </w:r>
          </w:p>
        </w:tc>
        <w:tc>
          <w:tcPr>
            <w:tcW w:type="dxa" w:w="3324"/>
            <w:shd w:fill="EDEDED"/>
          </w:tcPr>
          <w:p>
            <w:r>
              <w:t>Данные</w:t>
            </w:r>
          </w:p>
        </w:tc>
        <w:tc>
          <w:tcPr>
            <w:tcW w:type="dxa" w:w="3324"/>
            <w:shd w:fill="EDEDED"/>
          </w:tcPr>
          <w:p>
            <w:r>
              <w:t>Назначение</w:t>
            </w:r>
          </w:p>
        </w:tc>
      </w:tr>
      <w:tr>
        <w:tc>
          <w:tcPr>
            <w:tcW w:type="dxa" w:w="3324"/>
          </w:tcPr>
          <w:p>
            <w:r>
              <w:t>Аккаунт</w:t>
            </w:r>
          </w:p>
        </w:tc>
        <w:tc>
          <w:tcPr>
            <w:tcW w:type="dxa" w:w="3324"/>
          </w:tcPr>
          <w:p>
            <w:r>
              <w:t>имя, email, телефон, UserId</w:t>
            </w:r>
          </w:p>
        </w:tc>
        <w:tc>
          <w:tcPr>
            <w:tcW w:type="dxa" w:w="3324"/>
          </w:tcPr>
          <w:p>
            <w:r>
              <w:t>регистрация/связь</w:t>
            </w:r>
          </w:p>
        </w:tc>
      </w:tr>
      <w:tr>
        <w:tc>
          <w:tcPr>
            <w:tcW w:type="dxa" w:w="3324"/>
          </w:tcPr>
          <w:p>
            <w:r>
              <w:t>Аутентификация</w:t>
            </w:r>
          </w:p>
        </w:tc>
        <w:tc>
          <w:tcPr>
            <w:tcW w:type="dxa" w:w="3324"/>
          </w:tcPr>
          <w:p>
            <w:r>
              <w:t>email, OTP, время, технические признаки</w:t>
            </w:r>
          </w:p>
        </w:tc>
        <w:tc>
          <w:tcPr>
            <w:tcW w:type="dxa" w:w="3324"/>
          </w:tcPr>
          <w:p>
            <w:r>
              <w:t>подтверждение email; OTP в Redis</w:t>
            </w:r>
          </w:p>
        </w:tc>
      </w:tr>
      <w:tr>
        <w:tc>
          <w:tcPr>
            <w:tcW w:type="dxa" w:w="3324"/>
          </w:tcPr>
          <w:p>
            <w:r>
              <w:t>Профиль</w:t>
            </w:r>
          </w:p>
        </w:tc>
        <w:tc>
          <w:tcPr>
            <w:tcW w:type="dxa" w:w="3324"/>
          </w:tcPr>
          <w:p>
            <w:r>
              <w:t>фото по желанию</w:t>
            </w:r>
          </w:p>
        </w:tc>
        <w:tc>
          <w:tcPr>
            <w:tcW w:type="dxa" w:w="3324"/>
          </w:tcPr>
          <w:p>
            <w:r>
              <w:t>отображение участнику поездки</w:t>
            </w:r>
          </w:p>
        </w:tc>
      </w:tr>
      <w:tr>
        <w:tc>
          <w:tcPr>
            <w:tcW w:type="dxa" w:w="3324"/>
          </w:tcPr>
          <w:p>
            <w:r>
              <w:t>Водитель</w:t>
            </w:r>
          </w:p>
        </w:tc>
        <w:tc>
          <w:tcPr>
            <w:tcW w:type="dxa" w:w="3324"/>
          </w:tcPr>
          <w:p>
            <w:r>
              <w:t>автомобиль, госномер и сведения профиля</w:t>
            </w:r>
          </w:p>
        </w:tc>
        <w:tc>
          <w:tcPr>
            <w:tcW w:type="dxa" w:w="3324"/>
          </w:tcPr>
          <w:p>
            <w:r>
              <w:t>исполнение заказа</w:t>
            </w:r>
          </w:p>
        </w:tc>
      </w:tr>
      <w:tr>
        <w:tc>
          <w:tcPr>
            <w:tcW w:type="dxa" w:w="3324"/>
          </w:tcPr>
          <w:p>
            <w:r>
              <w:t>Заказ</w:t>
            </w:r>
          </w:p>
        </w:tc>
        <w:tc>
          <w:tcPr>
            <w:tcW w:type="dxa" w:w="3324"/>
          </w:tcPr>
          <w:p>
            <w:r>
              <w:t>ID, адреса, координаты/маршрут, время, стоимость, статус, способ оплаты</w:t>
            </w:r>
          </w:p>
        </w:tc>
        <w:tc>
          <w:tcPr>
            <w:tcW w:type="dxa" w:w="3324"/>
          </w:tcPr>
          <w:p>
            <w:r>
              <w:t>исполнение заказа</w:t>
            </w:r>
          </w:p>
        </w:tc>
      </w:tr>
      <w:tr>
        <w:tc>
          <w:tcPr>
            <w:tcW w:type="dxa" w:w="3324"/>
          </w:tcPr>
          <w:p>
            <w:r>
              <w:t>Геолокация</w:t>
            </w:r>
          </w:p>
        </w:tc>
        <w:tc>
          <w:tcPr>
            <w:tcW w:type="dxa" w:w="3324"/>
          </w:tcPr>
          <w:p>
            <w:r>
              <w:t>текущие координаты водителя</w:t>
            </w:r>
          </w:p>
        </w:tc>
        <w:tc>
          <w:tcPr>
            <w:tcW w:type="dxa" w:w="3324"/>
          </w:tcPr>
          <w:p>
            <w:r>
              <w:t>отображение пассажиру; без хранения в MySQL</w:t>
            </w:r>
          </w:p>
        </w:tc>
      </w:tr>
      <w:tr>
        <w:tc>
          <w:tcPr>
            <w:tcW w:type="dxa" w:w="3324"/>
          </w:tcPr>
          <w:p>
            <w:r>
              <w:t>Push</w:t>
            </w:r>
          </w:p>
        </w:tc>
        <w:tc>
          <w:tcPr>
            <w:tcW w:type="dxa" w:w="3324"/>
          </w:tcPr>
          <w:p>
            <w:r>
              <w:t>endpoint и параметры подписки</w:t>
            </w:r>
          </w:p>
        </w:tc>
        <w:tc>
          <w:tcPr>
            <w:tcW w:type="dxa" w:w="3324"/>
          </w:tcPr>
          <w:p>
            <w:r>
              <w:t>уведомления</w:t>
            </w:r>
          </w:p>
        </w:tc>
      </w:tr>
      <w:tr>
        <w:tc>
          <w:tcPr>
            <w:tcW w:type="dxa" w:w="3324"/>
          </w:tcPr>
          <w:p>
            <w:r>
              <w:t>Технические</w:t>
            </w:r>
          </w:p>
        </w:tc>
        <w:tc>
          <w:tcPr>
            <w:tcW w:type="dxa" w:w="3324"/>
          </w:tcPr>
          <w:p>
            <w:r>
              <w:t>IP, User-Agent, даты/логи</w:t>
            </w:r>
          </w:p>
        </w:tc>
        <w:tc>
          <w:tcPr>
            <w:tcW w:type="dxa" w:w="3324"/>
          </w:tcPr>
          <w:p>
            <w:r>
              <w:t>безопасность и аудит</w:t>
            </w:r>
          </w:p>
        </w:tc>
      </w:tr>
    </w:tbl>
    <w:p>
      <w:pPr>
        <w:pStyle w:val="Heading1"/>
      </w:pPr>
      <w:r>
        <w:t>4. Основания</w:t>
      </w:r>
    </w:p>
    <w:p>
      <w:r>
        <w:t>Для каждой цели отдельно определяется правовое основание: договор/действия по запросу, законная обязанность либо отдельное согласие. Согласие не используется как универсальная замена другим основаниям.</w:t>
      </w:r>
    </w:p>
    <w:p>
      <w:pPr>
        <w:pStyle w:val="Heading1"/>
      </w:pPr>
      <w:r>
        <w:t>5. Передача участникам</w:t>
      </w:r>
    </w:p>
    <w:p>
      <w:r>
        <w:t>Передаются только необходимые для конкретной поездки сведения. Геолокация водителя — только во время активного заказа, после завершения/отмены передача прекращается.</w:t>
      </w:r>
    </w:p>
    <w:p>
      <w:pPr>
        <w:pStyle w:val="Heading1"/>
      </w:pPr>
      <w:r>
        <w:t>6. Локализация</w:t>
      </w:r>
    </w:p>
    <w:p>
      <w:r>
        <w:t>Основные БД и Redis находятся на сервере в Самаре. Перед публикацией необходимо отдельно проверить Yandex SMTP, Web Push, резервные копии, внешние API/CDN и любой иной канал передачи.</w:t>
      </w:r>
    </w:p>
    <w:p>
      <w:pPr>
        <w:pStyle w:val="Heading1"/>
      </w:pPr>
      <w:r>
        <w:t>7. Права субъекта</w:t>
      </w:r>
    </w:p>
    <w:p>
      <w:pPr>
        <w:pStyle w:val="ListBullet"/>
      </w:pPr>
      <w:r>
        <w:t>доступ к данным;</w:t>
      </w:r>
    </w:p>
    <w:p>
      <w:pPr>
        <w:pStyle w:val="ListBullet"/>
      </w:pPr>
      <w:r>
        <w:t>уточнение;</w:t>
      </w:r>
    </w:p>
    <w:p>
      <w:pPr>
        <w:pStyle w:val="ListBullet"/>
      </w:pPr>
      <w:r>
        <w:t>блокирование/уничтожение в предусмотренных случаях;</w:t>
      </w:r>
    </w:p>
    <w:p>
      <w:pPr>
        <w:pStyle w:val="ListBullet"/>
      </w:pPr>
      <w:r>
        <w:t>отзыв согласия, если нет иного основания;</w:t>
      </w:r>
    </w:p>
    <w:p>
      <w:pPr>
        <w:pStyle w:val="ListBullet"/>
      </w:pPr>
      <w:r>
        <w:t>обращение к оператору по email.</w:t>
      </w:r>
    </w:p>
    <w:p>
      <w:pPr>
        <w:pStyle w:val="Heading1"/>
      </w:pPr>
      <w:r>
        <w:t>8. Безопасность</w:t>
      </w:r>
    </w:p>
    <w:p>
      <w:pPr>
        <w:pStyle w:val="ListBullet"/>
      </w:pPr>
      <w:r>
        <w:t>разграничение доступа;</w:t>
      </w:r>
    </w:p>
    <w:p>
      <w:pPr>
        <w:pStyle w:val="ListBullet"/>
      </w:pPr>
      <w:r>
        <w:t>HTTPS;</w:t>
      </w:r>
    </w:p>
    <w:p>
      <w:pPr>
        <w:pStyle w:val="ListBullet"/>
      </w:pPr>
      <w:r>
        <w:t>защита секретов;</w:t>
      </w:r>
    </w:p>
    <w:p>
      <w:pPr>
        <w:pStyle w:val="ListBullet"/>
      </w:pPr>
      <w:r>
        <w:t>контроль MySQL/Redis;</w:t>
      </w:r>
    </w:p>
    <w:p>
      <w:pPr>
        <w:pStyle w:val="ListBullet"/>
      </w:pPr>
      <w:r>
        <w:t>резервное копирование;</w:t>
      </w:r>
    </w:p>
    <w:p>
      <w:pPr>
        <w:pStyle w:val="ListBullet"/>
      </w:pPr>
      <w:r>
        <w:t>аудит;</w:t>
      </w:r>
    </w:p>
    <w:p>
      <w:pPr>
        <w:pStyle w:val="ListBullet"/>
      </w:pPr>
      <w:r>
        <w:t>реагирование на инциденты.</w:t>
      </w:r>
    </w:p>
    <w:p>
      <w:pPr>
        <w:pStyle w:val="Heading1"/>
      </w:pPr>
      <w:r>
        <w:t>Нормативная база</w:t>
      </w:r>
    </w:p>
    <w:p>
      <w:pPr>
        <w:pStyle w:val="ListNumber"/>
      </w:pPr>
      <w:r>
        <w:t>Федеральный закон от 29.12.2022 №580-ФЗ (ред. от 29.12.2025) — об организации перевозок пассажиров и багажа легковым такси.</w:t>
      </w:r>
    </w:p>
    <w:p>
      <w:pPr>
        <w:pStyle w:val="ListNumber"/>
      </w:pPr>
      <w:r>
        <w:t>Федеральный закон от 27.07.2006 №152-ФЗ «О персональных данных» (ред. от 26.07.2026).</w:t>
      </w:r>
    </w:p>
    <w:p>
      <w:pPr>
        <w:pStyle w:val="ListNumber"/>
      </w:pPr>
      <w:r>
        <w:t>Федеральный закон от 08.11.2007 №259-ФЗ «Устав автомобильного транспорта и городского наземного электрического транспорта» (ред. от 04.08.2026).</w:t>
      </w:r>
    </w:p>
    <w:p>
      <w:pPr>
        <w:pStyle w:val="ListNumber"/>
      </w:pPr>
      <w:r>
        <w:t>Приказ Минтранса России от 14.04.2026 №161 — Правила перевозок пассажиров и багажа автомобильным транспортом и городским наземным электрическим транспортом; действует с 01.09.2026.</w:t>
      </w:r>
    </w:p>
    <w:p>
      <w:pPr>
        <w:pStyle w:val="ListNumber"/>
      </w:pPr>
      <w:r>
        <w:t>Постановление Правительства Самарской области от 12.09.2023 №741 в редакции постановления от 11.06.2026 №382.</w:t>
      </w:r>
    </w:p>
    <w:p>
      <w:pPr>
        <w:pStyle w:val="ListNumber"/>
      </w:pPr>
      <w:r>
        <w:t>Федеральный закон от 22.05.2003 №54-ФЗ «О применении контрольно-кассовой техники при осуществлении расчетов в Российской Федерации».</w:t>
      </w:r>
    </w:p>
    <w:p>
      <w:pPr>
        <w:pStyle w:val="ListNumber"/>
      </w:pPr>
      <w:r>
        <w:t>Федеральный закон от 14.06.2012 №67-ФЗ — об обязательном страховании гражданской ответственности перевозчика.</w:t>
      </w:r>
    </w:p>
    <w:p>
      <w:r>
        <w:t>Актуальность: 03.10.2026. Перед публичным запуском следует проверить действующую редакцию НПА и региональные информационные процедуры.</w:t>
      </w:r>
    </w:p>
    <w:p>
      <w:pPr>
        <w:pStyle w:val="Heading1"/>
      </w:pPr>
      <w:r>
        <w:t>Дополнение: аналитика и Яндекс Метрика</w:t>
      </w:r>
    </w:p>
    <w:p>
      <w:r>
        <w:t>Для анализа посещаемости и использования веб-интерфейса «Поехали» оператор может использовать сервис Яндекс Метрика. При настройке счётчика оператор не должен передавать в него ФИО, номер телефона, адрес электронной почты, адреса поездок, координаты водителя, идентификаторы аккаунта, токены авторизации и иные идентифицирующие сведения. Яндекс указывает, что идентификационная информация, включая ФИО, телефон, email и GPS-местоположение, не должна передаваться в Метрику, если соответствующая передача прямо не предусмотрена функцией сервиса.</w:t>
      </w:r>
    </w:p>
    <w:p>
      <w:r>
        <w:t>Метрика используется для статистического анализа посещаемости, устройств, браузеров, источников переходов и взаимодействия с интерфейсом. Конкретный набор собираемых данных определяется фактическими настройками счётчика. Политика должна актуализироваться при включении новых функций Метрики.</w:t>
      </w:r>
    </w:p>
    <w:p>
      <w:r>
        <w:t>Яндекс указывает, что в рамках условий Метрики оператор сайта выступает оператором персональных данных посетителей, а Яндекс — лицом, действующим по поручению оператора для предоставления сервиса. Это должно учитываться при документировании внешних обработчиков и поручений на обработку персональных данных.</w:t>
      </w:r>
    </w:p>
    <w:sectPr w:rsidR="00FC693F" w:rsidRPr="0006063C" w:rsidSect="00034616"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«Поехали» | версия 2.0 | 03.10.2026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