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color w:val="111827"/>
        </w:rPr>
        <w:t>Degen Collectibles Information Security Policy</w:t>
      </w:r>
    </w:p>
    <w:tbl>
      <w:tblPr>
        <w:tblW w:type="auto" w:w="0"/>
        <w:jc w:val="center"/>
        <w:tblLayout w:type="fixed"/>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628"/>
        <w:gridCol w:w="2628"/>
        <w:gridCol w:w="2628"/>
        <w:gridCol w:w="2628"/>
      </w:tblGrid>
      <w:tr>
        <w:tc>
          <w:tcPr>
            <w:tcW w:type="dxa" w:w="1512"/>
            <w:vAlign w:val="center"/>
            <w:shd w:fill="991B1B"/>
          </w:tcPr>
          <w:p>
            <w:pPr>
              <w:spacing w:after="0" w:line="240" w:lineRule="auto"/>
            </w:pPr>
            <w:r/>
            <w:r>
              <w:rPr>
                <w:rFonts w:ascii="Aptos" w:hAnsi="Aptos" w:eastAsia="Aptos"/>
                <w:b/>
                <w:color w:val="FFFFFF"/>
                <w:sz w:val="16"/>
              </w:rPr>
              <w:t>Version</w:t>
            </w:r>
          </w:p>
        </w:tc>
        <w:tc>
          <w:tcPr>
            <w:tcW w:type="dxa" w:w="2232"/>
            <w:vAlign w:val="center"/>
          </w:tcPr>
          <w:p>
            <w:pPr>
              <w:spacing w:after="0" w:line="240" w:lineRule="auto"/>
            </w:pPr>
            <w:r/>
            <w:r>
              <w:rPr>
                <w:rFonts w:ascii="Aptos" w:hAnsi="Aptos" w:eastAsia="Aptos"/>
                <w:b w:val="0"/>
                <w:color w:val="111827"/>
                <w:sz w:val="16"/>
              </w:rPr>
              <w:t>1.0</w:t>
            </w:r>
          </w:p>
        </w:tc>
        <w:tc>
          <w:tcPr>
            <w:tcW w:type="dxa" w:w="1656"/>
            <w:vAlign w:val="center"/>
            <w:shd w:fill="991B1B"/>
          </w:tcPr>
          <w:p>
            <w:pPr>
              <w:spacing w:after="0" w:line="240" w:lineRule="auto"/>
            </w:pPr>
            <w:r/>
            <w:r>
              <w:rPr>
                <w:rFonts w:ascii="Aptos" w:hAnsi="Aptos" w:eastAsia="Aptos"/>
                <w:b/>
                <w:color w:val="FFFFFF"/>
                <w:sz w:val="16"/>
              </w:rPr>
              <w:t>Effective Date</w:t>
            </w:r>
          </w:p>
        </w:tc>
        <w:tc>
          <w:tcPr>
            <w:tcW w:type="dxa" w:w="4968"/>
            <w:vAlign w:val="center"/>
          </w:tcPr>
          <w:p>
            <w:pPr>
              <w:spacing w:after="0" w:line="240" w:lineRule="auto"/>
            </w:pPr>
            <w:r/>
            <w:r>
              <w:rPr>
                <w:rFonts w:ascii="Aptos" w:hAnsi="Aptos" w:eastAsia="Aptos"/>
                <w:b w:val="0"/>
                <w:color w:val="111827"/>
                <w:sz w:val="16"/>
              </w:rPr>
              <w:t>May 10, 2026</w:t>
            </w:r>
          </w:p>
        </w:tc>
      </w:tr>
    </w:tbl>
    <w:p>
      <w:pPr>
        <w:spacing w:after="60"/>
      </w:pPr>
      <w:r>
        <w:t>Purpose and scope: This policy documents the information security controls used by Degen Collectibles to protect business bank, credit-card, bookkeeping, sales, inventory, employee, and application data. It applies to owners, admins, employees, contractors, and systems that access the Degen operations app, Plaid bank-feed data, accounting records, Shopify/TikTok data, and related credentials.</w:t>
      </w:r>
    </w:p>
    <w:p>
      <w:pPr>
        <w:spacing w:after="60"/>
      </w:pPr>
      <w:r>
        <w:t>Approved use of Plaid data: Plaid is used only to let authorized company personnel connect company-owned bank and credit-card accounts for transaction import, expense categorization, reconciliation against internal deal logs and platform payouts, accounting reports, and financial dashboards. Degen Collectibles does not use Plaid data to initiate payments, sell data, or make consumer credit decisions.</w:t>
      </w:r>
    </w:p>
    <w:p>
      <w:pPr>
        <w:pStyle w:val="Heading1"/>
      </w:pPr>
      <w:r>
        <w:t>Security Policy and Procedures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32"/>
        <w:gridCol w:w="8136"/>
      </w:tblGrid>
      <w:tr>
        <w:trPr>
          <w:tblHeader w:val="true"/>
        </w:trPr>
        <w:tc>
          <w:tcPr>
            <w:tcW w:type="dxa" w:w="5256"/>
            <w:shd w:fill="991B1B"/>
            <w:vAlign w:val="center"/>
          </w:tcPr>
          <w:p>
            <w:pPr>
              <w:spacing w:after="0" w:line="240" w:lineRule="auto"/>
            </w:pPr>
            <w:r/>
            <w:r>
              <w:rPr>
                <w:rFonts w:ascii="Aptos" w:hAnsi="Aptos" w:eastAsia="Aptos"/>
                <w:b/>
                <w:color w:val="FFFFFF"/>
                <w:sz w:val="17"/>
              </w:rPr>
              <w:t>Control Area</w:t>
            </w:r>
          </w:p>
        </w:tc>
        <w:tc>
          <w:tcPr>
            <w:tcW w:type="dxa" w:w="5256"/>
            <w:shd w:fill="991B1B"/>
            <w:vAlign w:val="center"/>
          </w:tcPr>
          <w:p>
            <w:pPr>
              <w:spacing w:after="0" w:line="240" w:lineRule="auto"/>
            </w:pPr>
            <w:r/>
            <w:r>
              <w:rPr>
                <w:rFonts w:ascii="Aptos" w:hAnsi="Aptos" w:eastAsia="Aptos"/>
                <w:b/>
                <w:color w:val="FFFFFF"/>
                <w:sz w:val="17"/>
              </w:rPr>
              <w:t>Procedure</w:t>
            </w:r>
          </w:p>
        </w:tc>
      </w:tr>
      <w:tr>
        <w:tc>
          <w:tcPr>
            <w:tcW w:type="dxa" w:w="2232"/>
            <w:shd w:fill="F9FAFB"/>
            <w:vAlign w:val="center"/>
            <w:tcMar>
              <w:top w:w="55" w:type="dxa"/>
              <w:bottom w:w="55" w:type="dxa"/>
            </w:tcMar>
          </w:tcPr>
          <w:p>
            <w:pPr>
              <w:spacing w:after="0" w:line="240" w:lineRule="auto"/>
            </w:pPr>
            <w:r/>
            <w:r>
              <w:rPr>
                <w:rFonts w:ascii="Aptos" w:hAnsi="Aptos" w:eastAsia="Aptos"/>
                <w:b/>
                <w:color w:val="111827"/>
                <w:sz w:val="16"/>
              </w:rPr>
              <w:t>Access control</w:t>
            </w:r>
          </w:p>
        </w:tc>
        <w:tc>
          <w:tcPr>
            <w:tcW w:type="dxa" w:w="8136"/>
            <w:vAlign w:val="center"/>
            <w:tcMar>
              <w:top w:w="55" w:type="dxa"/>
              <w:bottom w:w="55" w:type="dxa"/>
            </w:tcMar>
          </w:tcPr>
          <w:p>
            <w:pPr>
              <w:spacing w:after="0" w:line="240" w:lineRule="auto"/>
            </w:pPr>
            <w:r/>
            <w:r>
              <w:rPr>
                <w:rFonts w:ascii="Aptos" w:hAnsi="Aptos" w:eastAsia="Aptos"/>
                <w:b w:val="0"/>
                <w:color w:val="111827"/>
                <w:sz w:val="15"/>
              </w:rPr>
              <w:t>Access is role-based and limited to authorized staff with a business need. Owners/admins approve access, remove access when duties end, and review finance access at least quarterly. Shared accounts are avoided where practical; strong passwords and MFA are used where supported.</w:t>
            </w:r>
          </w:p>
        </w:tc>
      </w:tr>
      <w:tr>
        <w:tc>
          <w:tcPr>
            <w:tcW w:type="dxa" w:w="2232"/>
            <w:shd w:fill="F9FAFB"/>
            <w:vAlign w:val="center"/>
            <w:tcMar>
              <w:top w:w="55" w:type="dxa"/>
              <w:bottom w:w="55" w:type="dxa"/>
            </w:tcMar>
          </w:tcPr>
          <w:p>
            <w:pPr>
              <w:spacing w:after="0" w:line="240" w:lineRule="auto"/>
            </w:pPr>
            <w:r/>
            <w:r>
              <w:rPr>
                <w:rFonts w:ascii="Aptos" w:hAnsi="Aptos" w:eastAsia="Aptos"/>
                <w:b/>
                <w:color w:val="111827"/>
                <w:sz w:val="16"/>
              </w:rPr>
              <w:t>Plaid token and secret handling</w:t>
            </w:r>
          </w:p>
        </w:tc>
        <w:tc>
          <w:tcPr>
            <w:tcW w:type="dxa" w:w="8136"/>
            <w:vAlign w:val="center"/>
            <w:tcMar>
              <w:top w:w="55" w:type="dxa"/>
              <w:bottom w:w="55" w:type="dxa"/>
            </w:tcMar>
          </w:tcPr>
          <w:p>
            <w:pPr>
              <w:spacing w:after="0" w:line="240" w:lineRule="auto"/>
            </w:pPr>
            <w:r/>
            <w:r>
              <w:rPr>
                <w:rFonts w:ascii="Aptos" w:hAnsi="Aptos" w:eastAsia="Aptos"/>
                <w:b w:val="0"/>
                <w:color w:val="111827"/>
                <w:sz w:val="15"/>
              </w:rPr>
              <w:t>Plaid access tokens are stored encrypted at rest using a dedicated bank-feed encryption key. API keys, database credentials, and Plaid secrets are kept in environment configuration rather than source code. Secrets are rotated after suspected exposure or staff/vendor changes that create risk.</w:t>
            </w:r>
          </w:p>
        </w:tc>
      </w:tr>
      <w:tr>
        <w:tc>
          <w:tcPr>
            <w:tcW w:type="dxa" w:w="2232"/>
            <w:shd w:fill="F9FAFB"/>
            <w:vAlign w:val="center"/>
            <w:tcMar>
              <w:top w:w="55" w:type="dxa"/>
              <w:bottom w:w="55" w:type="dxa"/>
            </w:tcMar>
          </w:tcPr>
          <w:p>
            <w:pPr>
              <w:spacing w:after="0" w:line="240" w:lineRule="auto"/>
            </w:pPr>
            <w:r/>
            <w:r>
              <w:rPr>
                <w:rFonts w:ascii="Aptos" w:hAnsi="Aptos" w:eastAsia="Aptos"/>
                <w:b/>
                <w:color w:val="111827"/>
                <w:sz w:val="16"/>
              </w:rPr>
              <w:t>Data protection</w:t>
            </w:r>
          </w:p>
        </w:tc>
        <w:tc>
          <w:tcPr>
            <w:tcW w:type="dxa" w:w="8136"/>
            <w:vAlign w:val="center"/>
            <w:tcMar>
              <w:top w:w="55" w:type="dxa"/>
              <w:bottom w:w="55" w:type="dxa"/>
            </w:tcMar>
          </w:tcPr>
          <w:p>
            <w:pPr>
              <w:spacing w:after="0" w:line="240" w:lineRule="auto"/>
            </w:pPr>
            <w:r/>
            <w:r>
              <w:rPr>
                <w:rFonts w:ascii="Aptos" w:hAnsi="Aptos" w:eastAsia="Aptos"/>
                <w:b w:val="0"/>
                <w:color w:val="111827"/>
                <w:sz w:val="15"/>
              </w:rPr>
              <w:t>Production traffic uses HTTPS. Bank transactions are stored in the application database for bookkeeping and reconciliation. Sensitive data access is restricted by application role, database access is limited to operators with need, and backups are protected from casual access.</w:t>
            </w:r>
          </w:p>
        </w:tc>
      </w:tr>
      <w:tr>
        <w:tc>
          <w:tcPr>
            <w:tcW w:type="dxa" w:w="2232"/>
            <w:shd w:fill="F9FAFB"/>
            <w:vAlign w:val="center"/>
            <w:tcMar>
              <w:top w:w="55" w:type="dxa"/>
              <w:bottom w:w="55" w:type="dxa"/>
            </w:tcMar>
          </w:tcPr>
          <w:p>
            <w:pPr>
              <w:spacing w:after="0" w:line="240" w:lineRule="auto"/>
            </w:pPr>
            <w:r/>
            <w:r>
              <w:rPr>
                <w:rFonts w:ascii="Aptos" w:hAnsi="Aptos" w:eastAsia="Aptos"/>
                <w:b/>
                <w:color w:val="111827"/>
                <w:sz w:val="16"/>
              </w:rPr>
              <w:t>Monitoring and review</w:t>
            </w:r>
          </w:p>
        </w:tc>
        <w:tc>
          <w:tcPr>
            <w:tcW w:type="dxa" w:w="8136"/>
            <w:vAlign w:val="center"/>
            <w:tcMar>
              <w:top w:w="55" w:type="dxa"/>
              <w:bottom w:w="55" w:type="dxa"/>
            </w:tcMar>
          </w:tcPr>
          <w:p>
            <w:pPr>
              <w:spacing w:after="0" w:line="240" w:lineRule="auto"/>
            </w:pPr>
            <w:r/>
            <w:r>
              <w:rPr>
                <w:rFonts w:ascii="Aptos" w:hAnsi="Aptos" w:eastAsia="Aptos"/>
                <w:b w:val="0"/>
                <w:color w:val="111827"/>
                <w:sz w:val="15"/>
              </w:rPr>
              <w:t>Bank sync failures, import status, categorization confidence, and reconciliation mismatches are visible in the application UI or logs. Finance staff review unusual uncategorized rows, possible Discord matches, payout classifications, and partner payback rules before relying on reports.</w:t>
            </w:r>
          </w:p>
        </w:tc>
      </w:tr>
      <w:tr>
        <w:tc>
          <w:tcPr>
            <w:tcW w:type="dxa" w:w="2232"/>
            <w:shd w:fill="F9FAFB"/>
            <w:vAlign w:val="center"/>
            <w:tcMar>
              <w:top w:w="55" w:type="dxa"/>
              <w:bottom w:w="55" w:type="dxa"/>
            </w:tcMar>
          </w:tcPr>
          <w:p>
            <w:pPr>
              <w:spacing w:after="0" w:line="240" w:lineRule="auto"/>
            </w:pPr>
            <w:r/>
            <w:r>
              <w:rPr>
                <w:rFonts w:ascii="Aptos" w:hAnsi="Aptos" w:eastAsia="Aptos"/>
                <w:b/>
                <w:color w:val="111827"/>
                <w:sz w:val="16"/>
              </w:rPr>
              <w:t>Change management</w:t>
            </w:r>
          </w:p>
        </w:tc>
        <w:tc>
          <w:tcPr>
            <w:tcW w:type="dxa" w:w="8136"/>
            <w:vAlign w:val="center"/>
            <w:tcMar>
              <w:top w:w="55" w:type="dxa"/>
              <w:bottom w:w="55" w:type="dxa"/>
            </w:tcMar>
          </w:tcPr>
          <w:p>
            <w:pPr>
              <w:spacing w:after="0" w:line="240" w:lineRule="auto"/>
            </w:pPr>
            <w:r/>
            <w:r>
              <w:rPr>
                <w:rFonts w:ascii="Aptos" w:hAnsi="Aptos" w:eastAsia="Aptos"/>
                <w:b w:val="0"/>
                <w:color w:val="111827"/>
                <w:sz w:val="15"/>
              </w:rPr>
              <w:t>Application changes are made in the repository, tested locally before deployment when practical, and deployed through the approved hosting workflow. High-risk changes involving auth, webhooks, financial calculations, Plaid sync, or token handling receive extra review before production use.</w:t>
            </w:r>
          </w:p>
        </w:tc>
      </w:tr>
      <w:tr>
        <w:tc>
          <w:tcPr>
            <w:tcW w:type="dxa" w:w="2232"/>
            <w:shd w:fill="F9FAFB"/>
            <w:vAlign w:val="center"/>
            <w:tcMar>
              <w:top w:w="55" w:type="dxa"/>
              <w:bottom w:w="55" w:type="dxa"/>
            </w:tcMar>
          </w:tcPr>
          <w:p>
            <w:pPr>
              <w:spacing w:after="0" w:line="240" w:lineRule="auto"/>
            </w:pPr>
            <w:r/>
            <w:r>
              <w:rPr>
                <w:rFonts w:ascii="Aptos" w:hAnsi="Aptos" w:eastAsia="Aptos"/>
                <w:b/>
                <w:color w:val="111827"/>
                <w:sz w:val="16"/>
              </w:rPr>
              <w:t>Incident response</w:t>
            </w:r>
          </w:p>
        </w:tc>
        <w:tc>
          <w:tcPr>
            <w:tcW w:type="dxa" w:w="8136"/>
            <w:vAlign w:val="center"/>
            <w:tcMar>
              <w:top w:w="55" w:type="dxa"/>
              <w:bottom w:w="55" w:type="dxa"/>
            </w:tcMar>
          </w:tcPr>
          <w:p>
            <w:pPr>
              <w:spacing w:after="0" w:line="240" w:lineRule="auto"/>
            </w:pPr>
            <w:r/>
            <w:r>
              <w:rPr>
                <w:rFonts w:ascii="Aptos" w:hAnsi="Aptos" w:eastAsia="Aptos"/>
                <w:b w:val="0"/>
                <w:color w:val="111827"/>
                <w:sz w:val="15"/>
              </w:rPr>
              <w:t>If a security incident is suspected, Degen Collectibles will contain access, preserve relevant logs, rotate affected credentials, revoke/reconnect Plaid Items if needed, assess affected data, document corrective action, and notify affected parties, vendors, or regulators when legally or contractually required.</w:t>
            </w:r>
          </w:p>
        </w:tc>
      </w:tr>
      <w:tr>
        <w:tc>
          <w:tcPr>
            <w:tcW w:type="dxa" w:w="2232"/>
            <w:shd w:fill="F9FAFB"/>
            <w:vAlign w:val="center"/>
            <w:tcMar>
              <w:top w:w="55" w:type="dxa"/>
              <w:bottom w:w="55" w:type="dxa"/>
            </w:tcMar>
          </w:tcPr>
          <w:p>
            <w:pPr>
              <w:spacing w:after="0" w:line="240" w:lineRule="auto"/>
            </w:pPr>
            <w:r/>
            <w:r>
              <w:rPr>
                <w:rFonts w:ascii="Aptos" w:hAnsi="Aptos" w:eastAsia="Aptos"/>
                <w:b/>
                <w:color w:val="111827"/>
                <w:sz w:val="16"/>
              </w:rPr>
              <w:t>Retention and deletion</w:t>
            </w:r>
          </w:p>
        </w:tc>
        <w:tc>
          <w:tcPr>
            <w:tcW w:type="dxa" w:w="8136"/>
            <w:vAlign w:val="center"/>
            <w:tcMar>
              <w:top w:w="55" w:type="dxa"/>
              <w:bottom w:w="55" w:type="dxa"/>
            </w:tcMar>
          </w:tcPr>
          <w:p>
            <w:pPr>
              <w:spacing w:after="0" w:line="240" w:lineRule="auto"/>
            </w:pPr>
            <w:r/>
            <w:r>
              <w:rPr>
                <w:rFonts w:ascii="Aptos" w:hAnsi="Aptos" w:eastAsia="Aptos"/>
                <w:b w:val="0"/>
                <w:color w:val="111827"/>
                <w:sz w:val="15"/>
              </w:rPr>
              <w:t>Bank transaction and accounting records are retained only as needed for bookkeeping, tax, audit, operational, and legal purposes. Access tokens or account connections are revoked when no longer required, and unnecessary exports are deleted from unmanaged locations.</w:t>
            </w:r>
          </w:p>
        </w:tc>
      </w:tr>
    </w:tbl>
    <w:p>
      <w:pPr>
        <w:pStyle w:val="Heading1"/>
      </w:pPr>
      <w:r>
        <w:t>Minimum Plaid Configuration</w:t>
      </w:r>
    </w:p>
    <w:p>
      <w:pPr>
        <w:spacing w:after="60"/>
      </w:pPr>
      <w:r>
        <w:t>Degen Collectibles will request only the Plaid products required for the bookkeeping workflow. The expected configuration is Transactions for transaction import and, only if needed, Balance for account-balance display. Payment initiation, transfer, identity, and investment-move products are not approved for this workflow unless separately reviewed and documented.</w:t>
      </w:r>
    </w:p>
    <w:p>
      <w:pPr>
        <w:pStyle w:val="Heading1"/>
      </w:pPr>
      <w:r>
        <w:t>Policy Ownership</w:t>
      </w: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628"/>
        <w:gridCol w:w="2628"/>
        <w:gridCol w:w="2628"/>
        <w:gridCol w:w="2628"/>
      </w:tblGrid>
      <w:tr>
        <w:tc>
          <w:tcPr>
            <w:tcW w:type="dxa" w:w="2628"/>
            <w:vAlign w:val="center"/>
            <w:shd w:fill="374151"/>
          </w:tcPr>
          <w:p>
            <w:pPr>
              <w:spacing w:after="0" w:line="240" w:lineRule="auto"/>
            </w:pPr>
            <w:r/>
            <w:r>
              <w:rPr>
                <w:rFonts w:ascii="Aptos" w:hAnsi="Aptos" w:eastAsia="Aptos"/>
                <w:b/>
                <w:color w:val="FFFFFF"/>
                <w:sz w:val="16"/>
              </w:rPr>
              <w:t>Owner</w:t>
            </w:r>
          </w:p>
        </w:tc>
        <w:tc>
          <w:tcPr>
            <w:tcW w:type="dxa" w:w="2628"/>
            <w:vAlign w:val="center"/>
          </w:tcPr>
          <w:p>
            <w:pPr>
              <w:spacing w:after="0" w:line="240" w:lineRule="auto"/>
            </w:pPr>
            <w:r/>
            <w:r>
              <w:rPr>
                <w:rFonts w:ascii="Aptos" w:hAnsi="Aptos" w:eastAsia="Aptos"/>
                <w:b w:val="0"/>
                <w:color w:val="111827"/>
                <w:sz w:val="16"/>
              </w:rPr>
              <w:t>Degen Collectibles management</w:t>
            </w:r>
          </w:p>
        </w:tc>
        <w:tc>
          <w:tcPr>
            <w:tcW w:type="dxa" w:w="2628"/>
            <w:vAlign w:val="center"/>
            <w:shd w:fill="374151"/>
          </w:tcPr>
          <w:p>
            <w:pPr>
              <w:spacing w:after="0" w:line="240" w:lineRule="auto"/>
            </w:pPr>
            <w:r/>
            <w:r>
              <w:rPr>
                <w:rFonts w:ascii="Aptos" w:hAnsi="Aptos" w:eastAsia="Aptos"/>
                <w:b/>
                <w:color w:val="FFFFFF"/>
                <w:sz w:val="16"/>
              </w:rPr>
              <w:t>Next review</w:t>
            </w:r>
          </w:p>
        </w:tc>
        <w:tc>
          <w:tcPr>
            <w:tcW w:type="dxa" w:w="2628"/>
            <w:vAlign w:val="center"/>
          </w:tcPr>
          <w:p>
            <w:pPr>
              <w:spacing w:after="0" w:line="240" w:lineRule="auto"/>
            </w:pPr>
            <w:r/>
            <w:r>
              <w:rPr>
                <w:rFonts w:ascii="Aptos" w:hAnsi="Aptos" w:eastAsia="Aptos"/>
                <w:b w:val="0"/>
                <w:color w:val="111827"/>
                <w:sz w:val="16"/>
              </w:rPr>
              <w:t>May 10, 2027</w:t>
            </w:r>
          </w:p>
        </w:tc>
      </w:tr>
      <w:tr>
        <w:tc>
          <w:tcPr>
            <w:tcW w:type="dxa" w:w="2628"/>
            <w:vAlign w:val="center"/>
            <w:shd w:fill="374151"/>
          </w:tcPr>
          <w:p>
            <w:pPr>
              <w:spacing w:after="0" w:line="240" w:lineRule="auto"/>
            </w:pPr>
            <w:r/>
            <w:r>
              <w:rPr>
                <w:rFonts w:ascii="Aptos" w:hAnsi="Aptos" w:eastAsia="Aptos"/>
                <w:b/>
                <w:color w:val="FFFFFF"/>
                <w:sz w:val="16"/>
              </w:rPr>
              <w:t>Review cadence</w:t>
            </w:r>
          </w:p>
        </w:tc>
        <w:tc>
          <w:tcPr>
            <w:tcW w:type="dxa" w:w="2628"/>
            <w:vAlign w:val="center"/>
          </w:tcPr>
          <w:p>
            <w:pPr>
              <w:spacing w:after="0" w:line="240" w:lineRule="auto"/>
            </w:pPr>
            <w:r/>
            <w:r>
              <w:rPr>
                <w:rFonts w:ascii="Aptos" w:hAnsi="Aptos" w:eastAsia="Aptos"/>
                <w:b w:val="0"/>
                <w:color w:val="111827"/>
                <w:sz w:val="16"/>
              </w:rPr>
              <w:t>At least annually or after material security/process changes</w:t>
            </w:r>
          </w:p>
        </w:tc>
        <w:tc>
          <w:tcPr>
            <w:tcW w:type="dxa" w:w="2628"/>
            <w:vAlign w:val="center"/>
            <w:shd w:fill="374151"/>
          </w:tcPr>
          <w:p>
            <w:pPr>
              <w:spacing w:after="0" w:line="240" w:lineRule="auto"/>
            </w:pPr>
            <w:r/>
            <w:r>
              <w:rPr>
                <w:rFonts w:ascii="Aptos" w:hAnsi="Aptos" w:eastAsia="Aptos"/>
                <w:b/>
                <w:color w:val="FFFFFF"/>
                <w:sz w:val="16"/>
              </w:rPr>
              <w:t>Next review</w:t>
            </w:r>
          </w:p>
        </w:tc>
        <w:tc>
          <w:tcPr>
            <w:tcW w:type="dxa" w:w="2628"/>
            <w:vAlign w:val="center"/>
          </w:tcPr>
          <w:p>
            <w:pPr>
              <w:spacing w:after="0" w:line="240" w:lineRule="auto"/>
            </w:pPr>
            <w:r/>
            <w:r>
              <w:rPr>
                <w:rFonts w:ascii="Aptos" w:hAnsi="Aptos" w:eastAsia="Aptos"/>
                <w:b w:val="0"/>
                <w:color w:val="111827"/>
                <w:sz w:val="16"/>
              </w:rPr>
              <w:t>Earlier if required by vendor, incident, or law</w:t>
            </w:r>
          </w:p>
        </w:tc>
      </w:tr>
    </w:tbl>
    <w:p>
      <w:pPr>
        <w:spacing w:before="100" w:after="0"/>
      </w:pPr>
      <w:r>
        <w:rPr>
          <w:sz w:val="17"/>
        </w:rPr>
        <w:t>Approved by: ________________________________    Date: ____________________</w:t>
      </w:r>
    </w:p>
    <w:sectPr w:rsidR="00FC693F" w:rsidRPr="0006063C" w:rsidSect="00034616">
      <w:pgSz w:w="12240" w:h="15840"/>
      <w:pgMar w:top="792"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eastAsia="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outlineLvl w:val="0"/>
    </w:pPr>
    <w:rPr>
      <w:rFonts w:asciiTheme="majorHAnsi" w:eastAsiaTheme="majorEastAsia" w:hAnsiTheme="majorHAnsi" w:cstheme="majorBidi" w:ascii="Aptos" w:hAnsi="Aptos" w:eastAsia="Aptos"/>
      <w:b/>
      <w:bCs/>
      <w:color w:val="991B1B"/>
      <w:sz w:val="21"/>
      <w:szCs w:val="28"/>
    </w:rPr>
  </w:style>
  <w:style w:type="paragraph" w:styleId="Heading2">
    <w:name w:val="heading 2"/>
    <w:basedOn w:val="Normal"/>
    <w:next w:val="Normal"/>
    <w:link w:val="Heading2Char"/>
    <w:uiPriority w:val="9"/>
    <w:unhideWhenUsed/>
    <w:qFormat/>
    <w:rsid w:val="00FC693F"/>
    <w:pPr>
      <w:keepNext/>
      <w:keepLines/>
      <w:spacing w:before="0" w:after="60"/>
      <w:outlineLvl w:val="1"/>
    </w:pPr>
    <w:rPr>
      <w:rFonts w:asciiTheme="majorHAnsi" w:eastAsiaTheme="majorEastAsia" w:hAnsiTheme="majorHAnsi" w:cstheme="majorBidi" w:ascii="Aptos" w:hAnsi="Aptos" w:eastAsia="Aptos"/>
      <w:b/>
      <w:bCs/>
      <w:color w:val="111827"/>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Aptos" w:hAnsi="Aptos" w:eastAsia="Aptos"/>
      <w:b/>
      <w:color w:val="111827"/>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Degen Collectibles Information Security Policy</dc:title>
  <dc:subject>Information security policy for Plaid bank-feed access and internal financial operations</dc:subject>
  <dc:creator>Degen Collectibles</dc:creator>
  <cp:keywords/>
  <dc:description>generated by python-docx</dc:description>
  <cp:lastModifiedBy/>
  <cp:revision>1</cp:revision>
  <dcterms:created xsi:type="dcterms:W3CDTF">2013-12-23T23:15:00Z</dcterms:created>
  <dcterms:modified xsi:type="dcterms:W3CDTF">2013-12-23T23:15:00Z</dcterms:modified>
  <cp:category/>
</cp:coreProperties>
</file>