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eastAsia="Aptos"/>
          <w:b/>
          <w:i w:val="0"/>
          <w:color w:val="000000"/>
          <w:sz w:val="46"/>
        </w:rPr>
        <w:t>DLIF Platform Implementation Overview</w:t>
      </w:r>
    </w:p>
    <w:p>
      <w:pPr>
        <w:spacing w:after="260"/>
        <w:jc w:val="center"/>
      </w:pPr>
      <w:r>
        <w:rPr>
          <w:rFonts w:ascii="Aptos" w:hAnsi="Aptos" w:eastAsia="Aptos"/>
          <w:b w:val="0"/>
          <w:i w:val="0"/>
          <w:color w:val="526A8A"/>
          <w:sz w:val="22"/>
        </w:rPr>
        <w:t>DegreeLabs Impact Fellowship  |  Current build, architecture, and readiness</w:t>
      </w:r>
    </w:p>
    <w:p>
      <w:pPr>
        <w:keepNext/>
        <w:spacing w:before="300" w:after="120"/>
      </w:pPr>
      <w:r>
        <w:rPr>
          <w:rFonts w:ascii="Aptos" w:hAnsi="Aptos" w:eastAsia="Aptos"/>
          <w:b/>
          <w:i w:val="0"/>
          <w:color w:val="000000"/>
          <w:sz w:val="32"/>
        </w:rPr>
        <w:t>Executive Summary</w:t>
      </w:r>
    </w:p>
    <w:p>
      <w:pPr>
        <w:spacing w:after="140" w:before="0" w:line="288" w:lineRule="auto"/>
      </w:pPr>
      <w:r>
        <w:rPr>
          <w:rFonts w:ascii="Aptos" w:hAnsi="Aptos" w:eastAsia="Aptos"/>
          <w:b w:val="0"/>
          <w:i w:val="0"/>
          <w:color w:val="1F2937"/>
          <w:sz w:val="21"/>
        </w:rPr>
        <w:t>The DLIF platform now provides role-specific Admin, Student, and Mentor workspaces; structured enrollment directories; spreadsheet-based sync; institution imports; mentor profile data; and a student-centric materials foundation. The platform is ready for controlled staging validation, not yet for unrestricted production traffic.</w:t>
      </w:r>
    </w:p>
    <w:p>
      <w:pPr>
        <w:spacing w:after="140" w:before="0" w:line="288" w:lineRule="auto"/>
      </w:pPr>
      <w:r>
        <w:rPr>
          <w:rFonts w:ascii="Aptos" w:hAnsi="Aptos" w:eastAsia="Aptos"/>
          <w:b w:val="0"/>
          <w:i w:val="0"/>
          <w:color w:val="1F2937"/>
          <w:sz w:val="21"/>
        </w:rPr>
        <w:t>The main delivery focus has been turning fellowship operations into a single web platform where administrators can manage people, institutions, cohorts, teams, projects, challenges, sessions, assignments, and learning resources while students and mentors receive tailored experiences.</w:t>
      </w:r>
    </w:p>
    <w:p>
      <w:pPr>
        <w:keepNext/>
        <w:spacing w:before="300" w:after="120"/>
      </w:pPr>
      <w:r>
        <w:rPr>
          <w:rFonts w:ascii="Aptos" w:hAnsi="Aptos" w:eastAsia="Aptos"/>
          <w:b/>
          <w:i w:val="0"/>
          <w:color w:val="000000"/>
          <w:sz w:val="32"/>
        </w:rPr>
        <w:t>Platform at a Glance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Area</w:t>
            </w:r>
          </w:p>
        </w:tc>
        <w:tc>
          <w:tcPr>
            <w:tcW w:type="dxa" w:w="5544"/>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What is available now</w:t>
            </w:r>
          </w:p>
        </w:tc>
        <w:tc>
          <w:tcPr>
            <w:tcW w:type="dxa" w:w="2664"/>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Readiness</w:t>
            </w:r>
          </w:p>
        </w:tc>
      </w:tr>
      <w:tr>
        <w:tc>
          <w:tcPr>
            <w:tcW w:type="dxa" w:w="165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Admin workspace</w:t>
            </w:r>
          </w:p>
        </w:tc>
        <w:tc>
          <w:tcPr>
            <w:tcW w:type="dxa" w:w="55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Responsive dashboard, navigation, management pages, three-dot actions, and administration flows.</w:t>
            </w:r>
          </w:p>
        </w:tc>
        <w:tc>
          <w:tcPr>
            <w:tcW w:type="dxa" w:w="266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Implemented; permission testing remains.</w:t>
            </w:r>
          </w:p>
        </w:tc>
      </w:tr>
      <w:tr>
        <w:tc>
          <w:tcPr>
            <w:tcW w:type="dxa" w:w="165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Student workspace</w:t>
            </w:r>
          </w:p>
        </w:tc>
        <w:tc>
          <w:tcPr>
            <w:tcW w:type="dxa" w:w="55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Role-specific experience including journey, teams, project-related pages, and student-centric materials.</w:t>
            </w:r>
          </w:p>
        </w:tc>
        <w:tc>
          <w:tcPr>
            <w:tcW w:type="dxa" w:w="266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Implemented; material visibility must be validated end to end.</w:t>
            </w:r>
          </w:p>
        </w:tc>
      </w:tr>
      <w:tr>
        <w:tc>
          <w:tcPr>
            <w:tcW w:type="dxa" w:w="165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Mentor workspace</w:t>
            </w:r>
          </w:p>
        </w:tc>
        <w:tc>
          <w:tcPr>
            <w:tcW w:type="dxa" w:w="55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Role-specific dashboard, assigned work views, enrolled mentor directory, profile drawer, and source sync.</w:t>
            </w:r>
          </w:p>
        </w:tc>
        <w:tc>
          <w:tcPr>
            <w:tcW w:type="dxa" w:w="266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Implemented; onboarding lifecycle needs final verification.</w:t>
            </w:r>
          </w:p>
        </w:tc>
      </w:tr>
      <w:tr>
        <w:tc>
          <w:tcPr>
            <w:tcW w:type="dxa" w:w="165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Enrollment sync</w:t>
            </w:r>
          </w:p>
        </w:tc>
        <w:tc>
          <w:tcPr>
            <w:tcW w:type="dxa" w:w="55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Excel upload and sync for students and mentors; Google Sheets connection for mentor records.</w:t>
            </w:r>
          </w:p>
        </w:tc>
        <w:tc>
          <w:tcPr>
            <w:tcW w:type="dxa" w:w="266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In staged testing; source validation and job reliability are still required.</w:t>
            </w:r>
          </w:p>
        </w:tc>
      </w:tr>
      <w:tr>
        <w:tc>
          <w:tcPr>
            <w:tcW w:type="dxa" w:w="165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Institutions</w:t>
            </w:r>
          </w:p>
        </w:tc>
        <w:tc>
          <w:tcPr>
            <w:tcW w:type="dxa" w:w="55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Institution CRUD plus Excel import of institution name and address.</w:t>
            </w:r>
          </w:p>
        </w:tc>
        <w:tc>
          <w:tcPr>
            <w:tcW w:type="dxa" w:w="266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Latest migration must be applied in staging.</w:t>
            </w:r>
          </w:p>
        </w:tc>
      </w:tr>
      <w:tr>
        <w:tc>
          <w:tcPr>
            <w:tcW w:type="dxa" w:w="165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Materials</w:t>
            </w:r>
          </w:p>
        </w:tc>
        <w:tc>
          <w:tcPr>
            <w:tcW w:type="dxa" w:w="55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Admin material lifecycle, audience selection, and student edit/view access setting.</w:t>
            </w:r>
          </w:p>
        </w:tc>
        <w:tc>
          <w:tcPr>
            <w:tcW w:type="dxa" w:w="266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Storage configuration and student delivery verification remain.</w:t>
            </w:r>
          </w:p>
        </w:tc>
      </w:tr>
    </w:tbl>
    <w:p>
      <w:pPr>
        <w:spacing w:after="20"/>
      </w:pPr>
    </w:p>
    <w:p>
      <w:pPr>
        <w:keepNext/>
        <w:spacing w:before="300" w:after="120"/>
      </w:pPr>
      <w:r>
        <w:rPr>
          <w:rFonts w:ascii="Aptos" w:hAnsi="Aptos" w:eastAsia="Aptos"/>
          <w:b/>
          <w:i w:val="0"/>
          <w:color w:val="000000"/>
          <w:sz w:val="32"/>
        </w:rPr>
        <w:t>Architecture and Data Flow</w:t>
      </w:r>
    </w:p>
    <w:p>
      <w:pPr>
        <w:spacing w:after="200"/>
        <w:jc w:val="center"/>
      </w:pPr>
      <w:r>
        <w:rPr>
          <w:rFonts w:ascii="Aptos" w:hAnsi="Aptos" w:eastAsia="Aptos"/>
          <w:b/>
          <w:i w:val="0"/>
          <w:color w:val="102A43"/>
          <w:sz w:val="21"/>
        </w:rPr>
        <w:t>Next.js web workspaces</w:t>
      </w:r>
      <w:r>
        <w:rPr>
          <w:rFonts w:ascii="Aptos" w:hAnsi="Aptos" w:eastAsia="Aptos"/>
          <w:b w:val="0"/>
          <w:i w:val="0"/>
          <w:color w:val="2563EB"/>
          <w:sz w:val="21"/>
        </w:rPr>
        <w:t xml:space="preserve">  →  </w:t>
      </w:r>
      <w:r>
        <w:rPr>
          <w:rFonts w:ascii="Aptos" w:hAnsi="Aptos" w:eastAsia="Aptos"/>
          <w:b/>
          <w:i w:val="0"/>
          <w:color w:val="102A43"/>
          <w:sz w:val="21"/>
        </w:rPr>
        <w:t>FastAPI service layer</w:t>
      </w:r>
      <w:r>
        <w:rPr>
          <w:rFonts w:ascii="Aptos" w:hAnsi="Aptos" w:eastAsia="Aptos"/>
          <w:b w:val="0"/>
          <w:i w:val="0"/>
          <w:color w:val="2563EB"/>
          <w:sz w:val="21"/>
        </w:rPr>
        <w:t xml:space="preserve">  →  </w:t>
      </w:r>
      <w:r>
        <w:rPr>
          <w:rFonts w:ascii="Aptos" w:hAnsi="Aptos" w:eastAsia="Aptos"/>
          <w:b/>
          <w:i w:val="0"/>
          <w:color w:val="102A43"/>
          <w:sz w:val="21"/>
        </w:rPr>
        <w:t>Supabase Postgres and Auth</w:t>
      </w:r>
      <w:r>
        <w:rPr>
          <w:rFonts w:ascii="Aptos" w:hAnsi="Aptos" w:eastAsia="Aptos"/>
          <w:b w:val="0"/>
          <w:i w:val="0"/>
          <w:color w:val="2563EB"/>
          <w:sz w:val="21"/>
        </w:rPr>
        <w:t xml:space="preserve">  ←  </w:t>
      </w:r>
      <w:r>
        <w:rPr>
          <w:rFonts w:ascii="Aptos" w:hAnsi="Aptos" w:eastAsia="Aptos"/>
          <w:b/>
          <w:i w:val="0"/>
          <w:color w:val="102A43"/>
          <w:sz w:val="21"/>
        </w:rPr>
        <w:t>Excel and Google Sheets sources</w:t>
      </w:r>
    </w:p>
    <w:p>
      <w:pPr>
        <w:spacing w:after="140" w:before="0" w:line="288" w:lineRule="auto"/>
      </w:pPr>
      <w:r>
        <w:rPr>
          <w:rFonts w:ascii="Aptos" w:hAnsi="Aptos" w:eastAsia="Aptos"/>
          <w:b w:val="0"/>
          <w:i w:val="0"/>
          <w:color w:val="1F2937"/>
          <w:sz w:val="20"/>
        </w:rPr>
        <w:t>The web application calls a FastAPI backend. The backend uses SQLAlchemy and Alembic for database access and schema migrations, while Supabase provides PostgreSQL and authentication. External source data is read from uploaded Excel workbooks and configured Google Sheets, then normalized and stored in the platform database.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Layer</w:t>
            </w:r>
          </w:p>
        </w:tc>
        <w:tc>
          <w:tcPr>
            <w:tcW w:type="dxa" w:w="3240"/>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Responsibility</w:t>
            </w:r>
          </w:p>
        </w:tc>
        <w:tc>
          <w:tcPr>
            <w:tcW w:type="dxa" w:w="5112"/>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Current components</w:t>
            </w:r>
          </w:p>
        </w:tc>
      </w:tr>
      <w:tr>
        <w:tc>
          <w:tcPr>
            <w:tcW w:type="dxa" w:w="15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Web</w:t>
            </w:r>
          </w:p>
        </w:tc>
        <w:tc>
          <w:tcPr>
            <w:tcW w:type="dxa" w:w="3240"/>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Role-aware UI and operational workflows</w:t>
            </w:r>
          </w:p>
        </w:tc>
        <w:tc>
          <w:tcPr>
            <w:tcW w:type="dxa" w:w="51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Next.js admin, student, and mentor pages; responsive header and collapsible navigation.</w:t>
            </w:r>
          </w:p>
        </w:tc>
      </w:tr>
      <w:tr>
        <w:tc>
          <w:tcPr>
            <w:tcW w:type="dxa" w:w="151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API</w:t>
            </w:r>
          </w:p>
        </w:tc>
        <w:tc>
          <w:tcPr>
            <w:tcW w:type="dxa" w:w="3240"/>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Business rules, validation, synchronization, and secure administration</w:t>
            </w:r>
          </w:p>
        </w:tc>
        <w:tc>
          <w:tcPr>
            <w:tcW w:type="dxa" w:w="511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FastAPI routes, service layer, repository layer, authentication checks, upload endpoints.</w:t>
            </w:r>
          </w:p>
        </w:tc>
      </w:tr>
      <w:tr>
        <w:tc>
          <w:tcPr>
            <w:tcW w:type="dxa" w:w="15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Data</w:t>
            </w:r>
          </w:p>
        </w:tc>
        <w:tc>
          <w:tcPr>
            <w:tcW w:type="dxa" w:w="3240"/>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Persistent operational records and schema evolution</w:t>
            </w:r>
          </w:p>
        </w:tc>
        <w:tc>
          <w:tcPr>
            <w:tcW w:type="dxa" w:w="51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Supabase PostgreSQL, SQLAlchemy models, Alembic migrations.</w:t>
            </w:r>
          </w:p>
        </w:tc>
      </w:tr>
      <w:tr>
        <w:tc>
          <w:tcPr>
            <w:tcW w:type="dxa" w:w="151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External sources</w:t>
            </w:r>
          </w:p>
        </w:tc>
        <w:tc>
          <w:tcPr>
            <w:tcW w:type="dxa" w:w="3240"/>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Roster and mentor profile ingestion</w:t>
            </w:r>
          </w:p>
        </w:tc>
        <w:tc>
          <w:tcPr>
            <w:tcW w:type="dxa" w:w="511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Excel workbooks, Google Sheets service-account access, Google Drive headshot links.</w:t>
            </w:r>
          </w:p>
        </w:tc>
      </w:tr>
      <w:tr>
        <w:tc>
          <w:tcPr>
            <w:tcW w:type="dxa" w:w="15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Files</w:t>
            </w:r>
          </w:p>
        </w:tc>
        <w:tc>
          <w:tcPr>
            <w:tcW w:type="dxa" w:w="3240"/>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Learning-material assets and mentor images</w:t>
            </w:r>
          </w:p>
        </w:tc>
        <w:tc>
          <w:tcPr>
            <w:tcW w:type="dxa" w:w="511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Material asset records and configured storage integration; production bucket policies still need validation.</w:t>
            </w:r>
          </w:p>
        </w:tc>
      </w:tr>
    </w:tbl>
    <w:p>
      <w:pPr>
        <w:spacing w:after="20"/>
      </w:pPr>
    </w:p>
    <w:p>
      <w:r>
        <w:br w:type="page"/>
      </w:r>
    </w:p>
    <w:p>
      <w:pPr>
        <w:keepNext/>
        <w:spacing w:before="300" w:after="120"/>
      </w:pPr>
      <w:r>
        <w:rPr>
          <w:rFonts w:ascii="Aptos" w:hAnsi="Aptos" w:eastAsia="Aptos"/>
          <w:b/>
          <w:i w:val="0"/>
          <w:color w:val="000000"/>
          <w:sz w:val="32"/>
        </w:rPr>
        <w:t>Admin Workspace and Operational Management</w:t>
      </w:r>
    </w:p>
    <w:p>
      <w:pPr>
        <w:spacing w:after="140" w:before="0" w:line="288" w:lineRule="auto"/>
      </w:pPr>
      <w:r>
        <w:rPr>
          <w:rFonts w:ascii="Aptos" w:hAnsi="Aptos" w:eastAsia="Aptos"/>
          <w:b w:val="0"/>
          <w:i w:val="0"/>
          <w:color w:val="1F2937"/>
          <w:sz w:val="21"/>
        </w:rPr>
        <w:t>The Admin Workspace is the operational control centre. It uses the DegreeLabs visual system, a collapsible sidebar that retains navigation icons, a fixed workspace shell, responsive layouts, and consistent three-dot action menus for management records.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Capability</w:t>
            </w:r>
          </w:p>
        </w:tc>
        <w:tc>
          <w:tcPr>
            <w:tcW w:type="dxa" w:w="7488"/>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Current implementation</w:t>
            </w:r>
          </w:p>
        </w:tc>
      </w:tr>
      <w:tr>
        <w:tc>
          <w:tcPr>
            <w:tcW w:type="dxa" w:w="237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Institution management</w:t>
            </w:r>
          </w:p>
        </w:tc>
        <w:tc>
          <w:tcPr>
            <w:tcW w:type="dxa" w:w="748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Create, edit, delete, and import institutions. The current importer accepts Excel files containing institution name and optional address, then creates or updates records.</w:t>
            </w:r>
          </w:p>
        </w:tc>
      </w:tr>
      <w:tr>
        <w:tc>
          <w:tcPr>
            <w:tcW w:type="dxa" w:w="237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Student enrollment</w:t>
            </w:r>
          </w:p>
        </w:tc>
        <w:tc>
          <w:tcPr>
            <w:tcW w:type="dxa" w:w="748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Upload Excel, synchronize the student roster, inspect status and directory totals, filter and search the directory, provision students manually, and manage student records.</w:t>
            </w:r>
          </w:p>
        </w:tc>
      </w:tr>
      <w:tr>
        <w:tc>
          <w:tcPr>
            <w:tcW w:type="dxa" w:w="237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Mentor enrollment</w:t>
            </w:r>
          </w:p>
        </w:tc>
        <w:tc>
          <w:tcPr>
            <w:tcW w:type="dxa" w:w="748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Manage DLIF Mentors and External Specialist Mentors through a nested sidebar. The mentor directory supports search, filters, profile detail views, status controls, uploads, and sync.</w:t>
            </w:r>
          </w:p>
        </w:tc>
      </w:tr>
      <w:tr>
        <w:tc>
          <w:tcPr>
            <w:tcW w:type="dxa" w:w="237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Fellowship operations</w:t>
            </w:r>
          </w:p>
        </w:tc>
        <w:tc>
          <w:tcPr>
            <w:tcW w:type="dxa" w:w="748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CRUD and action-menu patterns have been applied across the core management pages including institutions, cohorts, teams, companies, projects, assignments, challenges, and sessions.</w:t>
            </w:r>
          </w:p>
        </w:tc>
      </w:tr>
      <w:tr>
        <w:tc>
          <w:tcPr>
            <w:tcW w:type="dxa" w:w="237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Materials administration</w:t>
            </w:r>
          </w:p>
        </w:tc>
        <w:tc>
          <w:tcPr>
            <w:tcW w:type="dxa" w:w="748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Add, list, publish, archive, and manage materials. Administrators define audience and whether students receive view/download access or an editable copy.</w:t>
            </w:r>
          </w:p>
        </w:tc>
      </w:tr>
    </w:tbl>
    <w:p>
      <w:pPr>
        <w:spacing w:after="20"/>
      </w:pPr>
    </w:p>
    <w:p>
      <w:pPr>
        <w:keepNext/>
        <w:spacing w:before="300" w:after="120"/>
      </w:pPr>
      <w:r>
        <w:rPr>
          <w:rFonts w:ascii="Aptos" w:hAnsi="Aptos" w:eastAsia="Aptos"/>
          <w:b/>
          <w:i w:val="0"/>
          <w:color w:val="000000"/>
          <w:sz w:val="32"/>
        </w:rPr>
        <w:t>Student Enrollment Workflow</w:t>
      </w:r>
    </w:p>
    <w:p>
      <w:pPr>
        <w:spacing w:after="140" w:before="0" w:line="288" w:lineRule="auto"/>
      </w:pPr>
      <w:r>
        <w:rPr>
          <w:rFonts w:ascii="Aptos" w:hAnsi="Aptos" w:eastAsia="Aptos"/>
          <w:b w:val="0"/>
          <w:i w:val="0"/>
          <w:color w:val="1F2937"/>
          <w:sz w:val="20"/>
        </w:rPr>
        <w:t>The Enrolled Students page is designed as the administrative roster workflow. An administrator uploads an Excel workbook, the API validates and normalizes rows, stores valid records in the database, and refreshes the directory and summary counts after the sync result is received.</w:t>
      </w:r>
    </w:p>
    <w:p>
      <w:pPr>
        <w:pStyle w:val="ListBullet"/>
        <w:spacing w:after="80" w:line="276" w:lineRule="auto"/>
        <w:ind w:left="288" w:hanging="202"/>
      </w:pPr>
      <w:r>
        <w:rPr>
          <w:rFonts w:ascii="Aptos" w:hAnsi="Aptos" w:eastAsia="Aptos"/>
          <w:b w:val="0"/>
          <w:i w:val="0"/>
          <w:color w:val="1F2937"/>
          <w:sz w:val="20"/>
        </w:rPr>
        <w:t>Upload Excel and Sync Now controls are available in the enrolled-student directory.</w:t>
      </w:r>
    </w:p>
    <w:p>
      <w:pPr>
        <w:pStyle w:val="ListBullet"/>
        <w:spacing w:after="80" w:line="276" w:lineRule="auto"/>
        <w:ind w:left="288" w:hanging="202"/>
      </w:pPr>
      <w:r>
        <w:rPr>
          <w:rFonts w:ascii="Aptos" w:hAnsi="Aptos" w:eastAsia="Aptos"/>
          <w:b w:val="0"/>
          <w:i w:val="0"/>
          <w:color w:val="1F2937"/>
          <w:sz w:val="20"/>
        </w:rPr>
        <w:t>The UI includes institution and status filters, text search, manual student creation, and record-level Edit and Delete actions.</w:t>
      </w:r>
    </w:p>
    <w:p>
      <w:pPr>
        <w:pStyle w:val="ListBullet"/>
        <w:spacing w:after="80" w:line="276" w:lineRule="auto"/>
        <w:ind w:left="288" w:hanging="202"/>
      </w:pPr>
      <w:r>
        <w:rPr>
          <w:rFonts w:ascii="Aptos" w:hAnsi="Aptos" w:eastAsia="Aptos"/>
          <w:b w:val="0"/>
          <w:i w:val="0"/>
          <w:color w:val="1F2937"/>
          <w:sz w:val="20"/>
        </w:rPr>
        <w:t>Import validation intentionally skips source rows that do not match required fields or a registered institution; skipped-row feedback is surfaced to the administrator.</w:t>
      </w:r>
    </w:p>
    <w:p>
      <w:pPr>
        <w:pStyle w:val="ListBullet"/>
        <w:spacing w:after="80" w:line="276" w:lineRule="auto"/>
        <w:ind w:left="288" w:hanging="202"/>
      </w:pPr>
      <w:r>
        <w:rPr>
          <w:rFonts w:ascii="Aptos" w:hAnsi="Aptos" w:eastAsia="Aptos"/>
          <w:b w:val="0"/>
          <w:i w:val="0"/>
          <w:color w:val="1F2937"/>
          <w:sz w:val="20"/>
        </w:rPr>
        <w:t>The most recent institution-address migration must be applied before testing institution imports in staging.</w:t>
      </w:r>
    </w:p>
    <w:p>
      <w:pPr>
        <w:keepNext/>
        <w:spacing w:before="300" w:after="120"/>
      </w:pPr>
      <w:r>
        <w:rPr>
          <w:rFonts w:ascii="Aptos" w:hAnsi="Aptos" w:eastAsia="Aptos"/>
          <w:b/>
          <w:i w:val="0"/>
          <w:color w:val="000000"/>
          <w:sz w:val="32"/>
        </w:rPr>
        <w:t>Mentor Directory, Sync, and Onboarding</w:t>
      </w:r>
    </w:p>
    <w:p>
      <w:pPr>
        <w:spacing w:after="140" w:before="0" w:line="288" w:lineRule="auto"/>
      </w:pPr>
      <w:r>
        <w:rPr>
          <w:rFonts w:ascii="Aptos" w:hAnsi="Aptos" w:eastAsia="Aptos"/>
          <w:b w:val="0"/>
          <w:i w:val="0"/>
          <w:color w:val="1F2937"/>
          <w:sz w:val="20"/>
        </w:rPr>
        <w:t>Mentor records can be supplied by Google Sheets or Excel. The current source mapping captures contact and professional data: name, email, current role, organisation, city and country, phone, LinkedIn or professional URL, headline, biography, expertise, industries, years of experience, preferred support, mentoring statement, and optional headshot link.</w:t>
      </w:r>
    </w:p>
    <w:p>
      <w:pPr>
        <w:spacing w:after="180"/>
        <w:jc w:val="center"/>
      </w:pPr>
      <w:r>
        <w:rPr>
          <w:rFonts w:ascii="Aptos" w:hAnsi="Aptos" w:eastAsia="Aptos"/>
          <w:b/>
          <w:i w:val="0"/>
          <w:color w:val="102A43"/>
          <w:sz w:val="19"/>
        </w:rPr>
        <w:t>Google Sheet or Excel</w:t>
      </w:r>
      <w:r>
        <w:rPr>
          <w:rFonts w:ascii="Aptos" w:hAnsi="Aptos" w:eastAsia="Aptos"/>
          <w:b w:val="0"/>
          <w:i w:val="0"/>
          <w:color w:val="2563EB"/>
          <w:sz w:val="19"/>
        </w:rPr>
        <w:t xml:space="preserve">  →  </w:t>
      </w:r>
      <w:r>
        <w:rPr>
          <w:rFonts w:ascii="Aptos" w:hAnsi="Aptos" w:eastAsia="Aptos"/>
          <w:b/>
          <w:i w:val="0"/>
          <w:color w:val="102A43"/>
          <w:sz w:val="19"/>
        </w:rPr>
        <w:t>Normalize and store as pending mentor</w:t>
      </w:r>
      <w:r>
        <w:rPr>
          <w:rFonts w:ascii="Aptos" w:hAnsi="Aptos" w:eastAsia="Aptos"/>
          <w:b w:val="0"/>
          <w:i w:val="0"/>
          <w:color w:val="2563EB"/>
          <w:sz w:val="19"/>
        </w:rPr>
        <w:t xml:space="preserve">  →  </w:t>
      </w:r>
      <w:r>
        <w:rPr>
          <w:rFonts w:ascii="Aptos" w:hAnsi="Aptos" w:eastAsia="Aptos"/>
          <w:b/>
          <w:i w:val="0"/>
          <w:color w:val="102A43"/>
          <w:sz w:val="19"/>
        </w:rPr>
        <w:t>Create Supabase account</w:t>
      </w:r>
      <w:r>
        <w:rPr>
          <w:rFonts w:ascii="Aptos" w:hAnsi="Aptos" w:eastAsia="Aptos"/>
          <w:b w:val="0"/>
          <w:i w:val="0"/>
          <w:color w:val="2563EB"/>
          <w:sz w:val="19"/>
        </w:rPr>
        <w:t xml:space="preserve">  →  </w:t>
      </w:r>
      <w:r>
        <w:rPr>
          <w:rFonts w:ascii="Aptos" w:hAnsi="Aptos" w:eastAsia="Aptos"/>
          <w:b/>
          <w:i w:val="0"/>
          <w:color w:val="102A43"/>
          <w:sz w:val="19"/>
        </w:rPr>
        <w:t>Set-password email</w:t>
      </w:r>
      <w:r>
        <w:rPr>
          <w:rFonts w:ascii="Aptos" w:hAnsi="Aptos" w:eastAsia="Aptos"/>
          <w:b w:val="0"/>
          <w:i w:val="0"/>
          <w:color w:val="2563EB"/>
          <w:sz w:val="19"/>
        </w:rPr>
        <w:t xml:space="preserve">  →  </w:t>
      </w:r>
      <w:r>
        <w:rPr>
          <w:rFonts w:ascii="Aptos" w:hAnsi="Aptos" w:eastAsia="Aptos"/>
          <w:b/>
          <w:i w:val="0"/>
          <w:color w:val="102A43"/>
          <w:sz w:val="19"/>
        </w:rPr>
        <w:t>Activate account</w:t>
      </w:r>
    </w:p>
    <w:p>
      <w:pPr>
        <w:spacing w:after="140" w:before="0" w:line="288" w:lineRule="auto"/>
      </w:pPr>
      <w:r>
        <w:rPr>
          <w:rFonts w:ascii="Aptos" w:hAnsi="Aptos" w:eastAsia="Aptos"/>
          <w:b w:val="0"/>
          <w:i w:val="0"/>
          <w:color w:val="9A6700"/>
          <w:sz w:val="20"/>
        </w:rPr>
        <w:t>This is the intended production-grade onboarding lifecycle. The directory and profile experience are present; the invitation, password-setup, email-delivery, and final account-activation path must still be verified against the staging Supabase project before release.</w:t>
      </w:r>
    </w:p>
    <w:p>
      <w:pPr>
        <w:pStyle w:val="ListBullet"/>
        <w:spacing w:after="80" w:line="276" w:lineRule="auto"/>
        <w:ind w:left="288" w:hanging="202"/>
      </w:pPr>
      <w:r>
        <w:rPr>
          <w:rFonts w:ascii="Aptos" w:hAnsi="Aptos" w:eastAsia="Aptos"/>
          <w:b w:val="0"/>
          <w:i w:val="0"/>
          <w:color w:val="1F2937"/>
          <w:sz w:val="20"/>
        </w:rPr>
        <w:t>A mentor profile dialog presents the professional biography, support statement, contact details, location, expertise, industries, experience, profile URL, and status control.</w:t>
      </w:r>
    </w:p>
    <w:p>
      <w:pPr>
        <w:pStyle w:val="ListBullet"/>
        <w:spacing w:after="80" w:line="276" w:lineRule="auto"/>
        <w:ind w:left="288" w:hanging="202"/>
      </w:pPr>
      <w:r>
        <w:rPr>
          <w:rFonts w:ascii="Aptos" w:hAnsi="Aptos" w:eastAsia="Aptos"/>
          <w:b w:val="0"/>
          <w:i w:val="0"/>
          <w:color w:val="1F2937"/>
          <w:sz w:val="20"/>
        </w:rPr>
        <w:t>Public Google Drive headshot links can be normalized for display. When no accessible image is available, the UI uses initials as a safe fallback.</w:t>
      </w:r>
    </w:p>
    <w:p>
      <w:r>
        <w:br w:type="page"/>
      </w:r>
    </w:p>
    <w:p>
      <w:pPr>
        <w:keepNext/>
        <w:spacing w:before="300" w:after="120"/>
      </w:pPr>
      <w:r>
        <w:rPr>
          <w:rFonts w:ascii="Aptos" w:hAnsi="Aptos" w:eastAsia="Aptos"/>
          <w:b/>
          <w:i w:val="0"/>
          <w:color w:val="000000"/>
          <w:sz w:val="32"/>
        </w:rPr>
        <w:t>Student and Mentor Experiences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Workspace</w:t>
            </w:r>
          </w:p>
        </w:tc>
        <w:tc>
          <w:tcPr>
            <w:tcW w:type="dxa" w:w="8136"/>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Experience delivered</w:t>
            </w:r>
          </w:p>
        </w:tc>
      </w:tr>
      <w:tr>
        <w:tc>
          <w:tcPr>
            <w:tcW w:type="dxa" w:w="172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Student</w:t>
            </w:r>
          </w:p>
        </w:tc>
        <w:tc>
          <w:tcPr>
            <w:tcW w:type="dxa" w:w="813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Student dashboard and journey navigation; team, mentor, company, project, challenge, session, submission, feedback, and student-centric-materials areas.</w:t>
            </w:r>
          </w:p>
        </w:tc>
      </w:tr>
      <w:tr>
        <w:tc>
          <w:tcPr>
            <w:tcW w:type="dxa" w:w="172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Mentor</w:t>
            </w:r>
          </w:p>
        </w:tc>
        <w:tc>
          <w:tcPr>
            <w:tcW w:type="dxa" w:w="8136"/>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Mentor dashboard with assigned teams, students, projects, and submission reviews. The mentor workspace is separated from the admin management environment.</w:t>
            </w:r>
          </w:p>
        </w:tc>
      </w:tr>
      <w:tr>
        <w:tc>
          <w:tcPr>
            <w:tcW w:type="dxa" w:w="172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Shared platform shell</w:t>
            </w:r>
          </w:p>
        </w:tc>
        <w:tc>
          <w:tcPr>
            <w:tcW w:type="dxa" w:w="8136"/>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DegreeLabs logo, responsive header, account area, sign-out control, collapsible desktop navigation, and mobile hamburger navigation.</w:t>
            </w:r>
          </w:p>
        </w:tc>
      </w:tr>
    </w:tbl>
    <w:p>
      <w:pPr>
        <w:spacing w:after="20"/>
      </w:pPr>
    </w:p>
    <w:p>
      <w:pPr>
        <w:spacing w:after="140" w:before="0" w:line="288" w:lineRule="auto"/>
      </w:pPr>
      <w:r>
        <w:rPr>
          <w:rFonts w:ascii="Aptos" w:hAnsi="Aptos" w:eastAsia="Aptos"/>
          <w:b w:val="0"/>
          <w:i w:val="0"/>
          <w:color w:val="1F2937"/>
          <w:sz w:val="20"/>
        </w:rPr>
        <w:t>The visual layer has been aligned to the DegreeLabs brand with navy, blue, light-blue, and white surfaces. Desktop navigation stays visible while page content scrolls independently. On smaller screens, navigation is designed to collapse into a mobile menu without changing the desktop information architecture.</w:t>
      </w:r>
    </w:p>
    <w:p>
      <w:pPr>
        <w:keepNext/>
        <w:spacing w:before="300" w:after="120"/>
      </w:pPr>
      <w:r>
        <w:rPr>
          <w:rFonts w:ascii="Aptos" w:hAnsi="Aptos" w:eastAsia="Aptos"/>
          <w:b/>
          <w:i w:val="0"/>
          <w:color w:val="000000"/>
          <w:sz w:val="32"/>
        </w:rPr>
        <w:t>Student Centric Materials</w:t>
      </w:r>
    </w:p>
    <w:p>
      <w:pPr>
        <w:spacing w:after="140" w:before="0" w:line="288" w:lineRule="auto"/>
      </w:pPr>
      <w:r>
        <w:rPr>
          <w:rFonts w:ascii="Aptos" w:hAnsi="Aptos" w:eastAsia="Aptos"/>
          <w:b w:val="0"/>
          <w:i w:val="0"/>
          <w:color w:val="1F2937"/>
          <w:sz w:val="20"/>
        </w:rPr>
        <w:t>The materials module gives administrators a governed way to publish fellowship resources. It includes material counts, search, metadata, audience visibility, lifecycle status, upload workflows, and row-level actions. Students see only materials that match their assigned audience and publishing state.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Control</w:t>
            </w:r>
          </w:p>
        </w:tc>
        <w:tc>
          <w:tcPr>
            <w:tcW w:type="dxa" w:w="7632"/>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Current behavior</w:t>
            </w:r>
          </w:p>
        </w:tc>
      </w:tr>
      <w:tr>
        <w:tc>
          <w:tcPr>
            <w:tcW w:type="dxa" w:w="223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Audience</w:t>
            </w:r>
          </w:p>
        </w:tc>
        <w:tc>
          <w:tcPr>
            <w:tcW w:type="dxa" w:w="763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All students, all mentors, students and mentors, or restricted delivery.</w:t>
            </w:r>
          </w:p>
        </w:tc>
      </w:tr>
      <w:tr>
        <w:tc>
          <w:tcPr>
            <w:tcW w:type="dxa" w:w="223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Student access</w:t>
            </w:r>
          </w:p>
        </w:tc>
        <w:tc>
          <w:tcPr>
            <w:tcW w:type="dxa" w:w="763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Administrator selects view/download or editable copy during material upload; students do not need to request access.</w:t>
            </w:r>
          </w:p>
        </w:tc>
      </w:tr>
      <w:tr>
        <w:tc>
          <w:tcPr>
            <w:tcW w:type="dxa" w:w="223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Lifecycle</w:t>
            </w:r>
          </w:p>
        </w:tc>
        <w:tc>
          <w:tcPr>
            <w:tcW w:type="dxa" w:w="763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Draft, published, and archived states are represented in the admin listing.</w:t>
            </w:r>
          </w:p>
        </w:tc>
      </w:tr>
      <w:tr>
        <w:tc>
          <w:tcPr>
            <w:tcW w:type="dxa" w:w="223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Data model</w:t>
            </w:r>
          </w:p>
        </w:tc>
        <w:tc>
          <w:tcPr>
            <w:tcW w:type="dxa" w:w="763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Materials, assets, institution targeting, cohort targeting, mentor categories, and engagement records are represented in the database design.</w:t>
            </w:r>
          </w:p>
        </w:tc>
      </w:tr>
    </w:tbl>
    <w:p>
      <w:pPr>
        <w:spacing w:after="20"/>
      </w:pPr>
    </w:p>
    <w:p>
      <w:pPr>
        <w:spacing w:after="140" w:before="0" w:line="288" w:lineRule="auto"/>
      </w:pPr>
      <w:r>
        <w:rPr>
          <w:rFonts w:ascii="Aptos" w:hAnsi="Aptos" w:eastAsia="Aptos"/>
          <w:b w:val="0"/>
          <w:i w:val="0"/>
          <w:color w:val="9A6700"/>
          <w:sz w:val="20"/>
        </w:rPr>
        <w:t>Remaining validation: configure and test the chosen file-storage bucket, its signed/public URL policy, upload size and type restrictions, and the student-facing material query. A published item must appear for the intended student audience before this feature can be signed off.</w:t>
      </w:r>
    </w:p>
    <w:p>
      <w:pPr>
        <w:keepNext/>
        <w:spacing w:before="300" w:after="120"/>
      </w:pPr>
      <w:r>
        <w:rPr>
          <w:rFonts w:ascii="Aptos" w:hAnsi="Aptos" w:eastAsia="Aptos"/>
          <w:b/>
          <w:i w:val="0"/>
          <w:color w:val="000000"/>
          <w:sz w:val="32"/>
        </w:rPr>
        <w:t>Authentication, Environments, and Data Operations</w:t>
      </w:r>
    </w:p>
    <w:p>
      <w:pPr>
        <w:spacing w:after="140" w:before="0" w:line="288" w:lineRule="auto"/>
      </w:pPr>
      <w:r>
        <w:rPr>
          <w:rFonts w:ascii="Aptos" w:hAnsi="Aptos" w:eastAsia="Aptos"/>
          <w:b w:val="0"/>
          <w:i w:val="0"/>
          <w:color w:val="1F2937"/>
          <w:sz w:val="20"/>
        </w:rPr>
        <w:t>Authentication is based on Supabase email/password authentication, with a 2FA flow and role-aware portal routing. A separate staging Supabase project has been created so changes can be validated without editing production data. Database schema changes are versioned through Alembic migrations.</w:t>
      </w:r>
    </w:p>
    <w:p>
      <w:pPr>
        <w:pStyle w:val="ListBullet"/>
        <w:spacing w:after="80" w:line="276" w:lineRule="auto"/>
        <w:ind w:left="288" w:hanging="202"/>
      </w:pPr>
      <w:r>
        <w:rPr>
          <w:rFonts w:ascii="Aptos" w:hAnsi="Aptos" w:eastAsia="Aptos"/>
          <w:b w:val="0"/>
          <w:i w:val="0"/>
          <w:color w:val="1F2937"/>
          <w:sz w:val="20"/>
        </w:rPr>
        <w:t>Keep staging and production Supabase URLs, keys, database URLs, SMTP or email-provider credentials, and Google service-account credentials in separate environment files or deployment secrets.</w:t>
      </w:r>
    </w:p>
    <w:p>
      <w:pPr>
        <w:pStyle w:val="ListBullet"/>
        <w:spacing w:after="80" w:line="276" w:lineRule="auto"/>
        <w:ind w:left="288" w:hanging="202"/>
      </w:pPr>
      <w:r>
        <w:rPr>
          <w:rFonts w:ascii="Aptos" w:hAnsi="Aptos" w:eastAsia="Aptos"/>
          <w:b w:val="0"/>
          <w:i w:val="0"/>
          <w:color w:val="1F2937"/>
          <w:sz w:val="20"/>
        </w:rPr>
        <w:t>Never commit credentials, app passwords, database passwords, service-account JSON, or production exports into the repository.</w:t>
      </w:r>
    </w:p>
    <w:p>
      <w:pPr>
        <w:pStyle w:val="ListBullet"/>
        <w:spacing w:after="80" w:line="276" w:lineRule="auto"/>
        <w:ind w:left="288" w:hanging="202"/>
      </w:pPr>
      <w:r>
        <w:rPr>
          <w:rFonts w:ascii="Aptos" w:hAnsi="Aptos" w:eastAsia="Aptos"/>
          <w:b w:val="0"/>
          <w:i w:val="0"/>
          <w:color w:val="1F2937"/>
          <w:sz w:val="20"/>
        </w:rPr>
        <w:t>Before staging tests, run the Alembic migration chain and seed the staging admin profile so public user records and Supabase Auth users are aligned.</w:t>
      </w:r>
    </w:p>
    <w:p>
      <w:pPr>
        <w:pStyle w:val="ListBullet"/>
        <w:spacing w:after="80" w:line="276" w:lineRule="auto"/>
        <w:ind w:left="288" w:hanging="202"/>
      </w:pPr>
      <w:r>
        <w:rPr>
          <w:rFonts w:ascii="Aptos" w:hAnsi="Aptos" w:eastAsia="Aptos"/>
          <w:b w:val="0"/>
          <w:i w:val="0"/>
          <w:color w:val="1F2937"/>
          <w:sz w:val="20"/>
        </w:rPr>
        <w:t>Use a pooler-compatible PostgreSQL connection URL for cloud deployments and percent-encode reserved password characters in connection strings.</w:t>
      </w:r>
    </w:p>
    <w:p>
      <w:pPr>
        <w:keepNext/>
        <w:spacing w:before="300" w:after="120"/>
      </w:pPr>
      <w:r>
        <w:rPr>
          <w:rFonts w:ascii="Aptos" w:hAnsi="Aptos" w:eastAsia="Aptos"/>
          <w:b/>
          <w:i w:val="0"/>
          <w:color w:val="000000"/>
          <w:sz w:val="32"/>
        </w:rPr>
        <w:t>Production Readiness Assessment</w:t>
      </w:r>
    </w:p>
    <w:p>
      <w:pPr>
        <w:spacing w:after="140" w:before="0" w:line="288" w:lineRule="auto"/>
      </w:pPr>
      <w:r>
        <w:rPr>
          <w:rFonts w:ascii="Aptos" w:hAnsi="Aptos" w:eastAsia="Aptos"/>
          <w:b w:val="0"/>
          <w:i w:val="0"/>
          <w:color w:val="1F2937"/>
          <w:sz w:val="21"/>
        </w:rPr>
        <w:t>Current assessment: the platform is an advanced staging build. Core UX and operational workflows are in place, but the following controls must be completed and proven before a production launch.</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Release control</w:t>
            </w:r>
          </w:p>
        </w:tc>
        <w:tc>
          <w:tcPr>
            <w:tcW w:type="dxa" w:w="3672"/>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Why it matters</w:t>
            </w:r>
          </w:p>
        </w:tc>
        <w:tc>
          <w:tcPr>
            <w:tcW w:type="dxa" w:w="4248"/>
            <w:shd w:fill="102A43"/>
            <w:tcBorders>
              <w:top w:val="single" w:sz="6" w:color="D6E2F0"/>
              <w:left w:val="single" w:sz="6" w:color="D6E2F0"/>
              <w:bottom w:val="single" w:sz="6" w:color="D6E2F0"/>
              <w:right w:val="single" w:sz="6" w:color="D6E2F0"/>
            </w:tcBorders>
            <w:tcMar>
              <w:top w:w="90" w:type="dxa"/>
              <w:start w:w="110" w:type="dxa"/>
              <w:bottom w:w="90" w:type="dxa"/>
              <w:end w:w="110" w:type="dxa"/>
            </w:tcMar>
            <w:vAlign w:val="center"/>
          </w:tcPr>
          <w:p>
            <w:pPr>
              <w:spacing w:after="0"/>
            </w:pPr>
            <w:r>
              <w:rPr>
                <w:rFonts w:ascii="Aptos" w:hAnsi="Aptos" w:eastAsia="Aptos"/>
                <w:b/>
                <w:i w:val="0"/>
                <w:color w:val="FFFFFF"/>
                <w:sz w:val="17"/>
              </w:rPr>
              <w:t>Required next action</w:t>
            </w:r>
          </w:p>
        </w:tc>
      </w:tr>
      <w:tr>
        <w:tc>
          <w:tcPr>
            <w:tcW w:type="dxa" w:w="19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Transactional email</w:t>
            </w:r>
          </w:p>
        </w:tc>
        <w:tc>
          <w:tcPr>
            <w:tcW w:type="dxa" w:w="367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Email delivery must be reliable and observable for 2FA and onboarding.</w:t>
            </w:r>
          </w:p>
        </w:tc>
        <w:tc>
          <w:tcPr>
            <w:tcW w:type="dxa" w:w="424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Replace Gmail app-password dependency with a transactional provider or managed Workspace SMTP.</w:t>
            </w:r>
          </w:p>
        </w:tc>
      </w:tr>
      <w:tr>
        <w:tc>
          <w:tcPr>
            <w:tcW w:type="dxa" w:w="19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Durable sync jobs</w:t>
            </w:r>
          </w:p>
        </w:tc>
        <w:tc>
          <w:tcPr>
            <w:tcW w:type="dxa" w:w="367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Spreadsheet sync must survive API restarts and support retries.</w:t>
            </w:r>
          </w:p>
        </w:tc>
        <w:tc>
          <w:tcPr>
            <w:tcW w:type="dxa" w:w="424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Move sync execution from in-process background tasks to a durable worker and queue.</w:t>
            </w:r>
          </w:p>
        </w:tc>
      </w:tr>
      <w:tr>
        <w:tc>
          <w:tcPr>
            <w:tcW w:type="dxa" w:w="19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Storage security</w:t>
            </w:r>
          </w:p>
        </w:tc>
        <w:tc>
          <w:tcPr>
            <w:tcW w:type="dxa" w:w="367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Materials and profile images require controlled file access.</w:t>
            </w:r>
          </w:p>
        </w:tc>
        <w:tc>
          <w:tcPr>
            <w:tcW w:type="dxa" w:w="424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Configure Supabase Storage buckets, service policies, signed URLs, limits, and malware scanning approach.</w:t>
            </w:r>
          </w:p>
        </w:tc>
      </w:tr>
      <w:tr>
        <w:tc>
          <w:tcPr>
            <w:tcW w:type="dxa" w:w="19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Observability</w:t>
            </w:r>
          </w:p>
        </w:tc>
        <w:tc>
          <w:tcPr>
            <w:tcW w:type="dxa" w:w="367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Failures must be detected before users report them.</w:t>
            </w:r>
          </w:p>
        </w:tc>
        <w:tc>
          <w:tcPr>
            <w:tcW w:type="dxa" w:w="424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Add structured logs, error alerts, audit logs, health checks, and dashboard monitoring.</w:t>
            </w:r>
          </w:p>
        </w:tc>
      </w:tr>
      <w:tr>
        <w:tc>
          <w:tcPr>
            <w:tcW w:type="dxa" w:w="1944"/>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Data protection</w:t>
            </w:r>
          </w:p>
        </w:tc>
        <w:tc>
          <w:tcPr>
            <w:tcW w:type="dxa" w:w="3672"/>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Operational data needs recoverability.</w:t>
            </w:r>
          </w:p>
        </w:tc>
        <w:tc>
          <w:tcPr>
            <w:tcW w:type="dxa" w:w="4248"/>
            <w:shd w:fill="F3F8FF"/>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Define backups, retention, restore drills, and a documented incident procedure.</w:t>
            </w:r>
          </w:p>
        </w:tc>
      </w:tr>
      <w:tr>
        <w:tc>
          <w:tcPr>
            <w:tcW w:type="dxa" w:w="1944"/>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Access assurance</w:t>
            </w:r>
          </w:p>
        </w:tc>
        <w:tc>
          <w:tcPr>
            <w:tcW w:type="dxa" w:w="3672"/>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Each role must only see permitted data and actions.</w:t>
            </w:r>
          </w:p>
        </w:tc>
        <w:tc>
          <w:tcPr>
            <w:tcW w:type="dxa" w:w="4248"/>
            <w:tcBorders>
              <w:top w:val="single" w:sz="6" w:color="D6E2F0"/>
              <w:left w:val="single" w:sz="6" w:color="D6E2F0"/>
              <w:bottom w:val="single" w:sz="6" w:color="D6E2F0"/>
              <w:right w:val="single" w:sz="6" w:color="D6E2F0"/>
            </w:tcBorders>
            <w:tcMar>
              <w:top w:w="90" w:type="dxa"/>
              <w:start w:w="110" w:type="dxa"/>
              <w:bottom w:w="90" w:type="dxa"/>
              <w:end w:w="110" w:type="dxa"/>
            </w:tcMar>
            <w:vAlign w:val="top"/>
          </w:tcPr>
          <w:p>
            <w:pPr>
              <w:spacing w:after="0" w:line="259" w:lineRule="auto"/>
            </w:pPr>
            <w:r>
              <w:rPr>
                <w:rFonts w:ascii="Aptos" w:hAnsi="Aptos" w:eastAsia="Aptos"/>
                <w:b w:val="0"/>
                <w:i w:val="0"/>
                <w:color w:val="1F2937"/>
                <w:sz w:val="17"/>
              </w:rPr>
              <w:t>Run a role-permission test matrix, dependency-delete tests, and restore tests in staging.</w:t>
            </w:r>
          </w:p>
        </w:tc>
      </w:tr>
    </w:tbl>
    <w:p>
      <w:pPr>
        <w:spacing w:after="20"/>
      </w:pPr>
    </w:p>
    <w:p>
      <w:pPr>
        <w:keepNext/>
        <w:spacing w:before="300" w:after="120"/>
      </w:pPr>
      <w:r>
        <w:rPr>
          <w:rFonts w:ascii="Aptos" w:hAnsi="Aptos" w:eastAsia="Aptos"/>
          <w:b/>
          <w:i w:val="0"/>
          <w:color w:val="000000"/>
          <w:sz w:val="32"/>
        </w:rPr>
        <w:t>Immediate Priorities</w:t>
      </w:r>
    </w:p>
    <w:p>
      <w:pPr>
        <w:pStyle w:val="ListNumber"/>
        <w:spacing w:after="100" w:line="276" w:lineRule="auto"/>
      </w:pPr>
      <w:r>
        <w:rPr>
          <w:rFonts w:ascii="Aptos" w:hAnsi="Aptos" w:eastAsia="Aptos"/>
          <w:b w:val="0"/>
          <w:i w:val="0"/>
          <w:color w:val="1F2937"/>
          <w:sz w:val="20"/>
        </w:rPr>
        <w:t>Apply the latest Alembic migration in staging, restart the API, and validate institution Excel import with a workbook containing Institution Name and Address.</w:t>
      </w:r>
    </w:p>
    <w:p>
      <w:pPr>
        <w:pStyle w:val="ListNumber"/>
        <w:spacing w:after="100" w:line="276" w:lineRule="auto"/>
      </w:pPr>
      <w:r>
        <w:rPr>
          <w:rFonts w:ascii="Aptos" w:hAnsi="Aptos" w:eastAsia="Aptos"/>
          <w:b w:val="0"/>
          <w:i w:val="0"/>
          <w:color w:val="1F2937"/>
          <w:sz w:val="20"/>
        </w:rPr>
        <w:t>Complete an end-to-end staging test for student and mentor spreadsheet sync, including new records, changed records, skipped-row feedback, and source-row deletions.</w:t>
      </w:r>
    </w:p>
    <w:p>
      <w:pPr>
        <w:pStyle w:val="ListNumber"/>
        <w:spacing w:after="100" w:line="276" w:lineRule="auto"/>
      </w:pPr>
      <w:r>
        <w:rPr>
          <w:rFonts w:ascii="Aptos" w:hAnsi="Aptos" w:eastAsia="Aptos"/>
          <w:b w:val="0"/>
          <w:i w:val="0"/>
          <w:color w:val="1F2937"/>
          <w:sz w:val="20"/>
        </w:rPr>
        <w:t>Seed and verify the staging admin account in both Supabase Auth and the application users table; then run login and role-routing tests for admin, student, and mentor accounts.</w:t>
      </w:r>
    </w:p>
    <w:p>
      <w:pPr>
        <w:pStyle w:val="ListNumber"/>
        <w:spacing w:after="100" w:line="276" w:lineRule="auto"/>
      </w:pPr>
      <w:r>
        <w:rPr>
          <w:rFonts w:ascii="Aptos" w:hAnsi="Aptos" w:eastAsia="Aptos"/>
          <w:b w:val="0"/>
          <w:i w:val="0"/>
          <w:color w:val="1F2937"/>
          <w:sz w:val="20"/>
        </w:rPr>
        <w:t>Configure production-grade file storage and prove the materials workflow: upload, publish, student visibility, view/download, editable copy, archive, and deletion behavior.</w:t>
      </w:r>
    </w:p>
    <w:p>
      <w:pPr>
        <w:pStyle w:val="ListNumber"/>
        <w:spacing w:after="100" w:line="276" w:lineRule="auto"/>
      </w:pPr>
      <w:r>
        <w:rPr>
          <w:rFonts w:ascii="Aptos" w:hAnsi="Aptos" w:eastAsia="Aptos"/>
          <w:b w:val="0"/>
          <w:i w:val="0"/>
          <w:color w:val="1F2937"/>
          <w:sz w:val="20"/>
        </w:rPr>
        <w:t>Finalize the mentor onboarding pipeline with secure password setup, a production email service, clear retry behavior, and account-activation checks.</w:t>
      </w:r>
    </w:p>
    <w:p>
      <w:pPr>
        <w:pStyle w:val="ListNumber"/>
        <w:spacing w:after="100" w:line="276" w:lineRule="auto"/>
      </w:pPr>
      <w:r>
        <w:rPr>
          <w:rFonts w:ascii="Aptos" w:hAnsi="Aptos" w:eastAsia="Aptos"/>
          <w:b w:val="0"/>
          <w:i w:val="0"/>
          <w:color w:val="1F2937"/>
          <w:sz w:val="20"/>
        </w:rPr>
        <w:t>Introduce a durable job runner, monitoring, alerts, audit logs, backups, and deployment runbooks before production release.</w:t>
      </w:r>
    </w:p>
    <w:p>
      <w:pPr>
        <w:keepNext/>
        <w:spacing w:before="300" w:after="120"/>
      </w:pPr>
      <w:r>
        <w:rPr>
          <w:rFonts w:ascii="Aptos" w:hAnsi="Aptos" w:eastAsia="Aptos"/>
          <w:b/>
          <w:i w:val="0"/>
          <w:color w:val="000000"/>
          <w:sz w:val="32"/>
        </w:rPr>
        <w:t>Conclusion</w:t>
      </w:r>
    </w:p>
    <w:p>
      <w:pPr>
        <w:spacing w:after="140" w:before="0" w:line="288" w:lineRule="auto"/>
      </w:pPr>
      <w:r>
        <w:rPr>
          <w:rFonts w:ascii="Aptos" w:hAnsi="Aptos" w:eastAsia="Aptos"/>
          <w:b w:val="0"/>
          <w:i w:val="0"/>
          <w:color w:val="1F2937"/>
          <w:sz w:val="21"/>
        </w:rPr>
        <w:t>DLIF has evolved from individual management screens into a connected fellowship operations platform. The next phase is not primarily UI work; it is release hardening: reliable background processing, secure storage and email delivery, verified role permissions, staging data discipline, monitoring, and tested recovery procedures.</w:t>
      </w:r>
    </w:p>
    <w:sectPr w:rsidR="00FC693F" w:rsidRPr="0006063C" w:rsidSect="00034616">
      <w:headerReference w:type="default" r:id="rId9"/>
      <w:footerReference w:type="default" r:id="rId10"/>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26A8A"/>
        <w:sz w:val="16"/>
      </w:rPr>
      <w:t>Implementation overview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i w:val="0"/>
        <w:color w:val="526A8A"/>
        <w:sz w:val="17"/>
      </w:rPr>
      <w:t>DegreeLabs  |  DLIF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DLIF Platform Implementation Overview</dc:title>
  <dc:subject>Current implementation and production readiness</dc:subject>
  <dc:creator>DegreeLabs</dc:creator>
  <cp:keywords/>
  <dc:description>generated by python-docx</dc:description>
  <cp:lastModifiedBy/>
  <cp:revision>1</cp:revision>
  <dcterms:created xsi:type="dcterms:W3CDTF">2013-12-23T23:15:00Z</dcterms:created>
  <dcterms:modified xsi:type="dcterms:W3CDTF">2013-12-23T23:15:00Z</dcterms:modified>
  <cp:category/>
</cp:coreProperties>
</file>