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B28EB">
      <w:pPr>
        <w:pStyle w:val="165"/>
        <w:spacing w:before="0"/>
      </w:pPr>
      <w:r>
        <w:t>DEGUANG LI</w:t>
      </w:r>
    </w:p>
    <w:p w14:paraId="1F839AC7">
      <w:pPr>
        <w:spacing w:after="20"/>
      </w:pPr>
      <w:r>
        <w:t>PhD Researcher in History  |  Newnham College, University of Cambridge</w:t>
      </w:r>
    </w:p>
    <w:p w14:paraId="137B52DB">
      <w:pPr>
        <w:spacing w:after="160"/>
      </w:pPr>
      <w:r>
        <w:t>Cambridge, United Kingdom  ·  dl736@cam.ac.uk</w:t>
      </w:r>
    </w:p>
    <w:p w14:paraId="6729A552">
      <w:pPr>
        <w:pStyle w:val="164"/>
        <w:keepNext/>
        <w:pBdr>
          <w:bottom w:val="single" w:color="D6C9CB" w:sz="4" w:space="0"/>
        </w:pBdr>
      </w:pPr>
      <w:r>
        <w:t>RESEARCH PROFILE</w:t>
      </w:r>
    </w:p>
    <w:p w14:paraId="05DF6128">
      <w:r>
        <w:t>I am a third-year PhD researcher in History at the University of Cambridge and a cultural historian of knowledge and science, interested in how societies make sense of the natural world through historically situated practices of observation, communication, and representation. My research focuses on eighteenth- and nineteenth-century Europe, particularly Britain and France, and explores how knowledge was produced, circulated, contested, and transformed across social, institutional, and geographical settings. Taking the Great Comet of 1811 as a microhistorical lens, my doctoral project examines the scientific, cultural, commercial, and political practices through which knowledge of the heavens was constructed in London and Paris. My training in intellectual history and comparative literature informs an interdisciplinary approach to the relationships between kno</w:t>
      </w:r>
      <w:bookmarkStart w:id="0" w:name="_GoBack"/>
      <w:bookmarkEnd w:id="0"/>
      <w:r>
        <w:t>wledge, society, and politics.</w:t>
      </w:r>
    </w:p>
    <w:p w14:paraId="463F5DEE">
      <w:pPr>
        <w:pStyle w:val="164"/>
        <w:keepNext/>
        <w:pBdr>
          <w:bottom w:val="single" w:color="D6C9CB" w:sz="4" w:space="0"/>
        </w:pBdr>
      </w:pPr>
      <w:r>
        <w:t>EDUCATION</w:t>
      </w:r>
    </w:p>
    <w:tbl>
      <w:tblPr>
        <w:tblStyle w:val="12"/>
        <w:tblW w:w="0" w:type="auto"/>
        <w:tblInd w:w="0" w:type="dxa"/>
        <w:tblLayout w:type="fixed"/>
        <w:tblCellMar>
          <w:top w:w="0" w:type="dxa"/>
          <w:left w:w="108" w:type="dxa"/>
          <w:bottom w:w="0" w:type="dxa"/>
          <w:right w:w="108" w:type="dxa"/>
        </w:tblCellMar>
      </w:tblPr>
      <w:tblGrid>
        <w:gridCol w:w="1699"/>
        <w:gridCol w:w="7891"/>
      </w:tblGrid>
      <w:tr w14:paraId="7B660245">
        <w:tc>
          <w:tcPr>
            <w:tcW w:w="1699" w:type="dxa"/>
            <w:vAlign w:val="top"/>
          </w:tcPr>
          <w:p w14:paraId="2FC9352B">
            <w:r>
              <w:rPr>
                <w:b/>
                <w:color w:val="6D6F75"/>
                <w:sz w:val="17"/>
              </w:rPr>
              <w:t>2024–present</w:t>
            </w:r>
          </w:p>
        </w:tc>
        <w:tc>
          <w:tcPr>
            <w:tcW w:w="7891" w:type="dxa"/>
            <w:vAlign w:val="top"/>
          </w:tcPr>
          <w:p w14:paraId="31E9C110">
            <w:pPr>
              <w:spacing w:after="20"/>
            </w:pPr>
            <w:r>
              <w:t>PhD in History · University of Cambridge, Newnham College</w:t>
            </w:r>
          </w:p>
          <w:p w14:paraId="106FE9BC">
            <w:pPr>
              <w:spacing w:after="20"/>
            </w:pPr>
            <w:r>
              <w:rPr>
                <w:b/>
              </w:rPr>
              <w:t xml:space="preserve">Dissertation: </w:t>
            </w:r>
            <w:r>
              <w:t>“Re-enchantment of the Comet in Paris and London, 1811–1812”</w:t>
            </w:r>
          </w:p>
          <w:p w14:paraId="75D220D9">
            <w:pPr>
              <w:spacing w:after="20"/>
            </w:pPr>
            <w:r>
              <w:rPr>
                <w:b/>
              </w:rPr>
              <w:t xml:space="preserve">Expected submission: </w:t>
            </w:r>
            <w:r>
              <w:t>June 2027</w:t>
            </w:r>
          </w:p>
          <w:p w14:paraId="1C148B4A">
            <w:pPr>
              <w:spacing w:after="20"/>
            </w:pPr>
            <w:r>
              <w:rPr>
                <w:b/>
              </w:rPr>
              <w:t xml:space="preserve">Current supervisor: </w:t>
            </w:r>
            <w:r>
              <w:t>Professor Alexandra Walsham</w:t>
            </w:r>
          </w:p>
          <w:p w14:paraId="1F40A4CB">
            <w:pPr>
              <w:spacing w:after="20"/>
            </w:pPr>
            <w:r>
              <w:rPr>
                <w:b/>
              </w:rPr>
              <w:t xml:space="preserve">Supervisor (continuing): </w:t>
            </w:r>
            <w:r>
              <w:t>Professor Emma Spary</w:t>
            </w:r>
          </w:p>
          <w:p w14:paraId="2EC2699B">
            <w:pPr>
              <w:spacing w:after="20"/>
            </w:pPr>
            <w:r>
              <w:rPr>
                <w:b/>
              </w:rPr>
              <w:t xml:space="preserve">Advisor: </w:t>
            </w:r>
            <w:r>
              <w:t>Dr Joshua Nall</w:t>
            </w:r>
          </w:p>
        </w:tc>
      </w:tr>
    </w:tbl>
    <w:p w14:paraId="30DA3727">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DEDC058">
        <w:tc>
          <w:tcPr>
            <w:tcW w:w="1699" w:type="dxa"/>
            <w:vAlign w:val="top"/>
          </w:tcPr>
          <w:p w14:paraId="48E9513F">
            <w:r>
              <w:rPr>
                <w:b/>
                <w:color w:val="6D6F75"/>
                <w:sz w:val="17"/>
              </w:rPr>
              <w:t>2021–2024</w:t>
            </w:r>
          </w:p>
        </w:tc>
        <w:tc>
          <w:tcPr>
            <w:tcW w:w="7891" w:type="dxa"/>
            <w:vAlign w:val="top"/>
          </w:tcPr>
          <w:p w14:paraId="7B2A5D10">
            <w:r>
              <w:rPr>
                <w:b/>
              </w:rPr>
              <w:t>MPhil in Intellectual History · Tsinghua University, Beijing</w:t>
            </w:r>
          </w:p>
          <w:p w14:paraId="318B4F65">
            <w:pPr>
              <w:spacing w:after="40"/>
            </w:pPr>
            <w:r>
              <w:t>Thesis: “Theatre in May ’68: Antigone as Myth, History, and Ritual.” GPA: 4.0/4.0.</w:t>
            </w:r>
          </w:p>
        </w:tc>
      </w:tr>
    </w:tbl>
    <w:p w14:paraId="014E630A">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1A66B779">
        <w:tc>
          <w:tcPr>
            <w:tcW w:w="1699" w:type="dxa"/>
            <w:vAlign w:val="top"/>
          </w:tcPr>
          <w:p w14:paraId="2FD3FC7D">
            <w:r>
              <w:rPr>
                <w:b/>
                <w:color w:val="6D6F75"/>
                <w:sz w:val="17"/>
              </w:rPr>
              <w:t>Jan–Jun 2020</w:t>
            </w:r>
          </w:p>
        </w:tc>
        <w:tc>
          <w:tcPr>
            <w:tcW w:w="7891" w:type="dxa"/>
            <w:vAlign w:val="top"/>
          </w:tcPr>
          <w:p w14:paraId="49D47957">
            <w:r>
              <w:rPr>
                <w:b/>
              </w:rPr>
              <w:t>Exchange studies · Sciences Po, Paris</w:t>
            </w:r>
          </w:p>
          <w:p w14:paraId="5C00309E">
            <w:pPr>
              <w:spacing w:after="40"/>
            </w:pPr>
            <w:r>
              <w:t>GPA: 16/20</w:t>
            </w:r>
            <w:r>
              <w:rPr>
                <w:rFonts w:hint="eastAsia" w:eastAsia="SimSun"/>
                <w:lang w:val="en-US" w:eastAsia="zh-CN"/>
              </w:rPr>
              <w:t xml:space="preserve"> </w:t>
            </w:r>
            <w:r>
              <w:rPr>
                <w:rFonts w:hint="default"/>
                <w:i/>
                <w:iCs/>
              </w:rPr>
              <w:t>(a grade of 16 or higher is considered to be superior work)</w:t>
            </w:r>
          </w:p>
        </w:tc>
      </w:tr>
    </w:tbl>
    <w:p w14:paraId="01DB4E65">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58C3E73">
        <w:tc>
          <w:tcPr>
            <w:tcW w:w="1699" w:type="dxa"/>
            <w:vAlign w:val="top"/>
          </w:tcPr>
          <w:p w14:paraId="07E47E87">
            <w:r>
              <w:rPr>
                <w:b/>
                <w:color w:val="6D6F75"/>
                <w:sz w:val="17"/>
              </w:rPr>
              <w:t>2017–2020</w:t>
            </w:r>
          </w:p>
        </w:tc>
        <w:tc>
          <w:tcPr>
            <w:tcW w:w="7891" w:type="dxa"/>
            <w:vAlign w:val="top"/>
          </w:tcPr>
          <w:p w14:paraId="06DE2E37">
            <w:r>
              <w:rPr>
                <w:b/>
              </w:rPr>
              <w:t>BA in Comparative Literature · Tsinghua University, Beijing</w:t>
            </w:r>
          </w:p>
          <w:p w14:paraId="4A924D13">
            <w:pPr>
              <w:spacing w:after="40"/>
            </w:pPr>
            <w:r>
              <w:t>GPA: 3.89/4.0; Tsinghua Xuetang Talents Programme.</w:t>
            </w:r>
          </w:p>
        </w:tc>
      </w:tr>
    </w:tbl>
    <w:p w14:paraId="4F1A897A">
      <w:pPr>
        <w:spacing w:after="0"/>
      </w:pPr>
    </w:p>
    <w:p w14:paraId="546AE25B">
      <w:pPr>
        <w:pStyle w:val="164"/>
        <w:keepNext/>
        <w:pBdr>
          <w:bottom w:val="single" w:color="D6C9CB" w:sz="4" w:space="0"/>
        </w:pBdr>
      </w:pPr>
      <w:r>
        <w:t>PUBLICATIONS AND SCHOLARLY WORK</w:t>
      </w:r>
    </w:p>
    <w:p w14:paraId="11E1C7D7">
      <w:pPr>
        <w:pStyle w:val="164"/>
      </w:pPr>
      <w:r>
        <w:t>Accepted / forthcoming</w:t>
      </w:r>
    </w:p>
    <w:p w14:paraId="6F9DDC38">
      <w:pPr>
        <w:spacing w:after="80"/>
      </w:pPr>
      <w:r>
        <w:t xml:space="preserve">“From Gentleman’s Observatory to Women’s College: The Transnational Life of the Newnham Telescope” · </w:t>
      </w:r>
      <w:r>
        <w:rPr>
          <w:i/>
        </w:rPr>
        <w:t>Bulletin of the Scientific Instrument Society</w:t>
      </w:r>
      <w:r>
        <w:t xml:space="preserve"> · accepted; forthcoming December 2026</w:t>
      </w:r>
    </w:p>
    <w:p w14:paraId="54CDD6CE">
      <w:pPr>
        <w:pStyle w:val="164"/>
      </w:pPr>
      <w:r>
        <w:t>Under consideration</w:t>
      </w:r>
    </w:p>
    <w:p w14:paraId="3F041A1B">
      <w:pPr>
        <w:spacing w:after="80"/>
      </w:pPr>
      <w:r>
        <w:t>“The Making of Superstition: Metropolitan Serial Print and the Ordering of Cometary Knowledge in London, 1811”</w:t>
      </w:r>
      <w:r>
        <w:rPr>
          <w:i/>
        </w:rPr>
        <w:t xml:space="preserve"> under consideration by British Journal for the History of Science</w:t>
      </w:r>
      <w:r/>
    </w:p>
    <w:p w14:paraId="3785E50E">
      <w:pPr>
        <w:spacing w:after="80"/>
      </w:pPr>
      <w:r>
        <w:t>“A Comet Cannot Become a Sun: Celestial Knowledge and Political Culture in Napoleonic France”</w:t>
      </w:r>
      <w:r>
        <w:rPr>
          <w:i/>
        </w:rPr>
        <w:t xml:space="preserve"> under consideration by French History</w:t>
      </w:r>
      <w:r/>
    </w:p>
    <w:p w14:paraId="361057EF">
      <w:pPr>
        <w:spacing w:after="80"/>
      </w:pPr>
      <w:r>
        <w:t>“Retail China: Chineseness, Commodity Knowledge, and the British Trade Card, 1750–1830”</w:t>
      </w:r>
      <w:r>
        <w:rPr>
          <w:i/>
        </w:rPr>
        <w:t xml:space="preserve"> under consideration by Journal for Eighteenth-Century Studies</w:t>
      </w:r>
      <w:r/>
    </w:p>
    <w:p w14:paraId="43DA615D">
      <w:pPr>
        <w:pStyle w:val="164"/>
      </w:pPr>
      <w:r>
        <w:t>Contracted work</w:t>
      </w:r>
    </w:p>
    <w:p w14:paraId="526FB7DF">
      <w:pPr>
        <w:spacing w:after="80"/>
      </w:pPr>
      <w:r>
        <w:t xml:space="preserve">“Répétition: Antigone and the Making of Revolutionary Context in Avignon, 1968” · chapter for </w:t>
      </w:r>
      <w:r>
        <w:rPr>
          <w:i/>
        </w:rPr>
        <w:t>Context</w:t>
      </w:r>
      <w:r>
        <w:t xml:space="preserve"> (Peter Lang) · under contract; planned 2027</w:t>
      </w:r>
    </w:p>
    <w:p w14:paraId="3E8FDB57">
      <w:pPr>
        <w:spacing w:after="80"/>
      </w:pPr>
      <w:r>
        <w:t xml:space="preserve">Dominick LaCapra, </w:t>
      </w:r>
      <w:r>
        <w:rPr>
          <w:i/>
        </w:rPr>
        <w:t>History and Criticism</w:t>
      </w:r>
      <w:r>
        <w:t xml:space="preserve"> (Cornell University Press, 1985) · Chinese translation by Deguang Li, Commercial Press (商务印书馆) · under contract; manuscript submitted; planned 2027</w:t>
      </w:r>
    </w:p>
    <w:p w14:paraId="59360D92">
      <w:pPr>
        <w:pStyle w:val="164"/>
        <w:keepNext/>
        <w:pBdr>
          <w:bottom w:val="single" w:color="D6C9CB" w:sz="4" w:space="0"/>
        </w:pBdr>
      </w:pPr>
      <w:r>
        <w:t>SELECTED CONFERENCE PAPERS AND TALKS</w:t>
      </w:r>
    </w:p>
    <w:tbl>
      <w:tblPr>
        <w:tblStyle w:val="12"/>
        <w:tblW w:w="0" w:type="auto"/>
        <w:tblInd w:w="0" w:type="dxa"/>
        <w:tblLayout w:type="fixed"/>
        <w:tblCellMar>
          <w:top w:w="0" w:type="dxa"/>
          <w:left w:w="108" w:type="dxa"/>
          <w:bottom w:w="0" w:type="dxa"/>
          <w:right w:w="108" w:type="dxa"/>
        </w:tblCellMar>
      </w:tblPr>
      <w:tblGrid>
        <w:gridCol w:w="1699"/>
        <w:gridCol w:w="7891"/>
      </w:tblGrid>
      <w:tr w14:paraId="78AC9CF7">
        <w:tc>
          <w:tcPr>
            <w:tcW w:w="1699" w:type="dxa"/>
            <w:vAlign w:val="top"/>
          </w:tcPr>
          <w:p w14:paraId="6382AC29">
            <w:r>
              <w:rPr>
                <w:b/>
                <w:color w:val="6D6F75"/>
                <w:sz w:val="17"/>
              </w:rPr>
              <w:t>Sep 2026</w:t>
            </w:r>
          </w:p>
        </w:tc>
        <w:tc>
          <w:tcPr>
            <w:tcW w:w="7891" w:type="dxa"/>
            <w:vAlign w:val="top"/>
          </w:tcPr>
          <w:p w14:paraId="4BE85445">
            <w:r>
              <w:rPr>
                <w:b/>
              </w:rPr>
              <w:t>International Society for Intellectual History (ISIH) Conference, Istanbul</w:t>
            </w:r>
          </w:p>
          <w:p w14:paraId="26A1C170">
            <w:pPr>
              <w:spacing w:after="40"/>
            </w:pPr>
            <w:r>
              <w:rPr>
                <w:b w:val="0"/>
                <w:i w:val="0"/>
              </w:rPr>
              <w:t>“(Dis-)Ordering the Heavens, Ordering the Polity: Cometary Knowledge and Political Culture in Napoleonic France.”</w:t>
            </w:r>
          </w:p>
        </w:tc>
      </w:tr>
      <w:tr w14:paraId="78AC9CF7">
        <w:tc>
          <w:tcPr>
            <w:tcW w:w="1699" w:type="dxa"/>
            <w:vAlign w:val="top"/>
          </w:tcPr>
          <w:p w14:paraId="6382AC29">
            <w:r>
              <w:rPr>
                <w:b/>
                <w:color w:val="6D6F75"/>
                <w:sz w:val="17"/>
              </w:rPr>
              <w:t>Jul 2026</w:t>
            </w:r>
          </w:p>
        </w:tc>
        <w:tc>
          <w:tcPr>
            <w:tcW w:w="7891" w:type="dxa"/>
            <w:vAlign w:val="top"/>
          </w:tcPr>
          <w:p w14:paraId="4BE85445">
            <w:r>
              <w:rPr>
                <w:b/>
              </w:rPr>
              <w:t>ESHS/HSS Joint Conference, Edinburgh</w:t>
            </w:r>
          </w:p>
          <w:p w14:paraId="26A1C170">
            <w:pPr>
              <w:spacing w:after="40"/>
            </w:pPr>
            <w:r>
              <w:rPr>
                <w:i w:val="0"/>
              </w:rPr>
              <w:t>“Re-enchantment: The Making of Cometary Knowledge in London and Paris, 1811–1812.”</w:t>
            </w:r>
          </w:p>
        </w:tc>
      </w:tr>
    </w:tbl>
    <w:p w14:paraId="70F04775">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240BA43E">
        <w:tc>
          <w:tcPr>
            <w:tcW w:w="1699" w:type="dxa"/>
            <w:vAlign w:val="top"/>
          </w:tcPr>
          <w:p w14:paraId="11B4FD21">
            <w:r>
              <w:rPr>
                <w:b/>
                <w:color w:val="6D6F75"/>
                <w:sz w:val="17"/>
              </w:rPr>
              <w:t>Mar 2026</w:t>
            </w:r>
          </w:p>
        </w:tc>
        <w:tc>
          <w:tcPr>
            <w:tcW w:w="7891" w:type="dxa"/>
            <w:vAlign w:val="top"/>
          </w:tcPr>
          <w:p w14:paraId="64108E65">
            <w:r>
              <w:rPr>
                <w:b/>
              </w:rPr>
              <w:t>“Cities” Symposium, University of Cambridge</w:t>
            </w:r>
          </w:p>
          <w:p w14:paraId="62DD3B33">
            <w:pPr>
              <w:spacing w:after="40"/>
            </w:pPr>
            <w:r>
              <w:rPr>
                <w:i w:val="0"/>
              </w:rPr>
              <w:t>“Mapping the Heavens in the City: Cometary Knowledge and Urban Geographies in London and Paris, 1811–1812.”</w:t>
            </w:r>
          </w:p>
        </w:tc>
      </w:tr>
    </w:tbl>
    <w:p w14:paraId="67F90887">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28CCFCD9">
        <w:tc>
          <w:tcPr>
            <w:tcW w:w="1699" w:type="dxa"/>
            <w:vAlign w:val="top"/>
          </w:tcPr>
          <w:p w14:paraId="173BD043">
            <w:r>
              <w:rPr>
                <w:b/>
                <w:color w:val="6D6F75"/>
                <w:sz w:val="17"/>
              </w:rPr>
              <w:t>Nov 2025</w:t>
            </w:r>
          </w:p>
        </w:tc>
        <w:tc>
          <w:tcPr>
            <w:tcW w:w="7891" w:type="dxa"/>
            <w:vAlign w:val="top"/>
          </w:tcPr>
          <w:p w14:paraId="2F46B163">
            <w:r>
              <w:rPr>
                <w:b/>
              </w:rPr>
              <w:t>Newnham History Forum, University of Cambridge · keynote</w:t>
            </w:r>
          </w:p>
          <w:p w14:paraId="6CA226AE">
            <w:pPr>
              <w:spacing w:after="40"/>
            </w:pPr>
            <w:r>
              <w:rPr>
                <w:i w:val="0"/>
              </w:rPr>
              <w:t>“Before Newnham: The Transnational Craft, Local Practice, and Women’s Scientific Engagement of a Nineteenth-Century Telescope.”</w:t>
            </w:r>
          </w:p>
        </w:tc>
      </w:tr>
    </w:tbl>
    <w:p w14:paraId="57DCE2BA">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326BB6D9">
        <w:tc>
          <w:tcPr>
            <w:tcW w:w="1699" w:type="dxa"/>
            <w:vAlign w:val="top"/>
          </w:tcPr>
          <w:p w14:paraId="441A77AD">
            <w:r>
              <w:rPr>
                <w:b/>
                <w:color w:val="6D6F75"/>
                <w:sz w:val="17"/>
              </w:rPr>
              <w:t>Jun 2025</w:t>
            </w:r>
          </w:p>
        </w:tc>
        <w:tc>
          <w:tcPr>
            <w:tcW w:w="7891" w:type="dxa"/>
            <w:vAlign w:val="top"/>
          </w:tcPr>
          <w:p w14:paraId="485AC729">
            <w:r>
              <w:rPr>
                <w:b/>
              </w:rPr>
              <w:t>Newnham Graduate Conference, University of Cambridge</w:t>
            </w:r>
          </w:p>
          <w:p w14:paraId="7B6A295E">
            <w:pPr>
              <w:spacing w:after="40"/>
            </w:pPr>
            <w:r>
              <w:rPr>
                <w:i w:val="0"/>
              </w:rPr>
              <w:t>“Re-enchantment of the Comet in Paris and London, 1811–1812: On the Uncertainty of Enlightenment.”</w:t>
            </w:r>
          </w:p>
        </w:tc>
      </w:tr>
    </w:tbl>
    <w:p w14:paraId="0B1745F2">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419AF30">
        <w:tc>
          <w:tcPr>
            <w:tcW w:w="1699" w:type="dxa"/>
            <w:vAlign w:val="top"/>
          </w:tcPr>
          <w:p w14:paraId="364A5176">
            <w:r>
              <w:rPr>
                <w:b/>
                <w:color w:val="6D6F75"/>
                <w:sz w:val="17"/>
              </w:rPr>
              <w:t>May 2025</w:t>
            </w:r>
          </w:p>
        </w:tc>
        <w:tc>
          <w:tcPr>
            <w:tcW w:w="7891" w:type="dxa"/>
            <w:vAlign w:val="top"/>
          </w:tcPr>
          <w:p w14:paraId="7C061AC7">
            <w:r>
              <w:rPr>
                <w:b/>
              </w:rPr>
              <w:t>IHR British History in the Long Eighteenth Century Seminar</w:t>
            </w:r>
          </w:p>
          <w:p w14:paraId="6F600689">
            <w:pPr>
              <w:spacing w:after="40"/>
            </w:pPr>
            <w:r>
              <w:rPr>
                <w:i w:val="0"/>
              </w:rPr>
              <w:t>“Re-enchantment of the Comet in Paris and London, 1811–1812.”</w:t>
            </w:r>
          </w:p>
        </w:tc>
      </w:tr>
    </w:tbl>
    <w:p w14:paraId="220D1924">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2F515128">
        <w:tc>
          <w:tcPr>
            <w:tcW w:w="1699" w:type="dxa"/>
            <w:vAlign w:val="top"/>
          </w:tcPr>
          <w:p w14:paraId="6C1F4E85">
            <w:r>
              <w:rPr>
                <w:b/>
                <w:color w:val="6D6F75"/>
                <w:sz w:val="17"/>
              </w:rPr>
              <w:t>Apr 2025</w:t>
            </w:r>
          </w:p>
        </w:tc>
        <w:tc>
          <w:tcPr>
            <w:tcW w:w="7891" w:type="dxa"/>
            <w:vAlign w:val="top"/>
          </w:tcPr>
          <w:p w14:paraId="3F80790A">
            <w:r>
              <w:rPr>
                <w:b/>
              </w:rPr>
              <w:t>Cambridge French Graduate Conference</w:t>
            </w:r>
          </w:p>
          <w:p w14:paraId="0A7C6BA5">
            <w:pPr>
              <w:spacing w:after="40"/>
            </w:pPr>
            <w:r>
              <w:rPr>
                <w:i w:val="0"/>
              </w:rPr>
              <w:t>“Répétition: Contextualising Antigone in Mai ’68.”</w:t>
            </w:r>
          </w:p>
        </w:tc>
      </w:tr>
    </w:tbl>
    <w:p w14:paraId="79D98650">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471D21DB">
        <w:tc>
          <w:tcPr>
            <w:tcW w:w="1699" w:type="dxa"/>
            <w:vAlign w:val="top"/>
          </w:tcPr>
          <w:p w14:paraId="0A427AE0">
            <w:r>
              <w:rPr>
                <w:b/>
                <w:color w:val="6D6F75"/>
                <w:sz w:val="17"/>
              </w:rPr>
              <w:t>Mar 2025</w:t>
            </w:r>
          </w:p>
        </w:tc>
        <w:tc>
          <w:tcPr>
            <w:tcW w:w="7891" w:type="dxa"/>
            <w:vAlign w:val="top"/>
          </w:tcPr>
          <w:p w14:paraId="0DA00B42">
            <w:r>
              <w:rPr>
                <w:b/>
              </w:rPr>
              <w:t>PhD Presentation Day, University of Cambridge</w:t>
            </w:r>
          </w:p>
          <w:p w14:paraId="3B34D058">
            <w:pPr>
              <w:spacing w:after="40"/>
            </w:pPr>
            <w:r>
              <w:rPr>
                <w:i w:val="0"/>
              </w:rPr>
              <w:t>“Re-enchantment of the Comet in Paris and London, 1811–1812.”</w:t>
            </w:r>
          </w:p>
        </w:tc>
      </w:tr>
    </w:tbl>
    <w:p w14:paraId="5F95244C">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38E563AE">
        <w:tc>
          <w:tcPr>
            <w:tcW w:w="1699" w:type="dxa"/>
            <w:vAlign w:val="top"/>
          </w:tcPr>
          <w:p w14:paraId="3331F6FC">
            <w:r>
              <w:rPr>
                <w:b/>
                <w:color w:val="6D6F75"/>
                <w:sz w:val="17"/>
              </w:rPr>
              <w:t>Nov 2024</w:t>
            </w:r>
          </w:p>
        </w:tc>
        <w:tc>
          <w:tcPr>
            <w:tcW w:w="7891" w:type="dxa"/>
            <w:vAlign w:val="top"/>
          </w:tcPr>
          <w:p w14:paraId="2AE0E6D5">
            <w:r>
              <w:rPr>
                <w:b/>
              </w:rPr>
              <w:t>Material Culture Forum, University of Cambridge</w:t>
            </w:r>
          </w:p>
          <w:p w14:paraId="7B3E9768">
            <w:pPr>
              <w:spacing w:after="40"/>
            </w:pPr>
            <w:r>
              <w:rPr>
                <w:i w:val="0"/>
              </w:rPr>
              <w:t>“From Telescopes to Teapots: The Role of Material Culture in Shaping Responses to the Great Comet of 1811.”</w:t>
            </w:r>
          </w:p>
        </w:tc>
      </w:tr>
    </w:tbl>
    <w:p w14:paraId="41C9722C">
      <w:pPr>
        <w:spacing w:after="0"/>
      </w:pPr>
    </w:p>
    <w:p w14:paraId="2C14CE9B">
      <w:pPr>
        <w:pStyle w:val="164"/>
        <w:keepNext/>
        <w:pBdr>
          <w:bottom w:val="single" w:color="D6C9CB" w:sz="4" w:space="0"/>
        </w:pBdr>
      </w:pPr>
      <w:r>
        <w:t>RESEARCH EXPERIENCE AND METHODS</w:t>
      </w:r>
    </w:p>
    <w:p w14:paraId="2ED49B51">
      <w:r>
        <w:t>Archival research across more than twenty repositories in Britain and France, including manuscript, print, visual, and material sources. Experience working with scientific instruments and collections through the Whipple Museum and the Museum of Archaeology and Anthropology, Cambridge. Digital research methods include structured source databases, historical georeferencing, GIS mapping, and spatial analysis.</w:t>
      </w:r>
    </w:p>
    <w:p w14:paraId="093084C5">
      <w:pPr>
        <w:pStyle w:val="164"/>
        <w:keepNext/>
        <w:pBdr>
          <w:bottom w:val="single" w:color="D6C9CB" w:sz="4" w:space="0"/>
        </w:pBdr>
      </w:pPr>
      <w:r>
        <w:t>ACADEMIC ROLES AND SERVICE</w:t>
      </w:r>
    </w:p>
    <w:tbl>
      <w:tblPr>
        <w:tblStyle w:val="12"/>
        <w:tblW w:w="0" w:type="auto"/>
        <w:tblInd w:w="0" w:type="dxa"/>
        <w:tblLayout w:type="fixed"/>
        <w:tblCellMar>
          <w:top w:w="0" w:type="dxa"/>
          <w:left w:w="108" w:type="dxa"/>
          <w:bottom w:w="0" w:type="dxa"/>
          <w:right w:w="108" w:type="dxa"/>
        </w:tblCellMar>
      </w:tblPr>
      <w:tblGrid>
        <w:gridCol w:w="1699"/>
        <w:gridCol w:w="7891"/>
      </w:tblGrid>
      <w:tr w14:paraId="0FEB7019">
        <w:tc>
          <w:tcPr>
            <w:tcW w:w="1699" w:type="dxa"/>
            <w:vAlign w:val="top"/>
          </w:tcPr>
          <w:p w14:paraId="3F1FED95">
            <w:r>
              <w:rPr>
                <w:b/>
                <w:color w:val="6D6F75"/>
                <w:sz w:val="17"/>
              </w:rPr>
              <w:t>2025–present</w:t>
            </w:r>
          </w:p>
        </w:tc>
        <w:tc>
          <w:tcPr>
            <w:tcW w:w="7891" w:type="dxa"/>
            <w:vAlign w:val="top"/>
          </w:tcPr>
          <w:p w14:paraId="34DCD509">
            <w:r>
              <w:rPr>
                <w:b/>
              </w:rPr>
              <w:t>Transcription Project Assistant · Whipple Museum of the History of Science, Cambridge</w:t>
            </w:r>
          </w:p>
        </w:tc>
      </w:tr>
    </w:tbl>
    <w:p w14:paraId="190A9E2D">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6B912707">
        <w:tc>
          <w:tcPr>
            <w:tcW w:w="1699" w:type="dxa"/>
            <w:vAlign w:val="top"/>
          </w:tcPr>
          <w:p w14:paraId="4BE5F3ED">
            <w:r>
              <w:rPr>
                <w:b/>
                <w:color w:val="6D6F75"/>
                <w:sz w:val="17"/>
              </w:rPr>
              <w:t>2025–present</w:t>
            </w:r>
          </w:p>
        </w:tc>
        <w:tc>
          <w:tcPr>
            <w:tcW w:w="7891" w:type="dxa"/>
            <w:vAlign w:val="top"/>
          </w:tcPr>
          <w:p w14:paraId="5868A32B">
            <w:r>
              <w:rPr>
                <w:b/>
              </w:rPr>
              <w:t>Editor · Doing History in Public, University of Cambridge</w:t>
            </w:r>
          </w:p>
        </w:tc>
      </w:tr>
    </w:tbl>
    <w:p w14:paraId="2C0E7250">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24DC9B83">
        <w:tc>
          <w:tcPr>
            <w:tcW w:w="1699" w:type="dxa"/>
            <w:vAlign w:val="top"/>
          </w:tcPr>
          <w:p w14:paraId="1EA3E981">
            <w:r>
              <w:rPr>
                <w:b/>
                <w:color w:val="6D6F75"/>
                <w:sz w:val="17"/>
              </w:rPr>
              <w:t>2024–present</w:t>
            </w:r>
          </w:p>
        </w:tc>
        <w:tc>
          <w:tcPr>
            <w:tcW w:w="7891" w:type="dxa"/>
            <w:vAlign w:val="top"/>
          </w:tcPr>
          <w:p w14:paraId="7D9C16B4">
            <w:r>
              <w:rPr>
                <w:b/>
              </w:rPr>
              <w:t>Junior Fellow · Institute for World Literatures and Cultures, Tsinghua University</w:t>
            </w:r>
          </w:p>
        </w:tc>
      </w:tr>
    </w:tbl>
    <w:p w14:paraId="13A0BEB0">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97E44CA">
        <w:tc>
          <w:tcPr>
            <w:tcW w:w="1699" w:type="dxa"/>
            <w:vAlign w:val="top"/>
          </w:tcPr>
          <w:p w14:paraId="2842430A">
            <w:r>
              <w:rPr>
                <w:b/>
                <w:color w:val="6D6F75"/>
                <w:sz w:val="17"/>
              </w:rPr>
              <w:t>2023–2024</w:t>
            </w:r>
          </w:p>
        </w:tc>
        <w:tc>
          <w:tcPr>
            <w:tcW w:w="7891" w:type="dxa"/>
            <w:vAlign w:val="top"/>
          </w:tcPr>
          <w:p w14:paraId="38CA1485">
            <w:r>
              <w:rPr>
                <w:b/>
              </w:rPr>
              <w:t>Secretariat Assistant · UK–China Humanities Alliance</w:t>
            </w:r>
          </w:p>
        </w:tc>
      </w:tr>
    </w:tbl>
    <w:p w14:paraId="0765CEBB">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4D0C3AF1">
        <w:tc>
          <w:tcPr>
            <w:tcW w:w="1699" w:type="dxa"/>
            <w:vAlign w:val="top"/>
          </w:tcPr>
          <w:p w14:paraId="543CEC92">
            <w:r>
              <w:rPr>
                <w:b/>
                <w:color w:val="6D6F75"/>
                <w:sz w:val="17"/>
              </w:rPr>
              <w:t>2023–2024</w:t>
            </w:r>
          </w:p>
        </w:tc>
        <w:tc>
          <w:tcPr>
            <w:tcW w:w="7891" w:type="dxa"/>
            <w:vAlign w:val="top"/>
          </w:tcPr>
          <w:p w14:paraId="4FD3EA39">
            <w:r>
              <w:rPr>
                <w:b/>
              </w:rPr>
              <w:t>Office Assistant · Institute for World Literatures and Cultures, Tsinghua University</w:t>
            </w:r>
          </w:p>
        </w:tc>
      </w:tr>
    </w:tbl>
    <w:p w14:paraId="148527A0">
      <w:pPr>
        <w:spacing w:after="0"/>
      </w:pPr>
    </w:p>
    <w:p w14:paraId="32EDF25E">
      <w:pPr>
        <w:pStyle w:val="164"/>
        <w:keepNext/>
        <w:pBdr>
          <w:bottom w:val="single" w:color="D6C9CB" w:sz="4" w:space="0"/>
        </w:pBdr>
      </w:pPr>
      <w:r>
        <w:t>SELECTED GRANTS AND HONOURS</w:t>
      </w:r>
    </w:p>
    <w:tbl>
      <w:tblPr>
        <w:tblStyle w:val="12"/>
        <w:tblW w:w="0" w:type="auto"/>
        <w:tblInd w:w="0" w:type="dxa"/>
        <w:tblLayout w:type="fixed"/>
        <w:tblCellMar>
          <w:top w:w="0" w:type="dxa"/>
          <w:left w:w="108" w:type="dxa"/>
          <w:bottom w:w="0" w:type="dxa"/>
          <w:right w:w="108" w:type="dxa"/>
        </w:tblCellMar>
      </w:tblPr>
      <w:tblGrid>
        <w:gridCol w:w="1699"/>
        <w:gridCol w:w="7891"/>
      </w:tblGrid>
      <w:tr w14:paraId="3101616D">
        <w:tc>
          <w:tcPr>
            <w:tcW w:w="1699" w:type="dxa"/>
            <w:vAlign w:val="top"/>
          </w:tcPr>
          <w:p w14:paraId="677110E1">
            <w:r>
              <w:rPr>
                <w:b/>
                <w:color w:val="6D6F75"/>
                <w:sz w:val="17"/>
              </w:rPr>
              <w:t>2026</w:t>
            </w:r>
          </w:p>
        </w:tc>
        <w:tc>
          <w:tcPr>
            <w:tcW w:w="7891" w:type="dxa"/>
            <w:vAlign w:val="top"/>
          </w:tcPr>
          <w:p w14:paraId="53F636F2">
            <w:r>
              <w:rPr>
                <w:b/>
              </w:rPr>
              <w:t>Lisa Jardine Grant · Royal Society</w:t>
            </w:r>
          </w:p>
        </w:tc>
      </w:tr>
    </w:tbl>
    <w:p w14:paraId="6A106D6A">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6088CD9">
        <w:tc>
          <w:tcPr>
            <w:tcW w:w="1699" w:type="dxa"/>
            <w:vAlign w:val="top"/>
          </w:tcPr>
          <w:p w14:paraId="4482F197">
            <w:r>
              <w:rPr>
                <w:b/>
                <w:color w:val="6D6F75"/>
                <w:sz w:val="17"/>
              </w:rPr>
              <w:t>2026</w:t>
            </w:r>
          </w:p>
        </w:tc>
        <w:tc>
          <w:tcPr>
            <w:tcW w:w="7891" w:type="dxa"/>
            <w:vAlign w:val="top"/>
          </w:tcPr>
          <w:p w14:paraId="7F961A8A">
            <w:r>
              <w:rPr>
                <w:b/>
              </w:rPr>
              <w:t>Conference bursary · Society for the Study of French History</w:t>
            </w:r>
          </w:p>
        </w:tc>
      </w:tr>
    </w:tbl>
    <w:p w14:paraId="246B2878">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E002D17">
        <w:tc>
          <w:tcPr>
            <w:tcW w:w="1699" w:type="dxa"/>
            <w:vAlign w:val="top"/>
          </w:tcPr>
          <w:p w14:paraId="6D6343F1">
            <w:r>
              <w:rPr>
                <w:b/>
                <w:color w:val="6D6F75"/>
                <w:sz w:val="17"/>
              </w:rPr>
              <w:t>2026</w:t>
            </w:r>
          </w:p>
        </w:tc>
        <w:tc>
          <w:tcPr>
            <w:tcW w:w="7891" w:type="dxa"/>
            <w:vAlign w:val="top"/>
          </w:tcPr>
          <w:p w14:paraId="385998C9">
            <w:r>
              <w:rPr>
                <w:b/>
              </w:rPr>
              <w:t>Research Support Grant · Royal Historical Society</w:t>
            </w:r>
          </w:p>
        </w:tc>
      </w:tr>
    </w:tbl>
    <w:p w14:paraId="195C2779">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197AA6C6">
        <w:tc>
          <w:tcPr>
            <w:tcW w:w="1699" w:type="dxa"/>
            <w:vAlign w:val="top"/>
          </w:tcPr>
          <w:p w14:paraId="691DDA6F">
            <w:r>
              <w:rPr>
                <w:b/>
                <w:color w:val="6D6F75"/>
                <w:sz w:val="17"/>
              </w:rPr>
              <w:t>2025</w:t>
            </w:r>
          </w:p>
        </w:tc>
        <w:tc>
          <w:tcPr>
            <w:tcW w:w="7891" w:type="dxa"/>
            <w:vAlign w:val="top"/>
          </w:tcPr>
          <w:p w14:paraId="4017154E">
            <w:r>
              <w:rPr>
                <w:b/>
              </w:rPr>
              <w:t>Postgraduate Research &amp; Travel Grants · Newnham College (May and December)</w:t>
            </w:r>
          </w:p>
        </w:tc>
      </w:tr>
    </w:tbl>
    <w:p w14:paraId="792FFF44">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1953CDE7">
        <w:tc>
          <w:tcPr>
            <w:tcW w:w="1699" w:type="dxa"/>
            <w:vAlign w:val="top"/>
          </w:tcPr>
          <w:p w14:paraId="6CFE5915">
            <w:r>
              <w:rPr>
                <w:b/>
                <w:color w:val="6D6F75"/>
                <w:sz w:val="17"/>
              </w:rPr>
              <w:t>2025</w:t>
            </w:r>
          </w:p>
        </w:tc>
        <w:tc>
          <w:tcPr>
            <w:tcW w:w="7891" w:type="dxa"/>
            <w:vAlign w:val="top"/>
          </w:tcPr>
          <w:p w14:paraId="7693102A">
            <w:r>
              <w:rPr>
                <w:b/>
              </w:rPr>
              <w:t>Fieldwork Fund · Faculty of History, University of Cambridge</w:t>
            </w:r>
          </w:p>
        </w:tc>
      </w:tr>
    </w:tbl>
    <w:p w14:paraId="13122CD9">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3F5C2DFB">
        <w:tc>
          <w:tcPr>
            <w:tcW w:w="1699" w:type="dxa"/>
            <w:vAlign w:val="top"/>
          </w:tcPr>
          <w:p w14:paraId="44CCAB3E">
            <w:r>
              <w:rPr>
                <w:b/>
                <w:color w:val="6D6F75"/>
                <w:sz w:val="17"/>
              </w:rPr>
              <w:t>2025</w:t>
            </w:r>
          </w:p>
        </w:tc>
        <w:tc>
          <w:tcPr>
            <w:tcW w:w="7891" w:type="dxa"/>
            <w:vAlign w:val="top"/>
          </w:tcPr>
          <w:p w14:paraId="4E9F4198">
            <w:r>
              <w:rPr>
                <w:b/>
              </w:rPr>
              <w:t>Postgraduate Research Grant · Society for the Study of French History</w:t>
            </w:r>
          </w:p>
        </w:tc>
      </w:tr>
    </w:tbl>
    <w:p w14:paraId="03F0B9B4">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7809FFCE">
        <w:tc>
          <w:tcPr>
            <w:tcW w:w="1699" w:type="dxa"/>
            <w:vAlign w:val="top"/>
          </w:tcPr>
          <w:p w14:paraId="3DAB0957">
            <w:r>
              <w:rPr>
                <w:b/>
                <w:color w:val="6D6F75"/>
                <w:sz w:val="17"/>
              </w:rPr>
              <w:t>2022</w:t>
            </w:r>
          </w:p>
        </w:tc>
        <w:tc>
          <w:tcPr>
            <w:tcW w:w="7891" w:type="dxa"/>
            <w:vAlign w:val="top"/>
          </w:tcPr>
          <w:p w14:paraId="52D5A7D5">
            <w:r>
              <w:rPr>
                <w:b/>
              </w:rPr>
              <w:t>Dean’s Scholarship · School of Humanities, Tsinghua University</w:t>
            </w:r>
          </w:p>
        </w:tc>
      </w:tr>
    </w:tbl>
    <w:p w14:paraId="608E5C16">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0305D0B4">
        <w:tc>
          <w:tcPr>
            <w:tcW w:w="1699" w:type="dxa"/>
            <w:vAlign w:val="top"/>
          </w:tcPr>
          <w:p w14:paraId="6B3281CB">
            <w:r>
              <w:rPr>
                <w:b/>
                <w:color w:val="6D6F75"/>
                <w:sz w:val="17"/>
              </w:rPr>
              <w:t>2022</w:t>
            </w:r>
          </w:p>
        </w:tc>
        <w:tc>
          <w:tcPr>
            <w:tcW w:w="7891" w:type="dxa"/>
            <w:vAlign w:val="top"/>
          </w:tcPr>
          <w:p w14:paraId="50D2360E">
            <w:r>
              <w:rPr>
                <w:b/>
              </w:rPr>
              <w:t>Guang Gu Scholarship (First Class) · Tsinghua University</w:t>
            </w:r>
          </w:p>
        </w:tc>
      </w:tr>
    </w:tbl>
    <w:p w14:paraId="615AD829">
      <w:pPr>
        <w:spacing w:after="0"/>
      </w:pPr>
    </w:p>
    <w:tbl>
      <w:tblPr>
        <w:tblStyle w:val="12"/>
        <w:tblW w:w="0" w:type="auto"/>
        <w:tblInd w:w="0" w:type="dxa"/>
        <w:tblLayout w:type="fixed"/>
        <w:tblCellMar>
          <w:top w:w="0" w:type="dxa"/>
          <w:left w:w="108" w:type="dxa"/>
          <w:bottom w:w="0" w:type="dxa"/>
          <w:right w:w="108" w:type="dxa"/>
        </w:tblCellMar>
      </w:tblPr>
      <w:tblGrid>
        <w:gridCol w:w="1699"/>
        <w:gridCol w:w="7891"/>
      </w:tblGrid>
      <w:tr w14:paraId="47938B06">
        <w:tc>
          <w:tcPr>
            <w:tcW w:w="1699" w:type="dxa"/>
            <w:vAlign w:val="top"/>
          </w:tcPr>
          <w:p w14:paraId="137103E0">
            <w:r>
              <w:rPr>
                <w:b/>
                <w:color w:val="6D6F75"/>
                <w:sz w:val="17"/>
              </w:rPr>
              <w:t>2017</w:t>
            </w:r>
          </w:p>
        </w:tc>
        <w:tc>
          <w:tcPr>
            <w:tcW w:w="7891" w:type="dxa"/>
            <w:vAlign w:val="top"/>
          </w:tcPr>
          <w:p w14:paraId="210E97CB">
            <w:r>
              <w:rPr>
                <w:b/>
              </w:rPr>
              <w:t>Tsinghua Academy Scholarship for Undergraduates</w:t>
            </w:r>
          </w:p>
        </w:tc>
      </w:tr>
    </w:tbl>
    <w:p w14:paraId="78EA0A29">
      <w:pPr>
        <w:spacing w:after="0"/>
      </w:pPr>
    </w:p>
    <w:p w14:paraId="71A0B520">
      <w:pPr>
        <w:pStyle w:val="164"/>
        <w:keepNext/>
        <w:pBdr>
          <w:bottom w:val="single" w:color="D6C9CB" w:sz="4" w:space="0"/>
        </w:pBdr>
      </w:pPr>
      <w:r>
        <w:t>LANGUAGES AND AFFILIATIONS</w:t>
      </w:r>
    </w:p>
    <w:p w14:paraId="3E414FD8">
      <w:r>
        <w:t>Mandarin Chinese (native); English (fluent); French (working proficiency); Italian (beginner).</w:t>
      </w:r>
    </w:p>
    <w:p w14:paraId="4091408A">
      <w:r>
        <w:t>Postgraduate member, Royal Historical Society (since 2024); member, British Society for the History of Science (since 2024).</w:t>
      </w:r>
    </w:p>
    <w:sectPr>
      <w:footerReference r:id="rId5" w:type="default"/>
      <w:pgSz w:w="12240" w:h="15840"/>
      <w:pgMar w:top="1037" w:right="1181" w:bottom="936"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imSun">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7DF60">
    <w:pPr>
      <w:pStyle w:val="18"/>
      <w:jc w:val="right"/>
    </w:pPr>
    <w:r>
      <w:t>Deguang Li  ·  Curriculum vitae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37A6984"/>
    <w:rsid w:val="FFF9CD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76" w:lineRule="auto"/>
    </w:pPr>
    <w:rPr>
      <w:rFonts w:ascii="Aptos" w:hAnsi="Aptos" w:eastAsiaTheme="minorEastAsia" w:cstheme="minorBidi"/>
      <w:color w:val="2A2E34"/>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VHeading"/>
    <w:uiPriority w:val="0"/>
    <w:pPr>
      <w:spacing w:before="220" w:after="100" w:line="276" w:lineRule="auto"/>
    </w:pPr>
    <w:rPr>
      <w:rFonts w:ascii="Aptos Display" w:hAnsi="Aptos Display" w:eastAsiaTheme="minorEastAsia" w:cstheme="minorBidi"/>
      <w:b/>
      <w:color w:val="6F2F3A"/>
      <w:sz w:val="20"/>
      <w:szCs w:val="22"/>
      <w:lang w:val="en-US" w:eastAsia="en-US" w:bidi="ar-SA"/>
    </w:rPr>
  </w:style>
  <w:style w:type="paragraph" w:customStyle="1" w:styleId="165">
    <w:name w:val="CVName"/>
    <w:uiPriority w:val="0"/>
    <w:pPr>
      <w:spacing w:before="220" w:after="100" w:line="276" w:lineRule="auto"/>
    </w:pPr>
    <w:rPr>
      <w:rFonts w:ascii="Aptos Display" w:hAnsi="Aptos Display" w:eastAsiaTheme="minorEastAsia" w:cstheme="minorBidi"/>
      <w:b/>
      <w:color w:val="222830"/>
      <w:sz w:val="4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DEGUANG LI</cp:lastModifiedBy>
  <dcterms:modified xsi:type="dcterms:W3CDTF">2026-10-27T14:32:46Z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33282D4A18A1C0B00EB6E06AE1726802_42</vt:lpwstr>
  </property>
</Properties>
</file>