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5CFF"/>
          <w:sz w:val="44"/>
        </w:rPr>
        <w:t>MERCAFLOW ERP</w:t>
      </w:r>
    </w:p>
    <w:p>
      <w:pPr>
        <w:jc w:val="center"/>
      </w:pPr>
      <w:r>
        <w:rPr>
          <w:b/>
          <w:color w:val="0B1B3A"/>
          <w:sz w:val="48"/>
        </w:rPr>
        <w:t>Documento de Arquitetura Técnica</w:t>
      </w:r>
    </w:p>
    <w:p>
      <w:pPr>
        <w:jc w:val="center"/>
      </w:pPr>
      <w:r>
        <w:rPr>
          <w:color w:val="64748B"/>
          <w:sz w:val="24"/>
        </w:rPr>
        <w:t>Base técnica para iniciar o desenvolvimento do sistema de supermercado completo.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c>
          <w:tcPr>
            <w:tcW w:type="dxa" w:w="5184"/>
            <w:shd w:fill="EEF4FF"/>
          </w:tcPr>
          <w:p>
            <w:r/>
            <w:r>
              <w:rPr>
                <w:b/>
                <w:color w:val="0B1B3A"/>
                <w:sz w:val="18"/>
              </w:rPr>
              <w:t>Projeto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B1B3A"/>
                <w:sz w:val="18"/>
              </w:rPr>
              <w:t>Sistema de Supermercado Completo</w:t>
            </w:r>
          </w:p>
        </w:tc>
      </w:tr>
      <w:tr>
        <w:tc>
          <w:tcPr>
            <w:tcW w:type="dxa" w:w="5184"/>
            <w:shd w:fill="EEF4FF"/>
          </w:tcPr>
          <w:p>
            <w:r/>
            <w:r>
              <w:rPr>
                <w:b/>
                <w:color w:val="0B1B3A"/>
                <w:sz w:val="18"/>
              </w:rPr>
              <w:t>Nome comercial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B1B3A"/>
                <w:sz w:val="18"/>
              </w:rPr>
              <w:t>A DEFINIR</w:t>
            </w:r>
          </w:p>
        </w:tc>
      </w:tr>
      <w:tr>
        <w:tc>
          <w:tcPr>
            <w:tcW w:type="dxa" w:w="5184"/>
            <w:shd w:fill="EEF4FF"/>
          </w:tcPr>
          <w:p>
            <w:r/>
            <w:r>
              <w:rPr>
                <w:b/>
                <w:color w:val="0B1B3A"/>
                <w:sz w:val="18"/>
              </w:rPr>
              <w:t>Data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B1B3A"/>
                <w:sz w:val="18"/>
              </w:rPr>
              <w:t>29/06/2026</w:t>
            </w:r>
          </w:p>
        </w:tc>
      </w:tr>
      <w:tr>
        <w:tc>
          <w:tcPr>
            <w:tcW w:type="dxa" w:w="5184"/>
            <w:shd w:fill="EEF4FF"/>
          </w:tcPr>
          <w:p>
            <w:r/>
            <w:r>
              <w:rPr>
                <w:b/>
                <w:color w:val="0B1B3A"/>
                <w:sz w:val="18"/>
              </w:rPr>
              <w:t>Preparado para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B1B3A"/>
                <w:sz w:val="18"/>
              </w:rPr>
              <w:t>Deigo Paulo</w:t>
            </w:r>
          </w:p>
        </w:tc>
      </w:tr>
    </w:tbl>
    <w:p>
      <w:r>
        <w:br w:type="page"/>
      </w:r>
    </w:p>
    <w:p>
      <w:pPr>
        <w:pStyle w:val="Heading1"/>
      </w:pPr>
      <w:r>
        <w:t>1. Visão Geral da Arquitetura</w:t>
      </w:r>
    </w:p>
    <w:p>
      <w:pPr>
        <w:spacing w:after="80"/>
      </w:pPr>
      <w:r>
        <w:t>A arquitetura proposta prioriza modularidade, segurança, rastreabilidade e escalabilidade. O sistema deve funcionar como uma plataforma web interna para desktop/PDV e como marketplace/e-commerce integrado, compartilhando o mesmo núcleo de produtos, estoque, financeiro, fiscal e permissões.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368"/>
      </w:tblGrid>
      <w:tr>
        <w:tc>
          <w:tcPr>
            <w:tcW w:type="dxa" w:w="10368"/>
            <w:shd w:fill="EEF4FF"/>
          </w:tcPr>
          <w:p>
            <w:r>
              <w:rPr>
                <w:b/>
                <w:color w:val="0B1B3A"/>
                <w:sz w:val="20"/>
              </w:rPr>
              <w:t>Diretriz principal</w:t>
            </w:r>
          </w:p>
          <w:p>
            <w:r>
              <w:rPr>
                <w:sz w:val="17"/>
              </w:rPr>
              <w:t>Tudo que acontece no marketplace deve refletir no sistema interno: estoque, pedidos, financeiro, fiscal, separação, entrega e relatórios. O PDV e o marketplace devem usar serviços de domínio comuns para evitar divergência de regra.</w:t>
            </w:r>
          </w:p>
        </w:tc>
      </w:tr>
    </w:tbl>
    <w:p>
      <w:pPr>
        <w:pStyle w:val="Heading2"/>
      </w:pPr>
      <w:r>
        <w:t>1.1 Stack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Tecnologia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Justificativa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Backend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Python + Django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Alta produtividade, ORM forte, autenticação, admin, segurança e bom ecossistema.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API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Django REST Framework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Preparar integrações com app mobile, marketplace, separador, entregador e canais externos.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Frontend interno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Django Templates + Bootstrap no MVP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Permite velocidade inicial e consistência visual sem complexidade excessiva.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Marketplace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Django Templates ou frontend separado futuramente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Começar simples e evoluir para SPA/app se necessário.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Banco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PostgreSQL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Transações, locks, índices, consistência, SELECT FOR UPDATE e robustez.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Cache/Fila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Redis + Celery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Tarefas fiscais, e-mails, integrações, sincronização e processamento em segundo plano.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Deploy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Linux VPS + Nginx + Gunicorn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Padrão estável para aplicação Django em produção.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Arquivos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Storage local no MVP; S3/compatível futuramente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Guardar XML, DANFE, comprovantes, imagens de produtos e anexos.</w:t>
            </w:r>
          </w:p>
        </w:tc>
      </w:tr>
    </w:tbl>
    <w:p/>
    <w:p>
      <w:pPr>
        <w:pStyle w:val="Heading2"/>
      </w:pPr>
      <w:r>
        <w:t>1.2 Apps Django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c>
          <w:tcPr>
            <w:tcW w:type="dxa" w:w="5184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App</w:t>
            </w:r>
          </w:p>
        </w:tc>
        <w:tc>
          <w:tcPr>
            <w:tcW w:type="dxa" w:w="5184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core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Base do sistema, utilitários, mixins, enums, serviços compartilhados.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accounts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Usuários, autenticação, perfis, permissões, sessões e bloqueios.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empresas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Empresa, filiais, identidade visual, configurações de impressão.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produtos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Produtos, categorias, marcas, unidades, preços, códigos de barras.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estoque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Saldos, lotes, validade, movimentações, inventário, perdas, transferências.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compras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Fornecedores, cotações, pedidos de compra, recebimento e XML de entrada.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clientes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Clientes, endereços, fidelidade, cashback, preferências e LGPD.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pdv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Frente de caixa, DAV, venda, pagamentos, caixa, sangria, suprimento.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marketplace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Vitrine, carrinho, checkout, pedidos online, cupons e canais.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logistica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Separação, embalagem, expedição, rotas, entregadores e ocorrências.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financeiro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Contas a pagar/receber, fluxo de caixa, conciliação, centro de custo, DRE.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fiscal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NFC-e, NF-e, XML, certificado, contingência, monitor fiscal.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relatorios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Relatórios, dashboards, exportações PDF/Excel e BI.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integracoes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TEF, balança, gateways, WhatsApp, marketplaces externos e webhooks.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auditoria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Logs, rastreabilidade, ações críticas e histórico de alterações.</w:t>
            </w:r>
          </w:p>
        </w:tc>
      </w:tr>
    </w:tbl>
    <w:p/>
    <w:p>
      <w:pPr>
        <w:pStyle w:val="Heading2"/>
      </w:pPr>
      <w:r>
        <w:t>1.3 Camadas internas</w:t>
      </w:r>
    </w:p>
    <w:p>
      <w:pPr>
        <w:pStyle w:val="ListBullet"/>
        <w:spacing w:after="40"/>
      </w:pPr>
      <w:r>
        <w:t>Views/Controllers: recebem requisições, validam permissões e chamam serviços.</w:t>
      </w:r>
    </w:p>
    <w:p>
      <w:pPr>
        <w:pStyle w:val="ListBullet"/>
        <w:spacing w:after="40"/>
      </w:pPr>
      <w:r>
        <w:t>Forms/Serializers: validam entrada de dados e normalizam informações.</w:t>
      </w:r>
    </w:p>
    <w:p>
      <w:pPr>
        <w:pStyle w:val="ListBullet"/>
        <w:spacing w:after="40"/>
      </w:pPr>
      <w:r>
        <w:t>Services: concentram regras críticas, como venda, reserva de estoque, baixa, cancelamento e financeiro.</w:t>
      </w:r>
    </w:p>
    <w:p>
      <w:pPr>
        <w:pStyle w:val="ListBullet"/>
        <w:spacing w:after="40"/>
      </w:pPr>
      <w:r>
        <w:t>Models: representam entidades e regras simples de integridade.</w:t>
      </w:r>
    </w:p>
    <w:p>
      <w:pPr>
        <w:pStyle w:val="ListBullet"/>
        <w:spacing w:after="40"/>
      </w:pPr>
      <w:r>
        <w:t>Tasks assíncronas: fiscal, e-mails, WhatsApp, integrações, conciliações e relatórios pesados.</w:t>
      </w:r>
    </w:p>
    <w:p>
      <w:pPr>
        <w:pStyle w:val="ListBullet"/>
        <w:spacing w:after="40"/>
      </w:pPr>
      <w:r>
        <w:t>Auditoria: registra ações críticas de forma centralizada.</w:t>
      </w:r>
    </w:p>
    <w:p>
      <w:pPr>
        <w:pStyle w:val="Heading2"/>
      </w:pPr>
      <w:r>
        <w:t>1.4 Serviços críticos obrigatórios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Serviço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Responsabilidade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Cuidados técnicos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EstoqueService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Reservar, baixar, devolver e ajustar estoque.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Usar transaction.atomic() e select_for_update() em saldo/lote.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VendaService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Finalizar venda PDV e gerar financeiro/fiscal.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Validar caixa aberto, permissões, pagamentos e estoque.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PedidoOnlineService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Criar pedido, reservar estoque, aprovar pagamento e liberar separação.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Controlar expiração de reserva e idempotência.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FiscalService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Emitir, cancelar e reprocessar documentos fiscais.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Fila assíncrona, tentativas, contingência e logs SEFAZ.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FinanceiroService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Gerar contas, recebimentos, fluxo de caixa e conciliação.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Preservar histórico e impedir duplicidade.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AuditoriaService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Registrar eventos críticos.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Salvar antes/depois, usuário, IP, entidade e origem.</w:t>
            </w:r>
          </w:p>
        </w:tc>
      </w:tr>
    </w:tbl>
    <w:p/>
    <w:p>
      <w:pPr>
        <w:pStyle w:val="Heading2"/>
      </w:pPr>
      <w:r>
        <w:t>1.5 Concorrência de estoque</w:t>
      </w:r>
    </w:p>
    <w:p>
      <w:pPr>
        <w:spacing w:after="80"/>
      </w:pPr>
      <w:r>
        <w:t>Todas as operações que alteram saldo de estoque devem ser transacionais e bloquear a linha do saldo/lote durante a validação e a dedução. Isso evita race condition entre PDV, marketplace e integrações externas.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0368"/>
      </w:tblGrid>
      <w:tr>
        <w:tc>
          <w:tcPr>
            <w:tcW w:type="dxa" w:w="10368"/>
            <w:shd w:fill="EEF4FF"/>
          </w:tcPr>
          <w:p>
            <w:r>
              <w:rPr>
                <w:b/>
                <w:color w:val="0B1B3A"/>
                <w:sz w:val="20"/>
              </w:rPr>
              <w:t>Regra obrigatória</w:t>
            </w:r>
          </w:p>
          <w:p>
            <w:r>
              <w:rPr>
                <w:sz w:val="17"/>
              </w:rPr>
              <w:t>Baixa, reserva, devolução, transferência, perda, ajuste e recebimento devem usar transaction.atomic() + select_for_update() no registro de estoque/lote. Não atualizar estoque diretamente no model Produto.</w:t>
            </w:r>
          </w:p>
        </w:tc>
      </w:tr>
    </w:tbl>
    <w:p>
      <w:pPr>
        <w:pStyle w:val="Heading2"/>
      </w:pPr>
      <w:r>
        <w:t>1.6 Segurança e LGPD</w:t>
      </w:r>
    </w:p>
    <w:p>
      <w:pPr>
        <w:pStyle w:val="ListBullet"/>
        <w:spacing w:after="40"/>
      </w:pPr>
      <w:r>
        <w:t>Controle de acesso por perfil e permissão granular por módulo e ação.</w:t>
      </w:r>
    </w:p>
    <w:p>
      <w:pPr>
        <w:pStyle w:val="ListBullet"/>
        <w:spacing w:after="40"/>
      </w:pPr>
      <w:r>
        <w:t>Registro de logs para alterações de preço, estoque, caixa, fiscal, financeiro e permissões.</w:t>
      </w:r>
    </w:p>
    <w:p>
      <w:pPr>
        <w:pStyle w:val="ListBullet"/>
        <w:spacing w:after="40"/>
      </w:pPr>
      <w:r>
        <w:t>Criptografia/mascaramento de dados sensíveis quando aplicável.</w:t>
      </w:r>
    </w:p>
    <w:p>
      <w:pPr>
        <w:pStyle w:val="ListBullet"/>
        <w:spacing w:after="40"/>
      </w:pPr>
      <w:r>
        <w:t>Termo de consentimento LGPD para clientes do marketplace e clube de fidelidade.</w:t>
      </w:r>
    </w:p>
    <w:p>
      <w:pPr>
        <w:pStyle w:val="ListBullet"/>
        <w:spacing w:after="40"/>
      </w:pPr>
      <w:r>
        <w:t>Backup automático e plano de restauração testado.</w:t>
      </w:r>
    </w:p>
    <w:p>
      <w:pPr>
        <w:pStyle w:val="ListBullet"/>
        <w:spacing w:after="40"/>
      </w:pPr>
      <w:r>
        <w:t>Separação multiempresa/multiloja em todas as consultas.</w:t>
      </w:r>
    </w:p>
    <w:p>
      <w:pPr>
        <w:pStyle w:val="Heading2"/>
      </w:pPr>
      <w:r>
        <w:t>1.7 Deploy e ambientes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Finalidade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Observações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Desenvolvimento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Programação local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SQLite apenas para testes simples; PostgreSQL recomendado desde cedo.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Homologação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Teste com dados simulados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Ambiente fiscal em homologação e integração com dispositivos simulados.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Produção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Uso real do supermercado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Backup, logs, monitoramento, HTTPS, Nginx/Gunicorn e PostgreSQL.</w:t>
            </w:r>
          </w:p>
        </w:tc>
      </w:tr>
    </w:tbl>
    <w:p/>
    <w:p>
      <w:pPr>
        <w:pStyle w:val="Heading1"/>
      </w:pPr>
      <w:r>
        <w:t>2. Ordem técnica para iniciar</w:t>
      </w:r>
    </w:p>
    <w:p>
      <w:pPr>
        <w:pStyle w:val="ListNumber"/>
        <w:spacing w:after="40"/>
      </w:pPr>
      <w:r>
        <w:t>Criar projeto Django e configuração de ambiente.</w:t>
      </w:r>
    </w:p>
    <w:p>
      <w:pPr>
        <w:pStyle w:val="ListNumber"/>
        <w:spacing w:after="40"/>
      </w:pPr>
      <w:r>
        <w:t>Criar apps core, accounts, empresas, produtos e estoque.</w:t>
      </w:r>
    </w:p>
    <w:p>
      <w:pPr>
        <w:pStyle w:val="ListNumber"/>
        <w:spacing w:after="40"/>
      </w:pPr>
      <w:r>
        <w:t>Configurar PostgreSQL e estrutura multiempresa.</w:t>
      </w:r>
    </w:p>
    <w:p>
      <w:pPr>
        <w:pStyle w:val="ListNumber"/>
        <w:spacing w:after="40"/>
      </w:pPr>
      <w:r>
        <w:t>Implementar permissões, soft delete, auditoria e padrões de services.</w:t>
      </w:r>
    </w:p>
    <w:p>
      <w:pPr>
        <w:pStyle w:val="ListNumber"/>
        <w:spacing w:after="40"/>
      </w:pPr>
      <w:r>
        <w:t>Criar cadastros base: empresa, filial, usuário, categoria, marca, unidade, produto.</w:t>
      </w:r>
    </w:p>
    <w:p>
      <w:pPr>
        <w:pStyle w:val="ListNumber"/>
        <w:spacing w:after="40"/>
      </w:pPr>
      <w:r>
        <w:t>Implementar estoque com DecimalField, lotes e movimentação transacional.</w:t>
      </w:r>
    </w:p>
    <w:p>
      <w:pPr>
        <w:pStyle w:val="ListNumber"/>
        <w:spacing w:after="40"/>
      </w:pPr>
      <w:r>
        <w:t>Depois iniciar PDV e caixa.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Documento técnico de planejamento - uso interno do projeto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Sistema de Supermercado Completo | Nome do sistema: A DEFINIR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5C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B1B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