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widowControl/>
      </w:pPr>
      <w:r>
        <w:rPr>
          <w:b/>
          <w:color w:val="2E74B5"/>
          <w:sz w:val="24"/>
        </w:rPr>
        <w:t>NOTA TÉCNICA</w:t>
      </w:r>
    </w:p>
    <w:p>
      <w:pPr>
        <w:pStyle w:val="Title"/>
        <w:widowControl/>
      </w:pPr>
      <w:r>
        <w:t>Integração direta do DeTecServer com a SEFAZ</w:t>
      </w:r>
    </w:p>
    <w:p>
      <w:pPr>
        <w:pStyle w:val="Subtitle"/>
        <w:widowControl/>
      </w:pPr>
      <w:r>
        <w:t>Análise comparativa do iSOLIDUS, arquitetura proposta, serviços fiscais e roteiro de homologação em Goiás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8EEF5"/>
            <w:tcMar>
              <w:top w:w="90" w:type="dxa"/>
              <w:start w:w="120" w:type="dxa"/>
              <w:bottom w:w="90" w:type="dxa"/>
              <w:end w:w="120" w:type="dxa"/>
            </w:tcMar>
            <w:vAlign w:val="center"/>
          </w:tcPr>
          <w:p>
            <w:r>
              <w:rPr>
                <w:b/>
                <w:color w:val="17365D"/>
              </w:rPr>
              <w:t xml:space="preserve">Decisão recomendada: </w:t>
            </w:r>
            <w:r>
              <w:t>Implementar um adaptador fiscal próprio no servidor local, começando por NFC-e/NF-e de Goiás em homologação, com catálogo versionado de endpoints e possibilidade futura de trocar por um provedor sem alterar o domínio do ERP.</w:t>
            </w:r>
          </w:p>
        </w:tc>
      </w:tr>
    </w:tbl>
    <w:p>
      <w:pPr>
        <w:spacing w:after="20"/>
        <w:widowControl/>
      </w:pP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r>
              <w:rPr>
                <w:b/>
                <w:color w:val="17365D"/>
                <w:sz w:val="19"/>
              </w:rPr>
              <w:t>Documento</w:t>
            </w:r>
          </w:p>
        </w:tc>
        <w:tc>
          <w:tcPr>
            <w:tcW w:type="dxa" w:w="7160"/>
            <w:shd w:fill="E8EEF5"/>
            <w:tcMar>
              <w:top w:w="90" w:type="dxa"/>
              <w:start w:w="120" w:type="dxa"/>
              <w:bottom w:w="90" w:type="dxa"/>
              <w:end w:w="120" w:type="dxa"/>
            </w:tcMar>
            <w:vAlign w:val="center"/>
          </w:tcPr>
          <w:p>
            <w:r>
              <w:rPr>
                <w:b/>
                <w:color w:val="17365D"/>
                <w:sz w:val="19"/>
              </w:rPr>
              <w:t>Valor</w:t>
            </w:r>
          </w:p>
        </w:tc>
      </w:tr>
      <w:tr>
        <w:tc>
          <w:tcPr>
            <w:tcW w:type="dxa" w:w="2200"/>
            <w:tcMar>
              <w:top w:w="90" w:type="dxa"/>
              <w:start w:w="120" w:type="dxa"/>
              <w:bottom w:w="90" w:type="dxa"/>
              <w:end w:w="120" w:type="dxa"/>
            </w:tcMar>
            <w:vAlign w:val="center"/>
          </w:tcPr>
          <w:p>
            <w:pPr>
              <w:spacing w:after="40" w:line="252" w:lineRule="auto"/>
            </w:pPr>
            <w:r>
              <w:rPr>
                <w:sz w:val="19"/>
              </w:rPr>
              <w:t>Sistema-alvo</w:t>
            </w:r>
          </w:p>
        </w:tc>
        <w:tc>
          <w:tcPr>
            <w:tcW w:type="dxa" w:w="7160"/>
            <w:tcMar>
              <w:top w:w="90" w:type="dxa"/>
              <w:start w:w="120" w:type="dxa"/>
              <w:bottom w:w="90" w:type="dxa"/>
              <w:end w:w="120" w:type="dxa"/>
            </w:tcMar>
            <w:vAlign w:val="center"/>
          </w:tcPr>
          <w:p>
            <w:pPr>
              <w:spacing w:after="40" w:line="252" w:lineRule="auto"/>
            </w:pPr>
            <w:r>
              <w:rPr>
                <w:sz w:val="19"/>
              </w:rPr>
              <w:t>DeTecServer / Deigo Varejo — pacote 0.1.16</w:t>
            </w:r>
          </w:p>
        </w:tc>
      </w:tr>
      <w:tr>
        <w:tc>
          <w:tcPr>
            <w:tcW w:type="dxa" w:w="2200"/>
            <w:tcMar>
              <w:top w:w="90" w:type="dxa"/>
              <w:start w:w="120" w:type="dxa"/>
              <w:bottom w:w="90" w:type="dxa"/>
              <w:end w:w="120" w:type="dxa"/>
            </w:tcMar>
            <w:vAlign w:val="center"/>
          </w:tcPr>
          <w:p>
            <w:pPr>
              <w:spacing w:after="40" w:line="252" w:lineRule="auto"/>
            </w:pPr>
            <w:r>
              <w:rPr>
                <w:sz w:val="19"/>
              </w:rPr>
              <w:t>Referência observada</w:t>
            </w:r>
          </w:p>
        </w:tc>
        <w:tc>
          <w:tcPr>
            <w:tcW w:type="dxa" w:w="7160"/>
            <w:tcMar>
              <w:top w:w="90" w:type="dxa"/>
              <w:start w:w="120" w:type="dxa"/>
              <w:bottom w:w="90" w:type="dxa"/>
              <w:end w:w="120" w:type="dxa"/>
            </w:tcMar>
            <w:vAlign w:val="center"/>
          </w:tcPr>
          <w:p>
            <w:pPr>
              <w:spacing w:after="40" w:line="252" w:lineRule="auto"/>
            </w:pPr>
            <w:r>
              <w:rPr>
                <w:sz w:val="19"/>
              </w:rPr>
              <w:t>iSOLIDUS executado em servidor interno, com NFeExpert/ACBr</w:t>
            </w:r>
          </w:p>
        </w:tc>
      </w:tr>
      <w:tr>
        <w:tc>
          <w:tcPr>
            <w:tcW w:type="dxa" w:w="2200"/>
            <w:tcMar>
              <w:top w:w="90" w:type="dxa"/>
              <w:start w:w="120" w:type="dxa"/>
              <w:bottom w:w="90" w:type="dxa"/>
              <w:end w:w="120" w:type="dxa"/>
            </w:tcMar>
            <w:vAlign w:val="center"/>
          </w:tcPr>
          <w:p>
            <w:pPr>
              <w:spacing w:after="40" w:line="252" w:lineRule="auto"/>
            </w:pPr>
            <w:r>
              <w:rPr>
                <w:sz w:val="19"/>
              </w:rPr>
              <w:t>Escopo inicial</w:t>
            </w:r>
          </w:p>
        </w:tc>
        <w:tc>
          <w:tcPr>
            <w:tcW w:type="dxa" w:w="7160"/>
            <w:tcMar>
              <w:top w:w="90" w:type="dxa"/>
              <w:start w:w="120" w:type="dxa"/>
              <w:bottom w:w="90" w:type="dxa"/>
              <w:end w:w="120" w:type="dxa"/>
            </w:tcMar>
            <w:vAlign w:val="center"/>
          </w:tcPr>
          <w:p>
            <w:pPr>
              <w:spacing w:after="40" w:line="252" w:lineRule="auto"/>
            </w:pPr>
            <w:r>
              <w:rPr>
                <w:sz w:val="19"/>
              </w:rPr>
              <w:t>NF-e modelo 55 e NFC-e modelo 65 — UF Goiás</w:t>
            </w:r>
          </w:p>
        </w:tc>
      </w:tr>
      <w:tr>
        <w:tc>
          <w:tcPr>
            <w:tcW w:type="dxa" w:w="2200"/>
            <w:tcMar>
              <w:top w:w="90" w:type="dxa"/>
              <w:start w:w="120" w:type="dxa"/>
              <w:bottom w:w="90" w:type="dxa"/>
              <w:end w:w="120" w:type="dxa"/>
            </w:tcMar>
            <w:vAlign w:val="center"/>
          </w:tcPr>
          <w:p>
            <w:pPr>
              <w:spacing w:after="40" w:line="252" w:lineRule="auto"/>
            </w:pPr>
            <w:r>
              <w:rPr>
                <w:sz w:val="19"/>
              </w:rPr>
              <w:t>Versão</w:t>
            </w:r>
          </w:p>
        </w:tc>
        <w:tc>
          <w:tcPr>
            <w:tcW w:type="dxa" w:w="7160"/>
            <w:tcMar>
              <w:top w:w="90" w:type="dxa"/>
              <w:start w:w="120" w:type="dxa"/>
              <w:bottom w:w="90" w:type="dxa"/>
              <w:end w:w="120" w:type="dxa"/>
            </w:tcMar>
            <w:vAlign w:val="center"/>
          </w:tcPr>
          <w:p>
            <w:pPr>
              <w:spacing w:after="40" w:line="252" w:lineRule="auto"/>
            </w:pPr>
            <w:r>
              <w:rPr>
                <w:sz w:val="19"/>
              </w:rPr>
              <w:t>1.0 — 15/08/2026</w:t>
            </w:r>
          </w:p>
        </w:tc>
      </w:tr>
      <w:tr>
        <w:tc>
          <w:tcPr>
            <w:tcW w:type="dxa" w:w="2200"/>
            <w:tcMar>
              <w:top w:w="90" w:type="dxa"/>
              <w:start w:w="120" w:type="dxa"/>
              <w:bottom w:w="90" w:type="dxa"/>
              <w:end w:w="120" w:type="dxa"/>
            </w:tcMar>
            <w:vAlign w:val="center"/>
          </w:tcPr>
          <w:p>
            <w:pPr>
              <w:spacing w:after="40" w:line="252" w:lineRule="auto"/>
            </w:pPr>
            <w:r>
              <w:rPr>
                <w:sz w:val="19"/>
              </w:rPr>
              <w:t>Classificação</w:t>
            </w:r>
          </w:p>
        </w:tc>
        <w:tc>
          <w:tcPr>
            <w:tcW w:type="dxa" w:w="7160"/>
            <w:tcMar>
              <w:top w:w="90" w:type="dxa"/>
              <w:start w:w="120" w:type="dxa"/>
              <w:bottom w:w="90" w:type="dxa"/>
              <w:end w:w="120" w:type="dxa"/>
            </w:tcMar>
            <w:vAlign w:val="center"/>
          </w:tcPr>
          <w:p>
            <w:pPr>
              <w:spacing w:after="40" w:line="252" w:lineRule="auto"/>
            </w:pPr>
            <w:r>
              <w:rPr>
                <w:sz w:val="19"/>
              </w:rPr>
              <w:t>Uso interno — engenharia, implantação e validação contábil</w:t>
            </w:r>
          </w:p>
        </w:tc>
      </w:tr>
    </w:tbl>
    <w:p>
      <w:pPr>
        <w:spacing w:after="20"/>
        <w:widowControl/>
      </w:pPr>
    </w:p>
    <w:p>
      <w:pPr>
        <w:spacing w:before="800"/>
        <w:jc w:val="center"/>
        <w:widowControl/>
      </w:pPr>
      <w:r>
        <w:rPr>
          <w:i/>
          <w:color w:val="5B6573"/>
        </w:rPr>
        <w:t>Este documento não contém certificado, senha, CSC, CNPJ de cliente ou token.</w:t>
      </w:r>
    </w:p>
    <w:p>
      <w:pPr>
        <w:widowControl/>
      </w:pPr>
      <w:r>
        <w:br w:type="page"/>
      </w:r>
    </w:p>
    <w:p>
      <w:pPr>
        <w:pStyle w:val="Heading1"/>
        <w:keepNext/>
        <w:widowControl/>
      </w:pPr>
      <w:r>
        <w:t>1. Resumo executivo</w:t>
      </w:r>
    </w:p>
    <w:p>
      <w:pPr>
        <w:widowControl/>
      </w:pPr>
      <w:r>
        <w:t>É tecnicamente viável reproduzir no DeTecServer o padrão de comunicação observado no iSOLIDUS. O iSOLIDUS não aparenta depender de uma API REST comercial: ele utiliza componentes fiscais locais e um catálogo de webservices para transmitir XML assinado diretamente aos autorizadores oficiais. O DeTecServer já possui a maior parte do domínio fiscal; a lacuna é o adaptador de transporte oficial e sua homologação operacional.</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3EE"/>
            <w:tcMar>
              <w:top w:w="90" w:type="dxa"/>
              <w:start w:w="120" w:type="dxa"/>
              <w:bottom w:w="90" w:type="dxa"/>
              <w:end w:w="120" w:type="dxa"/>
            </w:tcMar>
            <w:vAlign w:val="center"/>
          </w:tcPr>
          <w:p>
            <w:r>
              <w:rPr>
                <w:b/>
                <w:color w:val="2F6B4F"/>
              </w:rPr>
              <w:t xml:space="preserve">Conclusão: </w:t>
            </w:r>
            <w:r>
              <w:t>O trabalho principal não é refazer a emissão fiscal. É implementar a fronteira SEFAZ, endurecer a gestão de endpoints/schemas e provar o comportamento em homologação antes de liberar produção.</w:t>
            </w:r>
          </w:p>
        </w:tc>
      </w:tr>
    </w:tbl>
    <w:p>
      <w:pPr>
        <w:spacing w:after="20"/>
        <w:widowControl/>
      </w:pPr>
    </w:p>
    <w:p>
      <w:pPr>
        <w:pStyle w:val="Heading2"/>
        <w:keepNext/>
        <w:widowControl/>
      </w:pPr>
      <w:r>
        <w:t>1.1 Escopo e limites da análise</w:t>
      </w:r>
    </w:p>
    <w:p>
      <w:pPr>
        <w:pStyle w:val="ListBullet"/>
        <w:widowControl/>
      </w:pPr>
      <w:r>
        <w:t>Análise estática do pacote DeTecServer 0.1.16 fornecido pelo usuário.</w:t>
      </w:r>
    </w:p>
    <w:p>
      <w:pPr>
        <w:pStyle w:val="ListBullet"/>
        <w:widowControl/>
      </w:pPr>
      <w:r>
        <w:t>Inspeção somente leitura da estrutura do iSOLIDUS disponível no servidor interno.</w:t>
      </w:r>
    </w:p>
    <w:p>
      <w:pPr>
        <w:pStyle w:val="ListBullet"/>
        <w:widowControl/>
      </w:pPr>
      <w:r>
        <w:t>Validação de serviços e requisitos com páginas oficiais da SEFAZ Goiás e do Portal Nacional da NF-e.</w:t>
      </w:r>
    </w:p>
    <w:p>
      <w:pPr>
        <w:pStyle w:val="ListBullet"/>
        <w:widowControl/>
      </w:pPr>
      <w:r>
        <w:t>Não foi realizada emissão, captura de tráfego, acesso a certificados ou leitura de credenciais.</w:t>
      </w:r>
    </w:p>
    <w:p>
      <w:pPr>
        <w:pStyle w:val="ListBullet"/>
        <w:widowControl/>
      </w:pPr>
      <w:r>
        <w:t>A tributação de produtos, CFOP, CST/CSOSN, cBenef, IBS/CBS e regras de negócio deve ser aprovada por contador/consultoria fiscal.</w:t>
      </w:r>
    </w:p>
    <w:p>
      <w:pPr>
        <w:pStyle w:val="Heading2"/>
        <w:keepNext/>
        <w:widowControl/>
      </w:pPr>
      <w:r>
        <w:t>1.2 Situação atual</w:t>
      </w:r>
    </w:p>
    <w:tbl>
      <w:tblPr>
        <w:tblStyle w:val="TableGrid"/>
        <w:tblW w:type="dxa" w:w="9360"/>
        <w:jc w:val="center"/>
        <w:tblLayout w:type="fixed"/>
        <w:tblLook w:firstColumn="1" w:firstRow="1" w:lastColumn="0" w:lastRow="0" w:noHBand="0" w:noVBand="1" w:val="04A0"/>
        <w:tblInd w:w="120" w:type="dxa"/>
      </w:tblPr>
      <w:tblGrid>
        <w:gridCol w:w="1700"/>
        <w:gridCol w:w="2600"/>
        <w:gridCol w:w="3050"/>
        <w:gridCol w:w="2010"/>
      </w:tblGrid>
      <w:tr>
        <w:trPr>
          <w:tblHeader w:val="true"/>
        </w:trPr>
        <w:tc>
          <w:tcPr>
            <w:tcW w:type="dxa" w:w="1700"/>
            <w:shd w:fill="E8EEF5"/>
            <w:tcMar>
              <w:top w:w="90" w:type="dxa"/>
              <w:start w:w="120" w:type="dxa"/>
              <w:bottom w:w="90" w:type="dxa"/>
              <w:end w:w="120" w:type="dxa"/>
            </w:tcMar>
            <w:vAlign w:val="center"/>
          </w:tcPr>
          <w:p>
            <w:r>
              <w:rPr>
                <w:b/>
                <w:color w:val="17365D"/>
                <w:sz w:val="16"/>
              </w:rPr>
              <w:t>Área</w:t>
            </w:r>
          </w:p>
        </w:tc>
        <w:tc>
          <w:tcPr>
            <w:tcW w:type="dxa" w:w="2600"/>
            <w:shd w:fill="E8EEF5"/>
            <w:tcMar>
              <w:top w:w="90" w:type="dxa"/>
              <w:start w:w="120" w:type="dxa"/>
              <w:bottom w:w="90" w:type="dxa"/>
              <w:end w:w="120" w:type="dxa"/>
            </w:tcMar>
            <w:vAlign w:val="center"/>
          </w:tcPr>
          <w:p>
            <w:r>
              <w:rPr>
                <w:b/>
                <w:color w:val="17365D"/>
                <w:sz w:val="16"/>
              </w:rPr>
              <w:t>iSOLIDUS observado</w:t>
            </w:r>
          </w:p>
        </w:tc>
        <w:tc>
          <w:tcPr>
            <w:tcW w:type="dxa" w:w="3050"/>
            <w:shd w:fill="E8EEF5"/>
            <w:tcMar>
              <w:top w:w="90" w:type="dxa"/>
              <w:start w:w="120" w:type="dxa"/>
              <w:bottom w:w="90" w:type="dxa"/>
              <w:end w:w="120" w:type="dxa"/>
            </w:tcMar>
            <w:vAlign w:val="center"/>
          </w:tcPr>
          <w:p>
            <w:r>
              <w:rPr>
                <w:b/>
                <w:color w:val="17365D"/>
                <w:sz w:val="16"/>
              </w:rPr>
              <w:t>DeTecServer 0.1.16</w:t>
            </w:r>
          </w:p>
        </w:tc>
        <w:tc>
          <w:tcPr>
            <w:tcW w:type="dxa" w:w="2010"/>
            <w:shd w:fill="E8EEF5"/>
            <w:tcMar>
              <w:top w:w="90" w:type="dxa"/>
              <w:start w:w="120" w:type="dxa"/>
              <w:bottom w:w="90" w:type="dxa"/>
              <w:end w:w="120" w:type="dxa"/>
            </w:tcMar>
            <w:vAlign w:val="center"/>
          </w:tcPr>
          <w:p>
            <w:r>
              <w:rPr>
                <w:b/>
                <w:color w:val="17365D"/>
                <w:sz w:val="16"/>
              </w:rPr>
              <w:t>Situação</w:t>
            </w:r>
          </w:p>
        </w:tc>
      </w:tr>
      <w:tr>
        <w:tc>
          <w:tcPr>
            <w:tcW w:type="dxa" w:w="1700"/>
            <w:tcMar>
              <w:top w:w="90" w:type="dxa"/>
              <w:start w:w="120" w:type="dxa"/>
              <w:bottom w:w="90" w:type="dxa"/>
              <w:end w:w="120" w:type="dxa"/>
            </w:tcMar>
            <w:vAlign w:val="center"/>
          </w:tcPr>
          <w:p>
            <w:pPr>
              <w:spacing w:after="40" w:line="252" w:lineRule="auto"/>
            </w:pPr>
            <w:r>
              <w:rPr>
                <w:sz w:val="16"/>
              </w:rPr>
              <w:t>Transporte SEFAZ</w:t>
            </w:r>
          </w:p>
        </w:tc>
        <w:tc>
          <w:tcPr>
            <w:tcW w:type="dxa" w:w="2600"/>
            <w:tcMar>
              <w:top w:w="90" w:type="dxa"/>
              <w:start w:w="120" w:type="dxa"/>
              <w:bottom w:w="90" w:type="dxa"/>
              <w:end w:w="120" w:type="dxa"/>
            </w:tcMar>
            <w:vAlign w:val="center"/>
          </w:tcPr>
          <w:p>
            <w:pPr>
              <w:spacing w:after="40" w:line="252" w:lineRule="auto"/>
            </w:pPr>
            <w:r>
              <w:rPr>
                <w:sz w:val="16"/>
              </w:rPr>
              <w:t>Componente NFeExpert/ACBr e catálogo de URLs</w:t>
            </w:r>
          </w:p>
        </w:tc>
        <w:tc>
          <w:tcPr>
            <w:tcW w:type="dxa" w:w="3050"/>
            <w:tcMar>
              <w:top w:w="90" w:type="dxa"/>
              <w:start w:w="120" w:type="dxa"/>
              <w:bottom w:w="90" w:type="dxa"/>
              <w:end w:w="120" w:type="dxa"/>
            </w:tcMar>
            <w:vAlign w:val="center"/>
          </w:tcPr>
          <w:p>
            <w:pPr>
              <w:spacing w:after="40" w:line="252" w:lineRule="auto"/>
            </w:pPr>
            <w:r>
              <w:rPr>
                <w:sz w:val="16"/>
              </w:rPr>
              <w:t>Contrato de adaptador, sem implementação real configurada</w:t>
            </w:r>
          </w:p>
        </w:tc>
        <w:tc>
          <w:tcPr>
            <w:tcW w:type="dxa" w:w="2010"/>
            <w:tcMar>
              <w:top w:w="90" w:type="dxa"/>
              <w:start w:w="120" w:type="dxa"/>
              <w:bottom w:w="90" w:type="dxa"/>
              <w:end w:w="120" w:type="dxa"/>
            </w:tcMar>
            <w:vAlign w:val="center"/>
          </w:tcPr>
          <w:p>
            <w:pPr>
              <w:spacing w:after="40" w:line="252" w:lineRule="auto"/>
            </w:pPr>
            <w:r>
              <w:rPr>
                <w:sz w:val="16"/>
              </w:rPr>
              <w:t>Falta implementar</w:t>
            </w:r>
          </w:p>
        </w:tc>
      </w:tr>
      <w:tr>
        <w:tc>
          <w:tcPr>
            <w:tcW w:type="dxa" w:w="1700"/>
            <w:tcMar>
              <w:top w:w="90" w:type="dxa"/>
              <w:start w:w="120" w:type="dxa"/>
              <w:bottom w:w="90" w:type="dxa"/>
              <w:end w:w="120" w:type="dxa"/>
            </w:tcMar>
            <w:vAlign w:val="center"/>
          </w:tcPr>
          <w:p>
            <w:pPr>
              <w:spacing w:after="40" w:line="252" w:lineRule="auto"/>
            </w:pPr>
            <w:r>
              <w:rPr>
                <w:sz w:val="16"/>
              </w:rPr>
              <w:t>XML NF-e/NFC-e</w:t>
            </w:r>
          </w:p>
        </w:tc>
        <w:tc>
          <w:tcPr>
            <w:tcW w:type="dxa" w:w="2600"/>
            <w:tcMar>
              <w:top w:w="90" w:type="dxa"/>
              <w:start w:w="120" w:type="dxa"/>
              <w:bottom w:w="90" w:type="dxa"/>
              <w:end w:w="120" w:type="dxa"/>
            </w:tcMar>
            <w:vAlign w:val="center"/>
          </w:tcPr>
          <w:p>
            <w:pPr>
              <w:spacing w:after="40" w:line="252" w:lineRule="auto"/>
            </w:pPr>
            <w:r>
              <w:rPr>
                <w:sz w:val="16"/>
              </w:rPr>
              <w:t>Módulos e schemas presentes</w:t>
            </w:r>
          </w:p>
        </w:tc>
        <w:tc>
          <w:tcPr>
            <w:tcW w:type="dxa" w:w="3050"/>
            <w:tcMar>
              <w:top w:w="90" w:type="dxa"/>
              <w:start w:w="120" w:type="dxa"/>
              <w:bottom w:w="90" w:type="dxa"/>
              <w:end w:w="120" w:type="dxa"/>
            </w:tcMar>
            <w:vAlign w:val="center"/>
          </w:tcPr>
          <w:p>
            <w:pPr>
              <w:spacing w:after="40" w:line="252" w:lineRule="auto"/>
            </w:pPr>
            <w:r>
              <w:rPr>
                <w:sz w:val="16"/>
              </w:rPr>
              <w:t>Geração de NF-e/NFC-e já existente</w:t>
            </w:r>
          </w:p>
        </w:tc>
        <w:tc>
          <w:tcPr>
            <w:tcW w:type="dxa" w:w="2010"/>
            <w:tcMar>
              <w:top w:w="90" w:type="dxa"/>
              <w:start w:w="120" w:type="dxa"/>
              <w:bottom w:w="90" w:type="dxa"/>
              <w:end w:w="120" w:type="dxa"/>
            </w:tcMar>
            <w:vAlign w:val="center"/>
          </w:tcPr>
          <w:p>
            <w:pPr>
              <w:spacing w:after="40" w:line="252" w:lineRule="auto"/>
            </w:pPr>
            <w:r>
              <w:rPr>
                <w:sz w:val="16"/>
              </w:rPr>
              <w:t>Base pronta</w:t>
            </w:r>
          </w:p>
        </w:tc>
      </w:tr>
      <w:tr>
        <w:tc>
          <w:tcPr>
            <w:tcW w:type="dxa" w:w="1700"/>
            <w:tcMar>
              <w:top w:w="90" w:type="dxa"/>
              <w:start w:w="120" w:type="dxa"/>
              <w:bottom w:w="90" w:type="dxa"/>
              <w:end w:w="120" w:type="dxa"/>
            </w:tcMar>
            <w:vAlign w:val="center"/>
          </w:tcPr>
          <w:p>
            <w:pPr>
              <w:spacing w:after="40" w:line="252" w:lineRule="auto"/>
            </w:pPr>
            <w:r>
              <w:rPr>
                <w:sz w:val="16"/>
              </w:rPr>
              <w:t>Certificado</w:t>
            </w:r>
          </w:p>
        </w:tc>
        <w:tc>
          <w:tcPr>
            <w:tcW w:type="dxa" w:w="2600"/>
            <w:tcMar>
              <w:top w:w="90" w:type="dxa"/>
              <w:start w:w="120" w:type="dxa"/>
              <w:bottom w:w="90" w:type="dxa"/>
              <w:end w:w="120" w:type="dxa"/>
            </w:tcMar>
            <w:vAlign w:val="center"/>
          </w:tcPr>
          <w:p>
            <w:pPr>
              <w:spacing w:after="40" w:line="252" w:lineRule="auto"/>
            </w:pPr>
            <w:r>
              <w:rPr>
                <w:sz w:val="16"/>
              </w:rPr>
              <w:t>Pasta/módulo fiscal e SSL</w:t>
            </w:r>
          </w:p>
        </w:tc>
        <w:tc>
          <w:tcPr>
            <w:tcW w:type="dxa" w:w="3050"/>
            <w:tcMar>
              <w:top w:w="90" w:type="dxa"/>
              <w:start w:w="120" w:type="dxa"/>
              <w:bottom w:w="90" w:type="dxa"/>
              <w:end w:w="120" w:type="dxa"/>
            </w:tcMar>
            <w:vAlign w:val="center"/>
          </w:tcPr>
          <w:p>
            <w:pPr>
              <w:spacing w:after="40" w:line="252" w:lineRule="auto"/>
            </w:pPr>
            <w:r>
              <w:rPr>
                <w:sz w:val="16"/>
              </w:rPr>
              <w:t>A1 criptografado e assinatura XML local</w:t>
            </w:r>
          </w:p>
        </w:tc>
        <w:tc>
          <w:tcPr>
            <w:tcW w:type="dxa" w:w="2010"/>
            <w:tcMar>
              <w:top w:w="90" w:type="dxa"/>
              <w:start w:w="120" w:type="dxa"/>
              <w:bottom w:w="90" w:type="dxa"/>
              <w:end w:w="120" w:type="dxa"/>
            </w:tcMar>
            <w:vAlign w:val="center"/>
          </w:tcPr>
          <w:p>
            <w:pPr>
              <w:spacing w:after="40" w:line="252" w:lineRule="auto"/>
            </w:pPr>
            <w:r>
              <w:rPr>
                <w:sz w:val="16"/>
              </w:rPr>
              <w:t>Base pronta</w:t>
            </w:r>
          </w:p>
        </w:tc>
      </w:tr>
      <w:tr>
        <w:tc>
          <w:tcPr>
            <w:tcW w:type="dxa" w:w="1700"/>
            <w:tcMar>
              <w:top w:w="90" w:type="dxa"/>
              <w:start w:w="120" w:type="dxa"/>
              <w:bottom w:w="90" w:type="dxa"/>
              <w:end w:w="120" w:type="dxa"/>
            </w:tcMar>
            <w:vAlign w:val="center"/>
          </w:tcPr>
          <w:p>
            <w:pPr>
              <w:spacing w:after="40" w:line="252" w:lineRule="auto"/>
            </w:pPr>
            <w:r>
              <w:rPr>
                <w:sz w:val="16"/>
              </w:rPr>
              <w:t>Eventos</w:t>
            </w:r>
          </w:p>
        </w:tc>
        <w:tc>
          <w:tcPr>
            <w:tcW w:type="dxa" w:w="2600"/>
            <w:tcMar>
              <w:top w:w="90" w:type="dxa"/>
              <w:start w:w="120" w:type="dxa"/>
              <w:bottom w:w="90" w:type="dxa"/>
              <w:end w:w="120" w:type="dxa"/>
            </w:tcMar>
            <w:vAlign w:val="center"/>
          </w:tcPr>
          <w:p>
            <w:pPr>
              <w:spacing w:after="40" w:line="252" w:lineRule="auto"/>
            </w:pPr>
            <w:r>
              <w:rPr>
                <w:sz w:val="16"/>
              </w:rPr>
              <w:t>Serviços de evento e inutilização catalogados</w:t>
            </w:r>
          </w:p>
        </w:tc>
        <w:tc>
          <w:tcPr>
            <w:tcW w:type="dxa" w:w="3050"/>
            <w:tcMar>
              <w:top w:w="90" w:type="dxa"/>
              <w:start w:w="120" w:type="dxa"/>
              <w:bottom w:w="90" w:type="dxa"/>
              <w:end w:w="120" w:type="dxa"/>
            </w:tcMar>
            <w:vAlign w:val="center"/>
          </w:tcPr>
          <w:p>
            <w:pPr>
              <w:spacing w:after="40" w:line="252" w:lineRule="auto"/>
            </w:pPr>
            <w:r>
              <w:rPr>
                <w:sz w:val="16"/>
              </w:rPr>
              <w:t>Contratos para cancelar, consultar e inutilizar</w:t>
            </w:r>
          </w:p>
        </w:tc>
        <w:tc>
          <w:tcPr>
            <w:tcW w:type="dxa" w:w="2010"/>
            <w:tcMar>
              <w:top w:w="90" w:type="dxa"/>
              <w:start w:w="120" w:type="dxa"/>
              <w:bottom w:w="90" w:type="dxa"/>
              <w:end w:w="120" w:type="dxa"/>
            </w:tcMar>
            <w:vAlign w:val="center"/>
          </w:tcPr>
          <w:p>
            <w:pPr>
              <w:spacing w:after="40" w:line="252" w:lineRule="auto"/>
            </w:pPr>
            <w:r>
              <w:rPr>
                <w:sz w:val="16"/>
              </w:rPr>
              <w:t>Base pronta</w:t>
            </w:r>
          </w:p>
        </w:tc>
      </w:tr>
      <w:tr>
        <w:tc>
          <w:tcPr>
            <w:tcW w:type="dxa" w:w="1700"/>
            <w:tcMar>
              <w:top w:w="90" w:type="dxa"/>
              <w:start w:w="120" w:type="dxa"/>
              <w:bottom w:w="90" w:type="dxa"/>
              <w:end w:w="120" w:type="dxa"/>
            </w:tcMar>
            <w:vAlign w:val="center"/>
          </w:tcPr>
          <w:p>
            <w:pPr>
              <w:spacing w:after="40" w:line="252" w:lineRule="auto"/>
            </w:pPr>
            <w:r>
              <w:rPr>
                <w:sz w:val="16"/>
              </w:rPr>
              <w:t>Fila/retentativa</w:t>
            </w:r>
          </w:p>
        </w:tc>
        <w:tc>
          <w:tcPr>
            <w:tcW w:type="dxa" w:w="2600"/>
            <w:tcMar>
              <w:top w:w="90" w:type="dxa"/>
              <w:start w:w="120" w:type="dxa"/>
              <w:bottom w:w="90" w:type="dxa"/>
              <w:end w:w="120" w:type="dxa"/>
            </w:tcMar>
            <w:vAlign w:val="center"/>
          </w:tcPr>
          <w:p>
            <w:pPr>
              <w:spacing w:after="40" w:line="252" w:lineRule="auto"/>
            </w:pPr>
            <w:r>
              <w:rPr>
                <w:sz w:val="16"/>
              </w:rPr>
              <w:t>Executáveis auxiliares e logs</w:t>
            </w:r>
          </w:p>
        </w:tc>
        <w:tc>
          <w:tcPr>
            <w:tcW w:type="dxa" w:w="3050"/>
            <w:tcMar>
              <w:top w:w="90" w:type="dxa"/>
              <w:start w:w="120" w:type="dxa"/>
              <w:bottom w:w="90" w:type="dxa"/>
              <w:end w:w="120" w:type="dxa"/>
            </w:tcMar>
            <w:vAlign w:val="center"/>
          </w:tcPr>
          <w:p>
            <w:pPr>
              <w:spacing w:after="40" w:line="252" w:lineRule="auto"/>
            </w:pPr>
            <w:r>
              <w:rPr>
                <w:sz w:val="16"/>
              </w:rPr>
              <w:t>Fila, lease, backoff e idempotência</w:t>
            </w:r>
          </w:p>
        </w:tc>
        <w:tc>
          <w:tcPr>
            <w:tcW w:type="dxa" w:w="2010"/>
            <w:tcMar>
              <w:top w:w="90" w:type="dxa"/>
              <w:start w:w="120" w:type="dxa"/>
              <w:bottom w:w="90" w:type="dxa"/>
              <w:end w:w="120" w:type="dxa"/>
            </w:tcMar>
            <w:vAlign w:val="center"/>
          </w:tcPr>
          <w:p>
            <w:pPr>
              <w:spacing w:after="40" w:line="252" w:lineRule="auto"/>
            </w:pPr>
            <w:r>
              <w:rPr>
                <w:sz w:val="16"/>
              </w:rPr>
              <w:t>Base pronta</w:t>
            </w:r>
          </w:p>
        </w:tc>
      </w:tr>
      <w:tr>
        <w:tc>
          <w:tcPr>
            <w:tcW w:type="dxa" w:w="1700"/>
            <w:tcMar>
              <w:top w:w="90" w:type="dxa"/>
              <w:start w:w="120" w:type="dxa"/>
              <w:bottom w:w="90" w:type="dxa"/>
              <w:end w:w="120" w:type="dxa"/>
            </w:tcMar>
            <w:vAlign w:val="center"/>
          </w:tcPr>
          <w:p>
            <w:pPr>
              <w:spacing w:after="40" w:line="252" w:lineRule="auto"/>
            </w:pPr>
            <w:r>
              <w:rPr>
                <w:sz w:val="16"/>
              </w:rPr>
              <w:t>Homologação</w:t>
            </w:r>
          </w:p>
        </w:tc>
        <w:tc>
          <w:tcPr>
            <w:tcW w:type="dxa" w:w="2600"/>
            <w:tcMar>
              <w:top w:w="90" w:type="dxa"/>
              <w:start w:w="120" w:type="dxa"/>
              <w:bottom w:w="90" w:type="dxa"/>
              <w:end w:w="120" w:type="dxa"/>
            </w:tcMar>
            <w:vAlign w:val="center"/>
          </w:tcPr>
          <w:p>
            <w:pPr>
              <w:spacing w:after="40" w:line="252" w:lineRule="auto"/>
            </w:pPr>
            <w:r>
              <w:rPr>
                <w:sz w:val="16"/>
              </w:rPr>
              <w:t>Ambiente configurável</w:t>
            </w:r>
          </w:p>
        </w:tc>
        <w:tc>
          <w:tcPr>
            <w:tcW w:type="dxa" w:w="3050"/>
            <w:tcMar>
              <w:top w:w="90" w:type="dxa"/>
              <w:start w:w="120" w:type="dxa"/>
              <w:bottom w:w="90" w:type="dxa"/>
              <w:end w:w="120" w:type="dxa"/>
            </w:tcMar>
            <w:vAlign w:val="center"/>
          </w:tcPr>
          <w:p>
            <w:pPr>
              <w:spacing w:after="40" w:line="252" w:lineRule="auto"/>
            </w:pPr>
            <w:r>
              <w:rPr>
                <w:sz w:val="16"/>
              </w:rPr>
              <w:t>Tela/checklist GO e ambiente separado</w:t>
            </w:r>
          </w:p>
        </w:tc>
        <w:tc>
          <w:tcPr>
            <w:tcW w:type="dxa" w:w="2010"/>
            <w:tcMar>
              <w:top w:w="90" w:type="dxa"/>
              <w:start w:w="120" w:type="dxa"/>
              <w:bottom w:w="90" w:type="dxa"/>
              <w:end w:w="120" w:type="dxa"/>
            </w:tcMar>
            <w:vAlign w:val="center"/>
          </w:tcPr>
          <w:p>
            <w:pPr>
              <w:spacing w:after="40" w:line="252" w:lineRule="auto"/>
            </w:pPr>
            <w:r>
              <w:rPr>
                <w:sz w:val="16"/>
              </w:rPr>
              <w:t>Completar evidências</w:t>
            </w:r>
          </w:p>
        </w:tc>
      </w:tr>
    </w:tbl>
    <w:p>
      <w:pPr>
        <w:spacing w:after="20"/>
        <w:widowControl/>
      </w:pPr>
    </w:p>
    <w:p>
      <w:pPr>
        <w:pStyle w:val="Heading1"/>
        <w:keepNext/>
        <w:widowControl/>
      </w:pPr>
      <w:r>
        <w:t>2. O que foi observado no iSOLIDUS</w:t>
      </w:r>
    </w:p>
    <w:p>
      <w:pPr>
        <w:widowControl/>
      </w:pPr>
      <w:r>
        <w:t>O atalho do usuário aponta para um executável centralizado no compartilhamento do servidor interno. Na mesma instalação existem componentes fiscais, schemas, certificados, arquivos XML e tabelas de endpoints. Isso indica uma arquitetura cliente-servidor em que a emissão fiscal é realizada no ambiente controlado do servidor, e não em cada estação.</w:t>
      </w:r>
    </w:p>
    <w:p>
      <w:pPr>
        <w:pStyle w:val="Heading2"/>
        <w:keepNext/>
        <w:widowControl/>
      </w:pPr>
      <w:r>
        <w:t>2.1 Componentes relevantes</w:t>
      </w:r>
    </w:p>
    <w:tbl>
      <w:tblPr>
        <w:tblStyle w:val="TableGrid"/>
        <w:tblW w:type="dxa" w:w="9360"/>
        <w:jc w:val="center"/>
        <w:tblLayout w:type="fixed"/>
        <w:tblLook w:firstColumn="1" w:firstRow="1" w:lastColumn="0" w:lastRow="0" w:noHBand="0" w:noVBand="1" w:val="04A0"/>
        <w:tblInd w:w="120" w:type="dxa"/>
      </w:tblPr>
      <w:tblGrid>
        <w:gridCol w:w="2200"/>
        <w:gridCol w:w="4100"/>
        <w:gridCol w:w="3060"/>
      </w:tblGrid>
      <w:tr>
        <w:trPr>
          <w:tblHeader w:val="true"/>
        </w:trPr>
        <w:tc>
          <w:tcPr>
            <w:tcW w:type="dxa" w:w="2200"/>
            <w:shd w:fill="E8EEF5"/>
            <w:tcMar>
              <w:top w:w="90" w:type="dxa"/>
              <w:start w:w="120" w:type="dxa"/>
              <w:bottom w:w="90" w:type="dxa"/>
              <w:end w:w="120" w:type="dxa"/>
            </w:tcMar>
            <w:vAlign w:val="center"/>
          </w:tcPr>
          <w:p>
            <w:r>
              <w:rPr>
                <w:b/>
                <w:color w:val="17365D"/>
                <w:sz w:val="17"/>
              </w:rPr>
              <w:t>Componente</w:t>
            </w:r>
          </w:p>
        </w:tc>
        <w:tc>
          <w:tcPr>
            <w:tcW w:type="dxa" w:w="4100"/>
            <w:shd w:fill="E8EEF5"/>
            <w:tcMar>
              <w:top w:w="90" w:type="dxa"/>
              <w:start w:w="120" w:type="dxa"/>
              <w:bottom w:w="90" w:type="dxa"/>
              <w:end w:w="120" w:type="dxa"/>
            </w:tcMar>
            <w:vAlign w:val="center"/>
          </w:tcPr>
          <w:p>
            <w:r>
              <w:rPr>
                <w:b/>
                <w:color w:val="17365D"/>
                <w:sz w:val="17"/>
              </w:rPr>
              <w:t>Papel inferido</w:t>
            </w:r>
          </w:p>
        </w:tc>
        <w:tc>
          <w:tcPr>
            <w:tcW w:type="dxa" w:w="3060"/>
            <w:shd w:fill="E8EEF5"/>
            <w:tcMar>
              <w:top w:w="90" w:type="dxa"/>
              <w:start w:w="120" w:type="dxa"/>
              <w:bottom w:w="90" w:type="dxa"/>
              <w:end w:w="120" w:type="dxa"/>
            </w:tcMar>
            <w:vAlign w:val="center"/>
          </w:tcPr>
          <w:p>
            <w:r>
              <w:rPr>
                <w:b/>
                <w:color w:val="17365D"/>
                <w:sz w:val="17"/>
              </w:rPr>
              <w:t>Devemos copiar?</w:t>
            </w:r>
          </w:p>
        </w:tc>
      </w:tr>
      <w:tr>
        <w:tc>
          <w:tcPr>
            <w:tcW w:type="dxa" w:w="2200"/>
            <w:tcMar>
              <w:top w:w="90" w:type="dxa"/>
              <w:start w:w="120" w:type="dxa"/>
              <w:bottom w:w="90" w:type="dxa"/>
              <w:end w:w="120" w:type="dxa"/>
            </w:tcMar>
            <w:vAlign w:val="center"/>
          </w:tcPr>
          <w:p>
            <w:pPr>
              <w:spacing w:after="40" w:line="252" w:lineRule="auto"/>
            </w:pPr>
            <w:r>
              <w:rPr>
                <w:sz w:val="17"/>
              </w:rPr>
              <w:t>iSOLIDUS.exe / SOL_ERP.exe</w:t>
            </w:r>
          </w:p>
        </w:tc>
        <w:tc>
          <w:tcPr>
            <w:tcW w:type="dxa" w:w="4100"/>
            <w:tcMar>
              <w:top w:w="90" w:type="dxa"/>
              <w:start w:w="120" w:type="dxa"/>
              <w:bottom w:w="90" w:type="dxa"/>
              <w:end w:w="120" w:type="dxa"/>
            </w:tcMar>
            <w:vAlign w:val="center"/>
          </w:tcPr>
          <w:p>
            <w:pPr>
              <w:spacing w:after="40" w:line="252" w:lineRule="auto"/>
            </w:pPr>
            <w:r>
              <w:rPr>
                <w:sz w:val="17"/>
              </w:rPr>
              <w:t>ERP e orquestração do processo fiscal</w:t>
            </w:r>
          </w:p>
        </w:tc>
        <w:tc>
          <w:tcPr>
            <w:tcW w:type="dxa" w:w="3060"/>
            <w:tcMar>
              <w:top w:w="90" w:type="dxa"/>
              <w:start w:w="120" w:type="dxa"/>
              <w:bottom w:w="90" w:type="dxa"/>
              <w:end w:w="120" w:type="dxa"/>
            </w:tcMar>
            <w:vAlign w:val="center"/>
          </w:tcPr>
          <w:p>
            <w:pPr>
              <w:spacing w:after="40" w:line="252" w:lineRule="auto"/>
            </w:pPr>
            <w:r>
              <w:rPr>
                <w:sz w:val="17"/>
              </w:rPr>
              <w:t>Não; nosso ERP já cumpre esse papel</w:t>
            </w:r>
          </w:p>
        </w:tc>
      </w:tr>
      <w:tr>
        <w:tc>
          <w:tcPr>
            <w:tcW w:type="dxa" w:w="2200"/>
            <w:tcMar>
              <w:top w:w="90" w:type="dxa"/>
              <w:start w:w="120" w:type="dxa"/>
              <w:bottom w:w="90" w:type="dxa"/>
              <w:end w:w="120" w:type="dxa"/>
            </w:tcMar>
            <w:vAlign w:val="center"/>
          </w:tcPr>
          <w:p>
            <w:pPr>
              <w:spacing w:after="40" w:line="252" w:lineRule="auto"/>
            </w:pPr>
            <w:r>
              <w:rPr>
                <w:sz w:val="17"/>
              </w:rPr>
              <w:t>NFeExpert_Embedded.exe / pasta NfeExpert</w:t>
            </w:r>
          </w:p>
        </w:tc>
        <w:tc>
          <w:tcPr>
            <w:tcW w:type="dxa" w:w="4100"/>
            <w:tcMar>
              <w:top w:w="90" w:type="dxa"/>
              <w:start w:w="120" w:type="dxa"/>
              <w:bottom w:w="90" w:type="dxa"/>
              <w:end w:w="120" w:type="dxa"/>
            </w:tcMar>
            <w:vAlign w:val="center"/>
          </w:tcPr>
          <w:p>
            <w:pPr>
              <w:spacing w:after="40" w:line="252" w:lineRule="auto"/>
            </w:pPr>
            <w:r>
              <w:rPr>
                <w:sz w:val="17"/>
              </w:rPr>
              <w:t>Motor fiscal local para XML, assinatura e comunicação</w:t>
            </w:r>
          </w:p>
        </w:tc>
        <w:tc>
          <w:tcPr>
            <w:tcW w:type="dxa" w:w="3060"/>
            <w:tcMar>
              <w:top w:w="90" w:type="dxa"/>
              <w:start w:w="120" w:type="dxa"/>
              <w:bottom w:w="90" w:type="dxa"/>
              <w:end w:w="120" w:type="dxa"/>
            </w:tcMar>
            <w:vAlign w:val="center"/>
          </w:tcPr>
          <w:p>
            <w:pPr>
              <w:spacing w:after="40" w:line="252" w:lineRule="auto"/>
            </w:pPr>
            <w:r>
              <w:rPr>
                <w:sz w:val="17"/>
              </w:rPr>
              <w:t>Copiar o padrão arquitetural, não o binário proprietário</w:t>
            </w:r>
          </w:p>
        </w:tc>
      </w:tr>
      <w:tr>
        <w:tc>
          <w:tcPr>
            <w:tcW w:type="dxa" w:w="2200"/>
            <w:tcMar>
              <w:top w:w="90" w:type="dxa"/>
              <w:start w:w="120" w:type="dxa"/>
              <w:bottom w:w="90" w:type="dxa"/>
              <w:end w:w="120" w:type="dxa"/>
            </w:tcMar>
            <w:vAlign w:val="center"/>
          </w:tcPr>
          <w:p>
            <w:pPr>
              <w:spacing w:after="40" w:line="252" w:lineRule="auto"/>
            </w:pPr>
            <w:r>
              <w:rPr>
                <w:sz w:val="17"/>
              </w:rPr>
              <w:t>ACBrNFeServicos.ini</w:t>
            </w:r>
          </w:p>
        </w:tc>
        <w:tc>
          <w:tcPr>
            <w:tcW w:type="dxa" w:w="4100"/>
            <w:tcMar>
              <w:top w:w="90" w:type="dxa"/>
              <w:start w:w="120" w:type="dxa"/>
              <w:bottom w:w="90" w:type="dxa"/>
              <w:end w:w="120" w:type="dxa"/>
            </w:tcMar>
            <w:vAlign w:val="center"/>
          </w:tcPr>
          <w:p>
            <w:pPr>
              <w:spacing w:after="40" w:line="252" w:lineRule="auto"/>
            </w:pPr>
            <w:r>
              <w:rPr>
                <w:sz w:val="17"/>
              </w:rPr>
              <w:t>Catálogo de autorizadores, ambientes e serviços</w:t>
            </w:r>
          </w:p>
        </w:tc>
        <w:tc>
          <w:tcPr>
            <w:tcW w:type="dxa" w:w="3060"/>
            <w:tcMar>
              <w:top w:w="90" w:type="dxa"/>
              <w:start w:w="120" w:type="dxa"/>
              <w:bottom w:w="90" w:type="dxa"/>
              <w:end w:w="120" w:type="dxa"/>
            </w:tcMar>
            <w:vAlign w:val="center"/>
          </w:tcPr>
          <w:p>
            <w:pPr>
              <w:spacing w:after="40" w:line="252" w:lineRule="auto"/>
            </w:pPr>
            <w:r>
              <w:rPr>
                <w:sz w:val="17"/>
              </w:rPr>
              <w:t>Sim, como catálogo próprio versionado e testado</w:t>
            </w:r>
          </w:p>
        </w:tc>
      </w:tr>
      <w:tr>
        <w:tc>
          <w:tcPr>
            <w:tcW w:type="dxa" w:w="2200"/>
            <w:tcMar>
              <w:top w:w="90" w:type="dxa"/>
              <w:start w:w="120" w:type="dxa"/>
              <w:bottom w:w="90" w:type="dxa"/>
              <w:end w:w="120" w:type="dxa"/>
            </w:tcMar>
            <w:vAlign w:val="center"/>
          </w:tcPr>
          <w:p>
            <w:pPr>
              <w:spacing w:after="40" w:line="252" w:lineRule="auto"/>
            </w:pPr>
            <w:r>
              <w:rPr>
                <w:sz w:val="17"/>
              </w:rPr>
              <w:t>IntFrenteNFe.exe</w:t>
            </w:r>
          </w:p>
        </w:tc>
        <w:tc>
          <w:tcPr>
            <w:tcW w:type="dxa" w:w="4100"/>
            <w:tcMar>
              <w:top w:w="90" w:type="dxa"/>
              <w:start w:w="120" w:type="dxa"/>
              <w:bottom w:w="90" w:type="dxa"/>
              <w:end w:w="120" w:type="dxa"/>
            </w:tcMar>
            <w:vAlign w:val="center"/>
          </w:tcPr>
          <w:p>
            <w:pPr>
              <w:spacing w:after="40" w:line="252" w:lineRule="auto"/>
            </w:pPr>
            <w:r>
              <w:rPr>
                <w:sz w:val="17"/>
              </w:rPr>
              <w:t>Integração entre frente de caixa e emissão fiscal</w:t>
            </w:r>
          </w:p>
        </w:tc>
        <w:tc>
          <w:tcPr>
            <w:tcW w:type="dxa" w:w="3060"/>
            <w:tcMar>
              <w:top w:w="90" w:type="dxa"/>
              <w:start w:w="120" w:type="dxa"/>
              <w:bottom w:w="90" w:type="dxa"/>
              <w:end w:w="120" w:type="dxa"/>
            </w:tcMar>
            <w:vAlign w:val="center"/>
          </w:tcPr>
          <w:p>
            <w:pPr>
              <w:spacing w:after="40" w:line="252" w:lineRule="auto"/>
            </w:pPr>
            <w:r>
              <w:rPr>
                <w:sz w:val="17"/>
              </w:rPr>
              <w:t>Nosso PDV deve falar somente com o servidor local</w:t>
            </w:r>
          </w:p>
        </w:tc>
      </w:tr>
      <w:tr>
        <w:tc>
          <w:tcPr>
            <w:tcW w:type="dxa" w:w="2200"/>
            <w:tcMar>
              <w:top w:w="90" w:type="dxa"/>
              <w:start w:w="120" w:type="dxa"/>
              <w:bottom w:w="90" w:type="dxa"/>
              <w:end w:w="120" w:type="dxa"/>
            </w:tcMar>
            <w:vAlign w:val="center"/>
          </w:tcPr>
          <w:p>
            <w:pPr>
              <w:spacing w:after="40" w:line="252" w:lineRule="auto"/>
            </w:pPr>
            <w:r>
              <w:rPr>
                <w:sz w:val="17"/>
              </w:rPr>
              <w:t>Certificado</w:t>
            </w:r>
          </w:p>
        </w:tc>
        <w:tc>
          <w:tcPr>
            <w:tcW w:type="dxa" w:w="4100"/>
            <w:tcMar>
              <w:top w:w="90" w:type="dxa"/>
              <w:start w:w="120" w:type="dxa"/>
              <w:bottom w:w="90" w:type="dxa"/>
              <w:end w:w="120" w:type="dxa"/>
            </w:tcMar>
            <w:vAlign w:val="center"/>
          </w:tcPr>
          <w:p>
            <w:pPr>
              <w:spacing w:after="40" w:line="252" w:lineRule="auto"/>
            </w:pPr>
            <w:r>
              <w:rPr>
                <w:sz w:val="17"/>
              </w:rPr>
              <w:t>Material criptográfico por empresa/filial</w:t>
            </w:r>
          </w:p>
        </w:tc>
        <w:tc>
          <w:tcPr>
            <w:tcW w:type="dxa" w:w="3060"/>
            <w:tcMar>
              <w:top w:w="90" w:type="dxa"/>
              <w:start w:w="120" w:type="dxa"/>
              <w:bottom w:w="90" w:type="dxa"/>
              <w:end w:w="120" w:type="dxa"/>
            </w:tcMar>
            <w:vAlign w:val="center"/>
          </w:tcPr>
          <w:p>
            <w:pPr>
              <w:spacing w:after="40" w:line="252" w:lineRule="auto"/>
            </w:pPr>
            <w:r>
              <w:rPr>
                <w:sz w:val="17"/>
              </w:rPr>
              <w:t>Sim, com proteção mais forte e sem pasta aberta</w:t>
            </w:r>
          </w:p>
        </w:tc>
      </w:tr>
      <w:tr>
        <w:tc>
          <w:tcPr>
            <w:tcW w:type="dxa" w:w="2200"/>
            <w:tcMar>
              <w:top w:w="90" w:type="dxa"/>
              <w:start w:w="120" w:type="dxa"/>
              <w:bottom w:w="90" w:type="dxa"/>
              <w:end w:w="120" w:type="dxa"/>
            </w:tcMar>
            <w:vAlign w:val="center"/>
          </w:tcPr>
          <w:p>
            <w:pPr>
              <w:spacing w:after="40" w:line="252" w:lineRule="auto"/>
            </w:pPr>
            <w:r>
              <w:rPr>
                <w:sz w:val="17"/>
              </w:rPr>
              <w:t>NFe / Notas_xml</w:t>
            </w:r>
          </w:p>
        </w:tc>
        <w:tc>
          <w:tcPr>
            <w:tcW w:type="dxa" w:w="4100"/>
            <w:tcMar>
              <w:top w:w="90" w:type="dxa"/>
              <w:start w:w="120" w:type="dxa"/>
              <w:bottom w:w="90" w:type="dxa"/>
              <w:end w:w="120" w:type="dxa"/>
            </w:tcMar>
            <w:vAlign w:val="center"/>
          </w:tcPr>
          <w:p>
            <w:pPr>
              <w:spacing w:after="40" w:line="252" w:lineRule="auto"/>
            </w:pPr>
            <w:r>
              <w:rPr>
                <w:sz w:val="17"/>
              </w:rPr>
              <w:t>Schemas, XMLs e artefatos fiscais</w:t>
            </w:r>
          </w:p>
        </w:tc>
        <w:tc>
          <w:tcPr>
            <w:tcW w:type="dxa" w:w="3060"/>
            <w:tcMar>
              <w:top w:w="90" w:type="dxa"/>
              <w:start w:w="120" w:type="dxa"/>
              <w:bottom w:w="90" w:type="dxa"/>
              <w:end w:w="120" w:type="dxa"/>
            </w:tcMar>
            <w:vAlign w:val="center"/>
          </w:tcPr>
          <w:p>
            <w:pPr>
              <w:spacing w:after="40" w:line="252" w:lineRule="auto"/>
            </w:pPr>
            <w:r>
              <w:rPr>
                <w:sz w:val="17"/>
              </w:rPr>
              <w:t>Sim, com política de retenção, integridade e acesso</w:t>
            </w:r>
          </w:p>
        </w:tc>
      </w:tr>
      <w:tr>
        <w:tc>
          <w:tcPr>
            <w:tcW w:type="dxa" w:w="2200"/>
            <w:tcMar>
              <w:top w:w="90" w:type="dxa"/>
              <w:start w:w="120" w:type="dxa"/>
              <w:bottom w:w="90" w:type="dxa"/>
              <w:end w:w="120" w:type="dxa"/>
            </w:tcMar>
            <w:vAlign w:val="center"/>
          </w:tcPr>
          <w:p>
            <w:pPr>
              <w:spacing w:after="40" w:line="252" w:lineRule="auto"/>
            </w:pPr>
            <w:r>
              <w:rPr>
                <w:sz w:val="17"/>
              </w:rPr>
              <w:t>Logs</w:t>
            </w:r>
          </w:p>
        </w:tc>
        <w:tc>
          <w:tcPr>
            <w:tcW w:type="dxa" w:w="4100"/>
            <w:tcMar>
              <w:top w:w="90" w:type="dxa"/>
              <w:start w:w="120" w:type="dxa"/>
              <w:bottom w:w="90" w:type="dxa"/>
              <w:end w:w="120" w:type="dxa"/>
            </w:tcMar>
            <w:vAlign w:val="center"/>
          </w:tcPr>
          <w:p>
            <w:pPr>
              <w:spacing w:after="40" w:line="252" w:lineRule="auto"/>
            </w:pPr>
            <w:r>
              <w:rPr>
                <w:sz w:val="17"/>
              </w:rPr>
              <w:t>Diagnóstico operacional</w:t>
            </w:r>
          </w:p>
        </w:tc>
        <w:tc>
          <w:tcPr>
            <w:tcW w:type="dxa" w:w="3060"/>
            <w:tcMar>
              <w:top w:w="90" w:type="dxa"/>
              <w:start w:w="120" w:type="dxa"/>
              <w:bottom w:w="90" w:type="dxa"/>
              <w:end w:w="120" w:type="dxa"/>
            </w:tcMar>
            <w:vAlign w:val="center"/>
          </w:tcPr>
          <w:p>
            <w:pPr>
              <w:spacing w:after="40" w:line="252" w:lineRule="auto"/>
            </w:pPr>
            <w:r>
              <w:rPr>
                <w:sz w:val="17"/>
              </w:rPr>
              <w:t>Sim, com correlação e mascaramento de dados</w:t>
            </w:r>
          </w:p>
        </w:tc>
      </w:tr>
    </w:tbl>
    <w:p>
      <w:pPr>
        <w:spacing w:after="20"/>
        <w:widowControl/>
      </w:pPr>
    </w:p>
    <w:p>
      <w:pPr>
        <w:pStyle w:val="Heading2"/>
        <w:keepNext/>
        <w:widowControl/>
      </w:pPr>
      <w:r>
        <w:t>2.2 APIs versus componentes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4D6"/>
            <w:tcMar>
              <w:top w:w="90" w:type="dxa"/>
              <w:start w:w="120" w:type="dxa"/>
              <w:bottom w:w="90" w:type="dxa"/>
              <w:end w:w="120" w:type="dxa"/>
            </w:tcMar>
            <w:vAlign w:val="center"/>
          </w:tcPr>
          <w:p>
            <w:r>
              <w:rPr>
                <w:b/>
                <w:color w:val="8A5A00"/>
              </w:rPr>
              <w:t xml:space="preserve">Distinção essencial: </w:t>
            </w:r>
            <w:r>
              <w:t>ACBr e NFeExpert são bibliotecas/componentes de software. As APIs efetivamente consumidas são os webservices SOAP/XML oficiais da SEFAZ e, quando aplicável, os ambientes nacionais/SVC.</w:t>
            </w:r>
          </w:p>
        </w:tc>
      </w:tr>
    </w:tbl>
    <w:p>
      <w:pPr>
        <w:spacing w:after="20"/>
        <w:widowControl/>
      </w:pPr>
    </w:p>
    <w:p>
      <w:pPr>
        <w:widowControl/>
      </w:pPr>
      <w:r>
        <w:t>A presença de URLs oficiais no catálogo do iSOLIDUS sustenta a conclusão de integração direta. Não foi encontrada evidência estática suficiente de um gateway REST de terceiro no caminho de autorização. Essa conclusão deve ser tratada como de alta confiança, mas uma captura de tráfego durante uma emissão seria a confirmação definitiva.</w:t>
      </w:r>
    </w:p>
    <w:p>
      <w:pPr>
        <w:pStyle w:val="Heading2"/>
        <w:keepNext/>
        <w:widowControl/>
      </w:pPr>
      <w:r>
        <w:t>2.3 Práticas interessantes para incorporar</w:t>
      </w:r>
    </w:p>
    <w:p>
      <w:pPr>
        <w:pStyle w:val="ListBullet"/>
        <w:widowControl/>
      </w:pPr>
      <w:r>
        <w:t>Execução fiscal centralizada no servidor local, isolando certificado e comunicação do PDV.</w:t>
      </w:r>
    </w:p>
    <w:p>
      <w:pPr>
        <w:pStyle w:val="ListBullet"/>
        <w:widowControl/>
      </w:pPr>
      <w:r>
        <w:t>Catálogo por UF, ambiente, documento e serviço, com fallback controlado.</w:t>
      </w:r>
    </w:p>
    <w:p>
      <w:pPr>
        <w:pStyle w:val="ListBullet"/>
        <w:widowControl/>
      </w:pPr>
      <w:r>
        <w:t>Separação física/lógica de schemas, XMLs autorizados, temporários e logs.</w:t>
      </w:r>
    </w:p>
    <w:p>
      <w:pPr>
        <w:pStyle w:val="ListBullet"/>
        <w:widowControl/>
      </w:pPr>
      <w:r>
        <w:t>Ferramenta de diagnóstico de status da SEFAZ e validade do certificado.</w:t>
      </w:r>
    </w:p>
    <w:p>
      <w:pPr>
        <w:pStyle w:val="ListBullet"/>
        <w:widowControl/>
      </w:pPr>
      <w:r>
        <w:t>Processos auxiliares para fila, atualização e recuperação após falhas.</w:t>
      </w:r>
    </w:p>
    <w:p>
      <w:pPr>
        <w:pStyle w:val="ListBullet"/>
        <w:widowControl/>
      </w:pPr>
      <w:r>
        <w:t>Operação offline/contingência sem perder rastreabilidade da posterior transmissão.</w:t>
      </w:r>
    </w:p>
    <w:p>
      <w:pPr>
        <w:pStyle w:val="Heading2"/>
        <w:keepNext/>
        <w:widowControl/>
      </w:pPr>
      <w:r>
        <w:t>2.4 Melhorias sobre o padrão observado</w:t>
      </w:r>
    </w:p>
    <w:p>
      <w:pPr>
        <w:pStyle w:val="ListBullet"/>
        <w:widowControl/>
      </w:pPr>
      <w:r>
        <w:t>Não armazenar certificado e senha em pasta compartilhada; usar criptografia por aplicação e ACL mínima.</w:t>
      </w:r>
    </w:p>
    <w:p>
      <w:pPr>
        <w:pStyle w:val="ListBullet"/>
        <w:widowControl/>
      </w:pPr>
      <w:r>
        <w:t>Não depender de arquivo de endpoints antigo distribuído manualmente; criar catálogo versionado com fonte, vigência e teste automático.</w:t>
      </w:r>
    </w:p>
    <w:p>
      <w:pPr>
        <w:pStyle w:val="ListBullet"/>
        <w:widowControl/>
      </w:pPr>
      <w:r>
        <w:t>Não acoplar o ERP a um único componente fiscal; preservar a interface de adaptador já existente.</w:t>
      </w:r>
    </w:p>
    <w:p>
      <w:pPr>
        <w:pStyle w:val="ListBullet"/>
        <w:widowControl/>
      </w:pPr>
      <w:r>
        <w:t>Usar logs estruturados com correlation_id, idempotency_key, cStat e latência, sem registrar senha, CSC ou chave privada.</w:t>
      </w:r>
    </w:p>
    <w:p>
      <w:pPr>
        <w:pStyle w:val="ListBullet"/>
        <w:widowControl/>
      </w:pPr>
      <w:r>
        <w:t>Bloquear produção por feature flag até a homologação técnica e fiscal estar aprovada.</w:t>
      </w:r>
    </w:p>
    <w:p>
      <w:pPr>
        <w:widowControl/>
      </w:pPr>
      <w:r>
        <w:br w:type="page"/>
      </w:r>
    </w:p>
    <w:p>
      <w:pPr>
        <w:pStyle w:val="Heading1"/>
        <w:keepNext/>
        <w:widowControl/>
      </w:pPr>
      <w:r>
        <w:t>3. APIs e webservices necessários</w:t>
      </w:r>
    </w:p>
    <w:p>
      <w:pPr>
        <w:widowControl/>
      </w:pPr>
      <w:r>
        <w:t>Para Goiás, a integração direta deve consumir os webservices versão 4.00 publicados no Portal Nacional. O mesmo conjunto atende NF-e e NFC-e conforme regras do autorizador e do modelo do documento.</w:t>
      </w:r>
    </w:p>
    <w:tbl>
      <w:tblPr>
        <w:tblStyle w:val="TableGrid"/>
        <w:tblW w:type="dxa" w:w="9360"/>
        <w:jc w:val="center"/>
        <w:tblLayout w:type="fixed"/>
        <w:tblLook w:firstColumn="1" w:firstRow="1" w:lastColumn="0" w:lastRow="0" w:noHBand="0" w:noVBand="1" w:val="04A0"/>
        <w:tblInd w:w="120" w:type="dxa"/>
      </w:tblPr>
      <w:tblGrid>
        <w:gridCol w:w="2200"/>
        <w:gridCol w:w="3500"/>
        <w:gridCol w:w="1900"/>
        <w:gridCol w:w="1760"/>
      </w:tblGrid>
      <w:tr>
        <w:trPr>
          <w:tblHeader w:val="true"/>
        </w:trPr>
        <w:tc>
          <w:tcPr>
            <w:tcW w:type="dxa" w:w="2200"/>
            <w:shd w:fill="E8EEF5"/>
            <w:tcMar>
              <w:top w:w="90" w:type="dxa"/>
              <w:start w:w="120" w:type="dxa"/>
              <w:bottom w:w="90" w:type="dxa"/>
              <w:end w:w="120" w:type="dxa"/>
            </w:tcMar>
            <w:vAlign w:val="center"/>
          </w:tcPr>
          <w:p>
            <w:r>
              <w:rPr>
                <w:b/>
                <w:color w:val="17365D"/>
                <w:sz w:val="17"/>
              </w:rPr>
              <w:t>Serviço</w:t>
            </w:r>
          </w:p>
        </w:tc>
        <w:tc>
          <w:tcPr>
            <w:tcW w:type="dxa" w:w="3500"/>
            <w:shd w:fill="E8EEF5"/>
            <w:tcMar>
              <w:top w:w="90" w:type="dxa"/>
              <w:start w:w="120" w:type="dxa"/>
              <w:bottom w:w="90" w:type="dxa"/>
              <w:end w:w="120" w:type="dxa"/>
            </w:tcMar>
            <w:vAlign w:val="center"/>
          </w:tcPr>
          <w:p>
            <w:r>
              <w:rPr>
                <w:b/>
                <w:color w:val="17365D"/>
                <w:sz w:val="17"/>
              </w:rPr>
              <w:t>Finalidade</w:t>
            </w:r>
          </w:p>
        </w:tc>
        <w:tc>
          <w:tcPr>
            <w:tcW w:type="dxa" w:w="1900"/>
            <w:shd w:fill="E8EEF5"/>
            <w:tcMar>
              <w:top w:w="90" w:type="dxa"/>
              <w:start w:w="120" w:type="dxa"/>
              <w:bottom w:w="90" w:type="dxa"/>
              <w:end w:w="120" w:type="dxa"/>
            </w:tcMar>
            <w:vAlign w:val="center"/>
          </w:tcPr>
          <w:p>
            <w:r>
              <w:rPr>
                <w:b/>
                <w:color w:val="17365D"/>
                <w:sz w:val="17"/>
              </w:rPr>
              <w:t>Prioridade</w:t>
            </w:r>
          </w:p>
        </w:tc>
        <w:tc>
          <w:tcPr>
            <w:tcW w:type="dxa" w:w="1760"/>
            <w:shd w:fill="E8EEF5"/>
            <w:tcMar>
              <w:top w:w="90" w:type="dxa"/>
              <w:start w:w="120" w:type="dxa"/>
              <w:bottom w:w="90" w:type="dxa"/>
              <w:end w:w="120" w:type="dxa"/>
            </w:tcMar>
            <w:vAlign w:val="center"/>
          </w:tcPr>
          <w:p>
            <w:r>
              <w:rPr>
                <w:b/>
                <w:color w:val="17365D"/>
                <w:sz w:val="17"/>
              </w:rPr>
              <w:t>Sufixo GO</w:t>
            </w:r>
          </w:p>
        </w:tc>
      </w:tr>
      <w:tr>
        <w:tc>
          <w:tcPr>
            <w:tcW w:type="dxa" w:w="2200"/>
            <w:tcMar>
              <w:top w:w="90" w:type="dxa"/>
              <w:start w:w="120" w:type="dxa"/>
              <w:bottom w:w="90" w:type="dxa"/>
              <w:end w:w="120" w:type="dxa"/>
            </w:tcMar>
            <w:vAlign w:val="center"/>
          </w:tcPr>
          <w:p>
            <w:pPr>
              <w:spacing w:after="40" w:line="252" w:lineRule="auto"/>
            </w:pPr>
            <w:r>
              <w:rPr>
                <w:sz w:val="17"/>
              </w:rPr>
              <w:t>NFeStatusServico4</w:t>
            </w:r>
          </w:p>
        </w:tc>
        <w:tc>
          <w:tcPr>
            <w:tcW w:type="dxa" w:w="3500"/>
            <w:tcMar>
              <w:top w:w="90" w:type="dxa"/>
              <w:start w:w="120" w:type="dxa"/>
              <w:bottom w:w="90" w:type="dxa"/>
              <w:end w:w="120" w:type="dxa"/>
            </w:tcMar>
            <w:vAlign w:val="center"/>
          </w:tcPr>
          <w:p>
            <w:pPr>
              <w:spacing w:after="40" w:line="252" w:lineRule="auto"/>
            </w:pPr>
            <w:r>
              <w:rPr>
                <w:sz w:val="17"/>
              </w:rPr>
              <w:t>Verificar disponibilidade do autorizador</w:t>
            </w:r>
          </w:p>
        </w:tc>
        <w:tc>
          <w:tcPr>
            <w:tcW w:type="dxa" w:w="1900"/>
            <w:tcMar>
              <w:top w:w="90" w:type="dxa"/>
              <w:start w:w="120" w:type="dxa"/>
              <w:bottom w:w="90" w:type="dxa"/>
              <w:end w:w="120" w:type="dxa"/>
            </w:tcMar>
            <w:vAlign w:val="center"/>
          </w:tcPr>
          <w:p>
            <w:pPr>
              <w:spacing w:after="40" w:line="252" w:lineRule="auto"/>
            </w:pPr>
            <w:r>
              <w:rPr>
                <w:sz w:val="17"/>
              </w:rPr>
              <w:t>Obrigatório operacional</w:t>
            </w:r>
          </w:p>
        </w:tc>
        <w:tc>
          <w:tcPr>
            <w:tcW w:type="dxa" w:w="1760"/>
            <w:tcMar>
              <w:top w:w="90" w:type="dxa"/>
              <w:start w:w="120" w:type="dxa"/>
              <w:bottom w:w="90" w:type="dxa"/>
              <w:end w:w="120" w:type="dxa"/>
            </w:tcMar>
            <w:vAlign w:val="center"/>
          </w:tcPr>
          <w:p>
            <w:pPr>
              <w:spacing w:after="40" w:line="252" w:lineRule="auto"/>
            </w:pPr>
            <w:r>
              <w:rPr>
                <w:sz w:val="17"/>
              </w:rPr>
              <w:t>/NFeStatusServico4?wsdl</w:t>
            </w:r>
          </w:p>
        </w:tc>
      </w:tr>
      <w:tr>
        <w:tc>
          <w:tcPr>
            <w:tcW w:type="dxa" w:w="2200"/>
            <w:tcMar>
              <w:top w:w="90" w:type="dxa"/>
              <w:start w:w="120" w:type="dxa"/>
              <w:bottom w:w="90" w:type="dxa"/>
              <w:end w:w="120" w:type="dxa"/>
            </w:tcMar>
            <w:vAlign w:val="center"/>
          </w:tcPr>
          <w:p>
            <w:pPr>
              <w:spacing w:after="40" w:line="252" w:lineRule="auto"/>
            </w:pPr>
            <w:r>
              <w:rPr>
                <w:sz w:val="17"/>
              </w:rPr>
              <w:t>NFeAutorizacao4</w:t>
            </w:r>
          </w:p>
        </w:tc>
        <w:tc>
          <w:tcPr>
            <w:tcW w:type="dxa" w:w="3500"/>
            <w:tcMar>
              <w:top w:w="90" w:type="dxa"/>
              <w:start w:w="120" w:type="dxa"/>
              <w:bottom w:w="90" w:type="dxa"/>
              <w:end w:w="120" w:type="dxa"/>
            </w:tcMar>
            <w:vAlign w:val="center"/>
          </w:tcPr>
          <w:p>
            <w:pPr>
              <w:spacing w:after="40" w:line="252" w:lineRule="auto"/>
            </w:pPr>
            <w:r>
              <w:rPr>
                <w:sz w:val="17"/>
              </w:rPr>
              <w:t>Enviar lote/documento para autorização</w:t>
            </w:r>
          </w:p>
        </w:tc>
        <w:tc>
          <w:tcPr>
            <w:tcW w:type="dxa" w:w="1900"/>
            <w:tcMar>
              <w:top w:w="90" w:type="dxa"/>
              <w:start w:w="120" w:type="dxa"/>
              <w:bottom w:w="90" w:type="dxa"/>
              <w:end w:w="120" w:type="dxa"/>
            </w:tcMar>
            <w:vAlign w:val="center"/>
          </w:tcPr>
          <w:p>
            <w:pPr>
              <w:spacing w:after="40" w:line="252" w:lineRule="auto"/>
            </w:pPr>
            <w:r>
              <w:rPr>
                <w:sz w:val="17"/>
              </w:rPr>
              <w:t>Obrigatório</w:t>
            </w:r>
          </w:p>
        </w:tc>
        <w:tc>
          <w:tcPr>
            <w:tcW w:type="dxa" w:w="1760"/>
            <w:tcMar>
              <w:top w:w="90" w:type="dxa"/>
              <w:start w:w="120" w:type="dxa"/>
              <w:bottom w:w="90" w:type="dxa"/>
              <w:end w:w="120" w:type="dxa"/>
            </w:tcMar>
            <w:vAlign w:val="center"/>
          </w:tcPr>
          <w:p>
            <w:pPr>
              <w:spacing w:after="40" w:line="252" w:lineRule="auto"/>
            </w:pPr>
            <w:r>
              <w:rPr>
                <w:sz w:val="17"/>
              </w:rPr>
              <w:t>/NFeAutorizacao4?wsdl</w:t>
            </w:r>
          </w:p>
        </w:tc>
      </w:tr>
      <w:tr>
        <w:tc>
          <w:tcPr>
            <w:tcW w:type="dxa" w:w="2200"/>
            <w:tcMar>
              <w:top w:w="90" w:type="dxa"/>
              <w:start w:w="120" w:type="dxa"/>
              <w:bottom w:w="90" w:type="dxa"/>
              <w:end w:w="120" w:type="dxa"/>
            </w:tcMar>
            <w:vAlign w:val="center"/>
          </w:tcPr>
          <w:p>
            <w:pPr>
              <w:spacing w:after="40" w:line="252" w:lineRule="auto"/>
            </w:pPr>
            <w:r>
              <w:rPr>
                <w:sz w:val="17"/>
              </w:rPr>
              <w:t>NFeRetAutorizacao4</w:t>
            </w:r>
          </w:p>
        </w:tc>
        <w:tc>
          <w:tcPr>
            <w:tcW w:type="dxa" w:w="3500"/>
            <w:tcMar>
              <w:top w:w="90" w:type="dxa"/>
              <w:start w:w="120" w:type="dxa"/>
              <w:bottom w:w="90" w:type="dxa"/>
              <w:end w:w="120" w:type="dxa"/>
            </w:tcMar>
            <w:vAlign w:val="center"/>
          </w:tcPr>
          <w:p>
            <w:pPr>
              <w:spacing w:after="40" w:line="252" w:lineRule="auto"/>
            </w:pPr>
            <w:r>
              <w:rPr>
                <w:sz w:val="17"/>
              </w:rPr>
              <w:t>Obter resultado de lote assíncrono quando aplicável</w:t>
            </w:r>
          </w:p>
        </w:tc>
        <w:tc>
          <w:tcPr>
            <w:tcW w:type="dxa" w:w="1900"/>
            <w:tcMar>
              <w:top w:w="90" w:type="dxa"/>
              <w:start w:w="120" w:type="dxa"/>
              <w:bottom w:w="90" w:type="dxa"/>
              <w:end w:w="120" w:type="dxa"/>
            </w:tcMar>
            <w:vAlign w:val="center"/>
          </w:tcPr>
          <w:p>
            <w:pPr>
              <w:spacing w:after="40" w:line="252" w:lineRule="auto"/>
            </w:pPr>
            <w:r>
              <w:rPr>
                <w:sz w:val="17"/>
              </w:rPr>
              <w:t>Implementar por compatibilidade</w:t>
            </w:r>
          </w:p>
        </w:tc>
        <w:tc>
          <w:tcPr>
            <w:tcW w:type="dxa" w:w="1760"/>
            <w:tcMar>
              <w:top w:w="90" w:type="dxa"/>
              <w:start w:w="120" w:type="dxa"/>
              <w:bottom w:w="90" w:type="dxa"/>
              <w:end w:w="120" w:type="dxa"/>
            </w:tcMar>
            <w:vAlign w:val="center"/>
          </w:tcPr>
          <w:p>
            <w:pPr>
              <w:spacing w:after="40" w:line="252" w:lineRule="auto"/>
            </w:pPr>
            <w:r>
              <w:rPr>
                <w:sz w:val="17"/>
              </w:rPr>
              <w:t>/NFeRetAutorizacao4?wsdl</w:t>
            </w:r>
          </w:p>
        </w:tc>
      </w:tr>
      <w:tr>
        <w:tc>
          <w:tcPr>
            <w:tcW w:type="dxa" w:w="2200"/>
            <w:tcMar>
              <w:top w:w="90" w:type="dxa"/>
              <w:start w:w="120" w:type="dxa"/>
              <w:bottom w:w="90" w:type="dxa"/>
              <w:end w:w="120" w:type="dxa"/>
            </w:tcMar>
            <w:vAlign w:val="center"/>
          </w:tcPr>
          <w:p>
            <w:pPr>
              <w:spacing w:after="40" w:line="252" w:lineRule="auto"/>
            </w:pPr>
            <w:r>
              <w:rPr>
                <w:sz w:val="17"/>
              </w:rPr>
              <w:t>NFeConsultaProtocolo4</w:t>
            </w:r>
          </w:p>
        </w:tc>
        <w:tc>
          <w:tcPr>
            <w:tcW w:type="dxa" w:w="3500"/>
            <w:tcMar>
              <w:top w:w="90" w:type="dxa"/>
              <w:start w:w="120" w:type="dxa"/>
              <w:bottom w:w="90" w:type="dxa"/>
              <w:end w:w="120" w:type="dxa"/>
            </w:tcMar>
            <w:vAlign w:val="center"/>
          </w:tcPr>
          <w:p>
            <w:pPr>
              <w:spacing w:after="40" w:line="252" w:lineRule="auto"/>
            </w:pPr>
            <w:r>
              <w:rPr>
                <w:sz w:val="17"/>
              </w:rPr>
              <w:t>Consultar situação pela chave</w:t>
            </w:r>
          </w:p>
        </w:tc>
        <w:tc>
          <w:tcPr>
            <w:tcW w:type="dxa" w:w="1900"/>
            <w:tcMar>
              <w:top w:w="90" w:type="dxa"/>
              <w:start w:w="120" w:type="dxa"/>
              <w:bottom w:w="90" w:type="dxa"/>
              <w:end w:w="120" w:type="dxa"/>
            </w:tcMar>
            <w:vAlign w:val="center"/>
          </w:tcPr>
          <w:p>
            <w:pPr>
              <w:spacing w:after="40" w:line="252" w:lineRule="auto"/>
            </w:pPr>
            <w:r>
              <w:rPr>
                <w:sz w:val="17"/>
              </w:rPr>
              <w:t>Obrigatório para recuperação</w:t>
            </w:r>
          </w:p>
        </w:tc>
        <w:tc>
          <w:tcPr>
            <w:tcW w:type="dxa" w:w="1760"/>
            <w:tcMar>
              <w:top w:w="90" w:type="dxa"/>
              <w:start w:w="120" w:type="dxa"/>
              <w:bottom w:w="90" w:type="dxa"/>
              <w:end w:w="120" w:type="dxa"/>
            </w:tcMar>
            <w:vAlign w:val="center"/>
          </w:tcPr>
          <w:p>
            <w:pPr>
              <w:spacing w:after="40" w:line="252" w:lineRule="auto"/>
            </w:pPr>
            <w:r>
              <w:rPr>
                <w:sz w:val="17"/>
              </w:rPr>
              <w:t>/NFeConsultaProtocolo4?wsdl</w:t>
            </w:r>
          </w:p>
        </w:tc>
      </w:tr>
      <w:tr>
        <w:tc>
          <w:tcPr>
            <w:tcW w:type="dxa" w:w="2200"/>
            <w:tcMar>
              <w:top w:w="90" w:type="dxa"/>
              <w:start w:w="120" w:type="dxa"/>
              <w:bottom w:w="90" w:type="dxa"/>
              <w:end w:w="120" w:type="dxa"/>
            </w:tcMar>
            <w:vAlign w:val="center"/>
          </w:tcPr>
          <w:p>
            <w:pPr>
              <w:spacing w:after="40" w:line="252" w:lineRule="auto"/>
            </w:pPr>
            <w:r>
              <w:rPr>
                <w:sz w:val="17"/>
              </w:rPr>
              <w:t>NFeRecepcaoEvento4</w:t>
            </w:r>
          </w:p>
        </w:tc>
        <w:tc>
          <w:tcPr>
            <w:tcW w:type="dxa" w:w="3500"/>
            <w:tcMar>
              <w:top w:w="90" w:type="dxa"/>
              <w:start w:w="120" w:type="dxa"/>
              <w:bottom w:w="90" w:type="dxa"/>
              <w:end w:w="120" w:type="dxa"/>
            </w:tcMar>
            <w:vAlign w:val="center"/>
          </w:tcPr>
          <w:p>
            <w:pPr>
              <w:spacing w:after="40" w:line="252" w:lineRule="auto"/>
            </w:pPr>
            <w:r>
              <w:rPr>
                <w:sz w:val="17"/>
              </w:rPr>
              <w:t>Cancelar e registrar outros eventos</w:t>
            </w:r>
          </w:p>
        </w:tc>
        <w:tc>
          <w:tcPr>
            <w:tcW w:type="dxa" w:w="1900"/>
            <w:tcMar>
              <w:top w:w="90" w:type="dxa"/>
              <w:start w:w="120" w:type="dxa"/>
              <w:bottom w:w="90" w:type="dxa"/>
              <w:end w:w="120" w:type="dxa"/>
            </w:tcMar>
            <w:vAlign w:val="center"/>
          </w:tcPr>
          <w:p>
            <w:pPr>
              <w:spacing w:after="40" w:line="252" w:lineRule="auto"/>
            </w:pPr>
            <w:r>
              <w:rPr>
                <w:sz w:val="17"/>
              </w:rPr>
              <w:t>Obrigatório para cancelamento</w:t>
            </w:r>
          </w:p>
        </w:tc>
        <w:tc>
          <w:tcPr>
            <w:tcW w:type="dxa" w:w="1760"/>
            <w:tcMar>
              <w:top w:w="90" w:type="dxa"/>
              <w:start w:w="120" w:type="dxa"/>
              <w:bottom w:w="90" w:type="dxa"/>
              <w:end w:w="120" w:type="dxa"/>
            </w:tcMar>
            <w:vAlign w:val="center"/>
          </w:tcPr>
          <w:p>
            <w:pPr>
              <w:spacing w:after="40" w:line="252" w:lineRule="auto"/>
            </w:pPr>
            <w:r>
              <w:rPr>
                <w:sz w:val="17"/>
              </w:rPr>
              <w:t>/NFeRecepcaoEvento4?wsdl</w:t>
            </w:r>
          </w:p>
        </w:tc>
      </w:tr>
      <w:tr>
        <w:tc>
          <w:tcPr>
            <w:tcW w:type="dxa" w:w="2200"/>
            <w:tcMar>
              <w:top w:w="90" w:type="dxa"/>
              <w:start w:w="120" w:type="dxa"/>
              <w:bottom w:w="90" w:type="dxa"/>
              <w:end w:w="120" w:type="dxa"/>
            </w:tcMar>
            <w:vAlign w:val="center"/>
          </w:tcPr>
          <w:p>
            <w:pPr>
              <w:spacing w:after="40" w:line="252" w:lineRule="auto"/>
            </w:pPr>
            <w:r>
              <w:rPr>
                <w:sz w:val="17"/>
              </w:rPr>
              <w:t>NFeInutilizacao4</w:t>
            </w:r>
          </w:p>
        </w:tc>
        <w:tc>
          <w:tcPr>
            <w:tcW w:type="dxa" w:w="3500"/>
            <w:tcMar>
              <w:top w:w="90" w:type="dxa"/>
              <w:start w:w="120" w:type="dxa"/>
              <w:bottom w:w="90" w:type="dxa"/>
              <w:end w:w="120" w:type="dxa"/>
            </w:tcMar>
            <w:vAlign w:val="center"/>
          </w:tcPr>
          <w:p>
            <w:pPr>
              <w:spacing w:after="40" w:line="252" w:lineRule="auto"/>
            </w:pPr>
            <w:r>
              <w:rPr>
                <w:sz w:val="17"/>
              </w:rPr>
              <w:t>Inutilizar intervalo de numeração</w:t>
            </w:r>
          </w:p>
        </w:tc>
        <w:tc>
          <w:tcPr>
            <w:tcW w:type="dxa" w:w="1900"/>
            <w:tcMar>
              <w:top w:w="90" w:type="dxa"/>
              <w:start w:w="120" w:type="dxa"/>
              <w:bottom w:w="90" w:type="dxa"/>
              <w:end w:w="120" w:type="dxa"/>
            </w:tcMar>
            <w:vAlign w:val="center"/>
          </w:tcPr>
          <w:p>
            <w:pPr>
              <w:spacing w:after="40" w:line="252" w:lineRule="auto"/>
            </w:pPr>
            <w:r>
              <w:rPr>
                <w:sz w:val="17"/>
              </w:rPr>
              <w:t>Obrigatório</w:t>
            </w:r>
          </w:p>
        </w:tc>
        <w:tc>
          <w:tcPr>
            <w:tcW w:type="dxa" w:w="1760"/>
            <w:tcMar>
              <w:top w:w="90" w:type="dxa"/>
              <w:start w:w="120" w:type="dxa"/>
              <w:bottom w:w="90" w:type="dxa"/>
              <w:end w:w="120" w:type="dxa"/>
            </w:tcMar>
            <w:vAlign w:val="center"/>
          </w:tcPr>
          <w:p>
            <w:pPr>
              <w:spacing w:after="40" w:line="252" w:lineRule="auto"/>
            </w:pPr>
            <w:r>
              <w:rPr>
                <w:sz w:val="17"/>
              </w:rPr>
              <w:t>/NFeInutilizacao4?wsdl</w:t>
            </w:r>
          </w:p>
        </w:tc>
      </w:tr>
      <w:tr>
        <w:tc>
          <w:tcPr>
            <w:tcW w:type="dxa" w:w="2200"/>
            <w:tcMar>
              <w:top w:w="90" w:type="dxa"/>
              <w:start w:w="120" w:type="dxa"/>
              <w:bottom w:w="90" w:type="dxa"/>
              <w:end w:w="120" w:type="dxa"/>
            </w:tcMar>
            <w:vAlign w:val="center"/>
          </w:tcPr>
          <w:p>
            <w:pPr>
              <w:spacing w:after="40" w:line="252" w:lineRule="auto"/>
            </w:pPr>
            <w:r>
              <w:rPr>
                <w:sz w:val="17"/>
              </w:rPr>
              <w:t>CadConsultaCadastro4</w:t>
            </w:r>
          </w:p>
        </w:tc>
        <w:tc>
          <w:tcPr>
            <w:tcW w:type="dxa" w:w="3500"/>
            <w:tcMar>
              <w:top w:w="90" w:type="dxa"/>
              <w:start w:w="120" w:type="dxa"/>
              <w:bottom w:w="90" w:type="dxa"/>
              <w:end w:w="120" w:type="dxa"/>
            </w:tcMar>
            <w:vAlign w:val="center"/>
          </w:tcPr>
          <w:p>
            <w:pPr>
              <w:spacing w:after="40" w:line="252" w:lineRule="auto"/>
            </w:pPr>
            <w:r>
              <w:rPr>
                <w:sz w:val="17"/>
              </w:rPr>
              <w:t>Consultar cadastro do contribuinte</w:t>
            </w:r>
          </w:p>
        </w:tc>
        <w:tc>
          <w:tcPr>
            <w:tcW w:type="dxa" w:w="1900"/>
            <w:tcMar>
              <w:top w:w="90" w:type="dxa"/>
              <w:start w:w="120" w:type="dxa"/>
              <w:bottom w:w="90" w:type="dxa"/>
              <w:end w:w="120" w:type="dxa"/>
            </w:tcMar>
            <w:vAlign w:val="center"/>
          </w:tcPr>
          <w:p>
            <w:pPr>
              <w:spacing w:after="40" w:line="252" w:lineRule="auto"/>
            </w:pPr>
            <w:r>
              <w:rPr>
                <w:sz w:val="17"/>
              </w:rPr>
              <w:t>Útil; não bloquear emissão sem regra</w:t>
            </w:r>
          </w:p>
        </w:tc>
        <w:tc>
          <w:tcPr>
            <w:tcW w:type="dxa" w:w="1760"/>
            <w:tcMar>
              <w:top w:w="90" w:type="dxa"/>
              <w:start w:w="120" w:type="dxa"/>
              <w:bottom w:w="90" w:type="dxa"/>
              <w:end w:w="120" w:type="dxa"/>
            </w:tcMar>
            <w:vAlign w:val="center"/>
          </w:tcPr>
          <w:p>
            <w:pPr>
              <w:spacing w:after="40" w:line="252" w:lineRule="auto"/>
            </w:pPr>
            <w:r>
              <w:rPr>
                <w:sz w:val="17"/>
              </w:rPr>
              <w:t>/CadConsultaCadastro4?wsdl</w:t>
            </w:r>
          </w:p>
        </w:tc>
      </w:tr>
    </w:tbl>
    <w:p>
      <w:pPr>
        <w:spacing w:after="20"/>
        <w:widowControl/>
      </w:pPr>
    </w:p>
    <w:p>
      <w:pPr>
        <w:pStyle w:val="Heading2"/>
        <w:keepNext/>
        <w:widowControl/>
      </w:pPr>
      <w:r>
        <w:t>3.1 Endereços oficiais de Goiás</w:t>
      </w:r>
    </w:p>
    <w:p>
      <w:pPr>
        <w:widowControl/>
      </w:pPr>
      <w:r>
        <w:t>Base de produção: https://nfe.sefaz.go.gov.br/nfe/services  |  Base de homologação: https://homolog.sefaz.go.gov.br/nfe/services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r>
              <w:rPr>
                <w:b/>
                <w:color w:val="17365D"/>
              </w:rPr>
              <w:t xml:space="preserve">Regra de implementação: </w:t>
            </w:r>
            <w:r>
              <w:t>Nunca espalhar URLs pelo código. Resolver serviço, UF e ambiente por catálogo; registrar a fonte oficial e permitir atualização segura sem nova compilação do PDV.</w:t>
            </w:r>
          </w:p>
        </w:tc>
      </w:tr>
    </w:tbl>
    <w:p>
      <w:pPr>
        <w:spacing w:after="20"/>
        <w:widowControl/>
      </w:pPr>
    </w:p>
    <w:p>
      <w:pPr>
        <w:pStyle w:val="Heading2"/>
        <w:keepNext/>
        <w:widowControl/>
      </w:pPr>
      <w:r>
        <w:t>3.2 QR Code e consulta NFC-e</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90" w:type="dxa"/>
              <w:start w:w="120" w:type="dxa"/>
              <w:bottom w:w="90" w:type="dxa"/>
              <w:end w:w="120" w:type="dxa"/>
            </w:tcMar>
            <w:vAlign w:val="center"/>
          </w:tcPr>
          <w:p>
            <w:r>
              <w:rPr>
                <w:b/>
                <w:color w:val="17365D"/>
                <w:sz w:val="18"/>
              </w:rPr>
              <w:t>Ambiente</w:t>
            </w:r>
          </w:p>
        </w:tc>
        <w:tc>
          <w:tcPr>
            <w:tcW w:type="dxa" w:w="7460"/>
            <w:shd w:fill="E8EEF5"/>
            <w:tcMar>
              <w:top w:w="90" w:type="dxa"/>
              <w:start w:w="120" w:type="dxa"/>
              <w:bottom w:w="90" w:type="dxa"/>
              <w:end w:w="120" w:type="dxa"/>
            </w:tcMar>
            <w:vAlign w:val="center"/>
          </w:tcPr>
          <w:p>
            <w:r>
              <w:rPr>
                <w:b/>
                <w:color w:val="17365D"/>
                <w:sz w:val="18"/>
              </w:rPr>
              <w:t>URL vigente observada na fonte de 2025</w:t>
            </w:r>
          </w:p>
        </w:tc>
      </w:tr>
      <w:tr>
        <w:tc>
          <w:tcPr>
            <w:tcW w:type="dxa" w:w="1900"/>
            <w:tcMar>
              <w:top w:w="90" w:type="dxa"/>
              <w:start w:w="120" w:type="dxa"/>
              <w:bottom w:w="90" w:type="dxa"/>
              <w:end w:w="120" w:type="dxa"/>
            </w:tcMar>
            <w:vAlign w:val="center"/>
          </w:tcPr>
          <w:p>
            <w:pPr>
              <w:spacing w:after="40" w:line="252" w:lineRule="auto"/>
            </w:pPr>
            <w:r>
              <w:rPr>
                <w:sz w:val="18"/>
              </w:rPr>
              <w:t>Produção</w:t>
            </w:r>
          </w:p>
        </w:tc>
        <w:tc>
          <w:tcPr>
            <w:tcW w:type="dxa" w:w="7460"/>
            <w:tcMar>
              <w:top w:w="90" w:type="dxa"/>
              <w:start w:w="120" w:type="dxa"/>
              <w:bottom w:w="90" w:type="dxa"/>
              <w:end w:w="120" w:type="dxa"/>
            </w:tcMar>
            <w:vAlign w:val="center"/>
          </w:tcPr>
          <w:p>
            <w:pPr>
              <w:spacing w:after="40" w:line="252" w:lineRule="auto"/>
            </w:pPr>
            <w:r>
              <w:rPr>
                <w:sz w:val="18"/>
              </w:rPr>
              <w:t>https://nfeweb.sefaz.go.gov.br/nfeweb/sites/nfce/danfeNFCe</w:t>
            </w:r>
          </w:p>
        </w:tc>
      </w:tr>
      <w:tr>
        <w:tc>
          <w:tcPr>
            <w:tcW w:type="dxa" w:w="1900"/>
            <w:tcMar>
              <w:top w:w="90" w:type="dxa"/>
              <w:start w:w="120" w:type="dxa"/>
              <w:bottom w:w="90" w:type="dxa"/>
              <w:end w:w="120" w:type="dxa"/>
            </w:tcMar>
            <w:vAlign w:val="center"/>
          </w:tcPr>
          <w:p>
            <w:pPr>
              <w:spacing w:after="40" w:line="252" w:lineRule="auto"/>
            </w:pPr>
            <w:r>
              <w:rPr>
                <w:sz w:val="18"/>
              </w:rPr>
              <w:t>Homologação</w:t>
            </w:r>
          </w:p>
        </w:tc>
        <w:tc>
          <w:tcPr>
            <w:tcW w:type="dxa" w:w="7460"/>
            <w:tcMar>
              <w:top w:w="90" w:type="dxa"/>
              <w:start w:w="120" w:type="dxa"/>
              <w:bottom w:w="90" w:type="dxa"/>
              <w:end w:w="120" w:type="dxa"/>
            </w:tcMar>
            <w:vAlign w:val="center"/>
          </w:tcPr>
          <w:p>
            <w:pPr>
              <w:spacing w:after="40" w:line="252" w:lineRule="auto"/>
            </w:pPr>
            <w:r>
              <w:rPr>
                <w:sz w:val="18"/>
              </w:rPr>
              <w:t>https://nfewebhomolog.sefaz.go.gov.br/nfeweb/sites/nfce/danfeNFCe</w:t>
            </w:r>
          </w:p>
        </w:tc>
      </w:tr>
    </w:tbl>
    <w:p>
      <w:pPr>
        <w:spacing w:after="20"/>
        <w:widowControl/>
      </w:pPr>
    </w:p>
    <w:p>
      <w:pPr>
        <w:widowControl/>
      </w:pPr>
      <w:r>
        <w:t>O Informe Técnico 2025.003 alterou os endereços do QR Code de Goiás. URL divergente pode provocar rejeição 395. O DeTecServer já contém esses endereços no perfil GO, o que é positivo; ainda assim, eles devem ser protegidos por testes de regressão e revisão de vigência.</w:t>
      </w:r>
    </w:p>
    <w:p>
      <w:pPr>
        <w:pStyle w:val="Heading2"/>
        <w:keepNext/>
        <w:widowControl/>
      </w:pPr>
      <w:r>
        <w:t>3.3 Serviços de contingência</w:t>
      </w:r>
    </w:p>
    <w:p>
      <w:pPr>
        <w:widowControl/>
      </w:pPr>
      <w:r>
        <w:t>O Portal Nacional relaciona Goiás à SVC-RS para contingência da NF-e quando formalmente ativada. A aplicação não deve alternar para SVC por iniciativa própria: deve respeitar o tipo de emissão, a ativação oficial, as regras do MOC e o retorno do autorizador. A contingência offline da NFC-e (tpEmis=9) é outro mecanismo e exige transmissão posterior dentro do prazo normativo.</w:t>
      </w:r>
    </w:p>
    <w:p>
      <w:pPr>
        <w:pStyle w:val="Heading2"/>
        <w:keepNext/>
        <w:widowControl/>
      </w:pPr>
      <w:r>
        <w:t>3.4 API opcional: Distribuição DF-e</w:t>
      </w:r>
    </w:p>
    <w:p>
      <w:pPr>
        <w:widowControl/>
      </w:pPr>
      <w:r>
        <w:t>O serviço nacional NFeDistribuicaoDFe (versão 1.00) é útil para ciência/manifestação e download de documentos destinados à empresa. Não é necessário para a primeira entrega de emissão, mas deve constar do roadmap para entrada automática de compras e manifestação do destinatário.</w:t>
      </w:r>
    </w:p>
    <w:p>
      <w:pPr>
        <w:pStyle w:val="Heading1"/>
        <w:keepNext/>
        <w:widowControl/>
      </w:pPr>
      <w:r>
        <w:t>4. Arquitetura proposta</w:t>
      </w:r>
    </w:p>
    <w:p>
      <w:pPr>
        <w:widowControl/>
      </w:pPr>
      <w:r>
        <w:t>A implementação deve aproveitar o contrato sefaz_adapter_contract_v1 já presente no sistema. O PDV solicita a emissão ao servidor; o servidor gera, valida, assina, transmite, persiste o protocolo e devolve um estado confiável. O cliente nunca recebe a senha do certificado.</w:t>
      </w:r>
    </w:p>
    <w:tbl>
      <w:tblPr>
        <w:tblStyle w:val="TableGrid"/>
        <w:tblW w:type="dxa" w:w="9360"/>
        <w:jc w:val="center"/>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8EEF5"/>
            <w:tcMar>
              <w:top w:w="90" w:type="dxa"/>
              <w:start w:w="120" w:type="dxa"/>
              <w:bottom w:w="90" w:type="dxa"/>
              <w:end w:w="120" w:type="dxa"/>
            </w:tcMar>
            <w:vAlign w:val="center"/>
          </w:tcPr>
          <w:p>
            <w:r>
              <w:rPr>
                <w:b/>
                <w:color w:val="17365D"/>
                <w:sz w:val="17"/>
              </w:rPr>
              <w:t>Camada</w:t>
            </w:r>
          </w:p>
        </w:tc>
        <w:tc>
          <w:tcPr>
            <w:tcW w:type="dxa" w:w="3300"/>
            <w:shd w:fill="E8EEF5"/>
            <w:tcMar>
              <w:top w:w="90" w:type="dxa"/>
              <w:start w:w="120" w:type="dxa"/>
              <w:bottom w:w="90" w:type="dxa"/>
              <w:end w:w="120" w:type="dxa"/>
            </w:tcMar>
            <w:vAlign w:val="center"/>
          </w:tcPr>
          <w:p>
            <w:r>
              <w:rPr>
                <w:b/>
                <w:color w:val="17365D"/>
                <w:sz w:val="17"/>
              </w:rPr>
              <w:t>Responsabilidade</w:t>
            </w:r>
          </w:p>
        </w:tc>
        <w:tc>
          <w:tcPr>
            <w:tcW w:type="dxa" w:w="4260"/>
            <w:shd w:fill="E8EEF5"/>
            <w:tcMar>
              <w:top w:w="90" w:type="dxa"/>
              <w:start w:w="120" w:type="dxa"/>
              <w:bottom w:w="90" w:type="dxa"/>
              <w:end w:w="120" w:type="dxa"/>
            </w:tcMar>
            <w:vAlign w:val="center"/>
          </w:tcPr>
          <w:p>
            <w:r>
              <w:rPr>
                <w:b/>
                <w:color w:val="17365D"/>
                <w:sz w:val="17"/>
              </w:rPr>
              <w:t>Implementação sugerida</w:t>
            </w:r>
          </w:p>
        </w:tc>
      </w:tr>
      <w:tr>
        <w:tc>
          <w:tcPr>
            <w:tcW w:type="dxa" w:w="1800"/>
            <w:tcMar>
              <w:top w:w="90" w:type="dxa"/>
              <w:start w:w="120" w:type="dxa"/>
              <w:bottom w:w="90" w:type="dxa"/>
              <w:end w:w="120" w:type="dxa"/>
            </w:tcMar>
            <w:vAlign w:val="center"/>
          </w:tcPr>
          <w:p>
            <w:pPr>
              <w:spacing w:after="40" w:line="252" w:lineRule="auto"/>
            </w:pPr>
            <w:r>
              <w:rPr>
                <w:sz w:val="17"/>
              </w:rPr>
              <w:t>Domínio fiscal</w:t>
            </w:r>
          </w:p>
        </w:tc>
        <w:tc>
          <w:tcPr>
            <w:tcW w:type="dxa" w:w="3300"/>
            <w:tcMar>
              <w:top w:w="90" w:type="dxa"/>
              <w:start w:w="120" w:type="dxa"/>
              <w:bottom w:w="90" w:type="dxa"/>
              <w:end w:w="120" w:type="dxa"/>
            </w:tcMar>
            <w:vAlign w:val="center"/>
          </w:tcPr>
          <w:p>
            <w:pPr>
              <w:spacing w:after="40" w:line="252" w:lineRule="auto"/>
            </w:pPr>
            <w:r>
              <w:rPr>
                <w:sz w:val="17"/>
              </w:rPr>
              <w:t>Regras, XML, chave, séries, estados</w:t>
            </w:r>
          </w:p>
        </w:tc>
        <w:tc>
          <w:tcPr>
            <w:tcW w:type="dxa" w:w="4260"/>
            <w:tcMar>
              <w:top w:w="90" w:type="dxa"/>
              <w:start w:w="120" w:type="dxa"/>
              <w:bottom w:w="90" w:type="dxa"/>
              <w:end w:w="120" w:type="dxa"/>
            </w:tcMar>
            <w:vAlign w:val="center"/>
          </w:tcPr>
          <w:p>
            <w:pPr>
              <w:spacing w:after="40" w:line="252" w:lineRule="auto"/>
            </w:pPr>
            <w:r>
              <w:rPr>
                <w:sz w:val="17"/>
              </w:rPr>
              <w:t>Manter apps/fiscal existente</w:t>
            </w:r>
          </w:p>
        </w:tc>
      </w:tr>
      <w:tr>
        <w:tc>
          <w:tcPr>
            <w:tcW w:type="dxa" w:w="1800"/>
            <w:tcMar>
              <w:top w:w="90" w:type="dxa"/>
              <w:start w:w="120" w:type="dxa"/>
              <w:bottom w:w="90" w:type="dxa"/>
              <w:end w:w="120" w:type="dxa"/>
            </w:tcMar>
            <w:vAlign w:val="center"/>
          </w:tcPr>
          <w:p>
            <w:pPr>
              <w:spacing w:after="40" w:line="252" w:lineRule="auto"/>
            </w:pPr>
            <w:r>
              <w:rPr>
                <w:sz w:val="17"/>
              </w:rPr>
              <w:t>Assinatura</w:t>
            </w:r>
          </w:p>
        </w:tc>
        <w:tc>
          <w:tcPr>
            <w:tcW w:type="dxa" w:w="3300"/>
            <w:tcMar>
              <w:top w:w="90" w:type="dxa"/>
              <w:start w:w="120" w:type="dxa"/>
              <w:bottom w:w="90" w:type="dxa"/>
              <w:end w:w="120" w:type="dxa"/>
            </w:tcMar>
            <w:vAlign w:val="center"/>
          </w:tcPr>
          <w:p>
            <w:pPr>
              <w:spacing w:after="40" w:line="252" w:lineRule="auto"/>
            </w:pPr>
            <w:r>
              <w:rPr>
                <w:sz w:val="17"/>
              </w:rPr>
              <w:t>XMLDSig com certificado A1</w:t>
            </w:r>
          </w:p>
        </w:tc>
        <w:tc>
          <w:tcPr>
            <w:tcW w:type="dxa" w:w="4260"/>
            <w:tcMar>
              <w:top w:w="90" w:type="dxa"/>
              <w:start w:w="120" w:type="dxa"/>
              <w:bottom w:w="90" w:type="dxa"/>
              <w:end w:w="120" w:type="dxa"/>
            </w:tcMar>
            <w:vAlign w:val="center"/>
          </w:tcPr>
          <w:p>
            <w:pPr>
              <w:spacing w:after="40" w:line="252" w:lineRule="auto"/>
            </w:pPr>
            <w:r>
              <w:rPr>
                <w:sz w:val="17"/>
              </w:rPr>
              <w:t>Reusar assinatura local; adicionar testes com vetores conhecidos</w:t>
            </w:r>
          </w:p>
        </w:tc>
      </w:tr>
      <w:tr>
        <w:tc>
          <w:tcPr>
            <w:tcW w:type="dxa" w:w="1800"/>
            <w:tcMar>
              <w:top w:w="90" w:type="dxa"/>
              <w:start w:w="120" w:type="dxa"/>
              <w:bottom w:w="90" w:type="dxa"/>
              <w:end w:w="120" w:type="dxa"/>
            </w:tcMar>
            <w:vAlign w:val="center"/>
          </w:tcPr>
          <w:p>
            <w:pPr>
              <w:spacing w:after="40" w:line="252" w:lineRule="auto"/>
            </w:pPr>
            <w:r>
              <w:rPr>
                <w:sz w:val="17"/>
              </w:rPr>
              <w:t>Catálogo</w:t>
            </w:r>
          </w:p>
        </w:tc>
        <w:tc>
          <w:tcPr>
            <w:tcW w:type="dxa" w:w="3300"/>
            <w:tcMar>
              <w:top w:w="90" w:type="dxa"/>
              <w:start w:w="120" w:type="dxa"/>
              <w:bottom w:w="90" w:type="dxa"/>
              <w:end w:w="120" w:type="dxa"/>
            </w:tcMar>
            <w:vAlign w:val="center"/>
          </w:tcPr>
          <w:p>
            <w:pPr>
              <w:spacing w:after="40" w:line="252" w:lineRule="auto"/>
            </w:pPr>
            <w:r>
              <w:rPr>
                <w:sz w:val="17"/>
              </w:rPr>
              <w:t>UF/ambiente/serviço/versão/vigência</w:t>
            </w:r>
          </w:p>
        </w:tc>
        <w:tc>
          <w:tcPr>
            <w:tcW w:type="dxa" w:w="4260"/>
            <w:tcMar>
              <w:top w:w="90" w:type="dxa"/>
              <w:start w:w="120" w:type="dxa"/>
              <w:bottom w:w="90" w:type="dxa"/>
              <w:end w:w="120" w:type="dxa"/>
            </w:tcMar>
            <w:vAlign w:val="center"/>
          </w:tcPr>
          <w:p>
            <w:pPr>
              <w:spacing w:after="40" w:line="252" w:lineRule="auto"/>
            </w:pPr>
            <w:r>
              <w:rPr>
                <w:sz w:val="17"/>
              </w:rPr>
              <w:t>Novo módulo versionado e atualizável</w:t>
            </w:r>
          </w:p>
        </w:tc>
      </w:tr>
      <w:tr>
        <w:tc>
          <w:tcPr>
            <w:tcW w:type="dxa" w:w="1800"/>
            <w:tcMar>
              <w:top w:w="90" w:type="dxa"/>
              <w:start w:w="120" w:type="dxa"/>
              <w:bottom w:w="90" w:type="dxa"/>
              <w:end w:w="120" w:type="dxa"/>
            </w:tcMar>
            <w:vAlign w:val="center"/>
          </w:tcPr>
          <w:p>
            <w:pPr>
              <w:spacing w:after="40" w:line="252" w:lineRule="auto"/>
            </w:pPr>
            <w:r>
              <w:rPr>
                <w:sz w:val="17"/>
              </w:rPr>
              <w:t>Transporte SOAP</w:t>
            </w:r>
          </w:p>
        </w:tc>
        <w:tc>
          <w:tcPr>
            <w:tcW w:type="dxa" w:w="3300"/>
            <w:tcMar>
              <w:top w:w="90" w:type="dxa"/>
              <w:start w:w="120" w:type="dxa"/>
              <w:bottom w:w="90" w:type="dxa"/>
              <w:end w:w="120" w:type="dxa"/>
            </w:tcMar>
            <w:vAlign w:val="center"/>
          </w:tcPr>
          <w:p>
            <w:pPr>
              <w:spacing w:after="40" w:line="252" w:lineRule="auto"/>
            </w:pPr>
            <w:r>
              <w:rPr>
                <w:sz w:val="17"/>
              </w:rPr>
              <w:t>mTLS, SOAP 1.2, timeout, parse</w:t>
            </w:r>
          </w:p>
        </w:tc>
        <w:tc>
          <w:tcPr>
            <w:tcW w:type="dxa" w:w="4260"/>
            <w:tcMar>
              <w:top w:w="90" w:type="dxa"/>
              <w:start w:w="120" w:type="dxa"/>
              <w:bottom w:w="90" w:type="dxa"/>
              <w:end w:w="120" w:type="dxa"/>
            </w:tcMar>
            <w:vAlign w:val="center"/>
          </w:tcPr>
          <w:p>
            <w:pPr>
              <w:spacing w:after="40" w:line="252" w:lineRule="auto"/>
            </w:pPr>
            <w:r>
              <w:rPr>
                <w:sz w:val="17"/>
              </w:rPr>
              <w:t>Novo adapter direto SEFAZ</w:t>
            </w:r>
          </w:p>
        </w:tc>
      </w:tr>
      <w:tr>
        <w:tc>
          <w:tcPr>
            <w:tcW w:type="dxa" w:w="1800"/>
            <w:tcMar>
              <w:top w:w="90" w:type="dxa"/>
              <w:start w:w="120" w:type="dxa"/>
              <w:bottom w:w="90" w:type="dxa"/>
              <w:end w:w="120" w:type="dxa"/>
            </w:tcMar>
            <w:vAlign w:val="center"/>
          </w:tcPr>
          <w:p>
            <w:pPr>
              <w:spacing w:after="40" w:line="252" w:lineRule="auto"/>
            </w:pPr>
            <w:r>
              <w:rPr>
                <w:sz w:val="17"/>
              </w:rPr>
              <w:t>Orquestração</w:t>
            </w:r>
          </w:p>
        </w:tc>
        <w:tc>
          <w:tcPr>
            <w:tcW w:type="dxa" w:w="3300"/>
            <w:tcMar>
              <w:top w:w="90" w:type="dxa"/>
              <w:start w:w="120" w:type="dxa"/>
              <w:bottom w:w="90" w:type="dxa"/>
              <w:end w:w="120" w:type="dxa"/>
            </w:tcMar>
            <w:vAlign w:val="center"/>
          </w:tcPr>
          <w:p>
            <w:pPr>
              <w:spacing w:after="40" w:line="252" w:lineRule="auto"/>
            </w:pPr>
            <w:r>
              <w:rPr>
                <w:sz w:val="17"/>
              </w:rPr>
              <w:t>Idempotência, fila e consulta pós-timeout</w:t>
            </w:r>
          </w:p>
        </w:tc>
        <w:tc>
          <w:tcPr>
            <w:tcW w:type="dxa" w:w="4260"/>
            <w:tcMar>
              <w:top w:w="90" w:type="dxa"/>
              <w:start w:w="120" w:type="dxa"/>
              <w:bottom w:w="90" w:type="dxa"/>
              <w:end w:w="120" w:type="dxa"/>
            </w:tcMar>
            <w:vAlign w:val="center"/>
          </w:tcPr>
          <w:p>
            <w:pPr>
              <w:spacing w:after="40" w:line="252" w:lineRule="auto"/>
            </w:pPr>
            <w:r>
              <w:rPr>
                <w:sz w:val="17"/>
              </w:rPr>
              <w:t>Reusar fila existente e endurecer máquina de estados</w:t>
            </w:r>
          </w:p>
        </w:tc>
      </w:tr>
      <w:tr>
        <w:tc>
          <w:tcPr>
            <w:tcW w:type="dxa" w:w="1800"/>
            <w:tcMar>
              <w:top w:w="90" w:type="dxa"/>
              <w:start w:w="120" w:type="dxa"/>
              <w:bottom w:w="90" w:type="dxa"/>
              <w:end w:w="120" w:type="dxa"/>
            </w:tcMar>
            <w:vAlign w:val="center"/>
          </w:tcPr>
          <w:p>
            <w:pPr>
              <w:spacing w:after="40" w:line="252" w:lineRule="auto"/>
            </w:pPr>
            <w:r>
              <w:rPr>
                <w:sz w:val="17"/>
              </w:rPr>
              <w:t>Observabilidade</w:t>
            </w:r>
          </w:p>
        </w:tc>
        <w:tc>
          <w:tcPr>
            <w:tcW w:type="dxa" w:w="3300"/>
            <w:tcMar>
              <w:top w:w="90" w:type="dxa"/>
              <w:start w:w="120" w:type="dxa"/>
              <w:bottom w:w="90" w:type="dxa"/>
              <w:end w:w="120" w:type="dxa"/>
            </w:tcMar>
            <w:vAlign w:val="center"/>
          </w:tcPr>
          <w:p>
            <w:pPr>
              <w:spacing w:after="40" w:line="252" w:lineRule="auto"/>
            </w:pPr>
            <w:r>
              <w:rPr>
                <w:sz w:val="17"/>
              </w:rPr>
              <w:t>Logs, métricas, alertas e evidências</w:t>
            </w:r>
          </w:p>
        </w:tc>
        <w:tc>
          <w:tcPr>
            <w:tcW w:type="dxa" w:w="4260"/>
            <w:tcMar>
              <w:top w:w="90" w:type="dxa"/>
              <w:start w:w="120" w:type="dxa"/>
              <w:bottom w:w="90" w:type="dxa"/>
              <w:end w:w="120" w:type="dxa"/>
            </w:tcMar>
            <w:vAlign w:val="center"/>
          </w:tcPr>
          <w:p>
            <w:pPr>
              <w:spacing w:after="40" w:line="252" w:lineRule="auto"/>
            </w:pPr>
            <w:r>
              <w:rPr>
                <w:sz w:val="17"/>
              </w:rPr>
              <w:t>Novo painel técnico fiscal</w:t>
            </w:r>
          </w:p>
        </w:tc>
      </w:tr>
      <w:tr>
        <w:tc>
          <w:tcPr>
            <w:tcW w:type="dxa" w:w="1800"/>
            <w:tcMar>
              <w:top w:w="90" w:type="dxa"/>
              <w:start w:w="120" w:type="dxa"/>
              <w:bottom w:w="90" w:type="dxa"/>
              <w:end w:w="120" w:type="dxa"/>
            </w:tcMar>
            <w:vAlign w:val="center"/>
          </w:tcPr>
          <w:p>
            <w:pPr>
              <w:spacing w:after="40" w:line="252" w:lineRule="auto"/>
            </w:pPr>
            <w:r>
              <w:rPr>
                <w:sz w:val="17"/>
              </w:rPr>
              <w:t>Provedor alternativo</w:t>
            </w:r>
          </w:p>
        </w:tc>
        <w:tc>
          <w:tcPr>
            <w:tcW w:type="dxa" w:w="3300"/>
            <w:tcMar>
              <w:top w:w="90" w:type="dxa"/>
              <w:start w:w="120" w:type="dxa"/>
              <w:bottom w:w="90" w:type="dxa"/>
              <w:end w:w="120" w:type="dxa"/>
            </w:tcMar>
            <w:vAlign w:val="center"/>
          </w:tcPr>
          <w:p>
            <w:pPr>
              <w:spacing w:after="40" w:line="252" w:lineRule="auto"/>
            </w:pPr>
            <w:r>
              <w:rPr>
                <w:sz w:val="17"/>
              </w:rPr>
              <w:t>Fallback comercial opcional</w:t>
            </w:r>
          </w:p>
        </w:tc>
        <w:tc>
          <w:tcPr>
            <w:tcW w:type="dxa" w:w="4260"/>
            <w:tcMar>
              <w:top w:w="90" w:type="dxa"/>
              <w:start w:w="120" w:type="dxa"/>
              <w:bottom w:w="90" w:type="dxa"/>
              <w:end w:w="120" w:type="dxa"/>
            </w:tcMar>
            <w:vAlign w:val="center"/>
          </w:tcPr>
          <w:p>
            <w:pPr>
              <w:spacing w:after="40" w:line="252" w:lineRule="auto"/>
            </w:pPr>
            <w:r>
              <w:rPr>
                <w:sz w:val="17"/>
              </w:rPr>
              <w:t>Segundo adapter, sem alterar domínio</w:t>
            </w:r>
          </w:p>
        </w:tc>
      </w:tr>
    </w:tbl>
    <w:p>
      <w:pPr>
        <w:spacing w:after="20"/>
        <w:widowControl/>
      </w:pPr>
    </w:p>
    <w:p>
      <w:pPr>
        <w:pStyle w:val="Heading2"/>
        <w:keepNext/>
        <w:widowControl/>
      </w:pPr>
      <w:r>
        <w:t>4.1 Fluxo de autorização</w:t>
      </w:r>
    </w:p>
    <w:p>
      <w:pPr>
        <w:pStyle w:val="ListNumber"/>
        <w:widowControl/>
      </w:pPr>
      <w:r>
        <w:t>Validar cadastro, série, numeração, tributação e ambiente.</w:t>
      </w:r>
    </w:p>
    <w:p>
      <w:pPr>
        <w:pStyle w:val="ListNumber"/>
        <w:widowControl/>
      </w:pPr>
      <w:r>
        <w:t>Gerar XML NF-e/NFC-e 4.00 e validar contra XSD vigente.</w:t>
      </w:r>
    </w:p>
    <w:p>
      <w:pPr>
        <w:pStyle w:val="ListNumber"/>
        <w:widowControl/>
      </w:pPr>
      <w:r>
        <w:t>Assinar infNFe com o certificado A1 e validar a própria assinatura.</w:t>
      </w:r>
    </w:p>
    <w:p>
      <w:pPr>
        <w:pStyle w:val="ListNumber"/>
        <w:widowControl/>
      </w:pPr>
      <w:r>
        <w:t>Consultar NFeStatusServico4 quando a política operacional exigir.</w:t>
      </w:r>
    </w:p>
    <w:p>
      <w:pPr>
        <w:pStyle w:val="ListNumber"/>
        <w:widowControl/>
      </w:pPr>
      <w:r>
        <w:t>Transmitir com chave de idempotência e timeout finito.</w:t>
      </w:r>
    </w:p>
    <w:p>
      <w:pPr>
        <w:pStyle w:val="ListNumber"/>
        <w:widowControl/>
      </w:pPr>
      <w:r>
        <w:t>Em resposta conclusiva, persistir cStat, xMotivo, protocolo e XML processado.</w:t>
      </w:r>
    </w:p>
    <w:p>
      <w:pPr>
        <w:pStyle w:val="ListNumber"/>
        <w:widowControl/>
      </w:pPr>
      <w:r>
        <w:t>Em timeout/resultado incerto, não reenviar cegamente: consultar NFeConsultaProtocolo4.</w:t>
      </w:r>
    </w:p>
    <w:p>
      <w:pPr>
        <w:pStyle w:val="ListNumber"/>
        <w:widowControl/>
      </w:pPr>
      <w:r>
        <w:t>Liberar DANFE/NFC-e apenas segundo o estado autorizado ou contingência válida.</w:t>
      </w:r>
    </w:p>
    <w:p>
      <w:pPr>
        <w:pStyle w:val="Heading2"/>
        <w:keepNext/>
        <w:widowControl/>
      </w:pPr>
      <w:r>
        <w:t>4.2 Máquina de estados mínima</w:t>
      </w:r>
    </w:p>
    <w:tbl>
      <w:tblPr>
        <w:tblStyle w:val="TableGrid"/>
        <w:tblW w:type="dxa" w:w="9360"/>
        <w:jc w:val="center"/>
        <w:tblLayout w:type="fixed"/>
        <w:tblLook w:firstColumn="1" w:firstRow="1" w:lastColumn="0" w:lastRow="0" w:noHBand="0" w:noVBand="1" w:val="04A0"/>
        <w:tblInd w:w="120" w:type="dxa"/>
      </w:tblPr>
      <w:tblGrid>
        <w:gridCol w:w="2100"/>
        <w:gridCol w:w="3900"/>
        <w:gridCol w:w="3360"/>
      </w:tblGrid>
      <w:tr>
        <w:trPr>
          <w:tblHeader w:val="true"/>
        </w:trPr>
        <w:tc>
          <w:tcPr>
            <w:tcW w:type="dxa" w:w="2100"/>
            <w:shd w:fill="E8EEF5"/>
            <w:tcMar>
              <w:top w:w="90" w:type="dxa"/>
              <w:start w:w="120" w:type="dxa"/>
              <w:bottom w:w="90" w:type="dxa"/>
              <w:end w:w="120" w:type="dxa"/>
            </w:tcMar>
            <w:vAlign w:val="center"/>
          </w:tcPr>
          <w:p>
            <w:r>
              <w:rPr>
                <w:b/>
                <w:color w:val="17365D"/>
                <w:sz w:val="17"/>
              </w:rPr>
              <w:t>Estado</w:t>
            </w:r>
          </w:p>
        </w:tc>
        <w:tc>
          <w:tcPr>
            <w:tcW w:type="dxa" w:w="3900"/>
            <w:shd w:fill="E8EEF5"/>
            <w:tcMar>
              <w:top w:w="90" w:type="dxa"/>
              <w:start w:w="120" w:type="dxa"/>
              <w:bottom w:w="90" w:type="dxa"/>
              <w:end w:w="120" w:type="dxa"/>
            </w:tcMar>
            <w:vAlign w:val="center"/>
          </w:tcPr>
          <w:p>
            <w:r>
              <w:rPr>
                <w:b/>
                <w:color w:val="17365D"/>
                <w:sz w:val="17"/>
              </w:rPr>
              <w:t>Significado</w:t>
            </w:r>
          </w:p>
        </w:tc>
        <w:tc>
          <w:tcPr>
            <w:tcW w:type="dxa" w:w="3360"/>
            <w:shd w:fill="E8EEF5"/>
            <w:tcMar>
              <w:top w:w="90" w:type="dxa"/>
              <w:start w:w="120" w:type="dxa"/>
              <w:bottom w:w="90" w:type="dxa"/>
              <w:end w:w="120" w:type="dxa"/>
            </w:tcMar>
            <w:vAlign w:val="center"/>
          </w:tcPr>
          <w:p>
            <w:r>
              <w:rPr>
                <w:b/>
                <w:color w:val="17365D"/>
                <w:sz w:val="17"/>
              </w:rPr>
              <w:t>Próxima ação permitida</w:t>
            </w:r>
          </w:p>
        </w:tc>
      </w:tr>
      <w:tr>
        <w:tc>
          <w:tcPr>
            <w:tcW w:type="dxa" w:w="2100"/>
            <w:tcMar>
              <w:top w:w="90" w:type="dxa"/>
              <w:start w:w="120" w:type="dxa"/>
              <w:bottom w:w="90" w:type="dxa"/>
              <w:end w:w="120" w:type="dxa"/>
            </w:tcMar>
            <w:vAlign w:val="center"/>
          </w:tcPr>
          <w:p>
            <w:pPr>
              <w:spacing w:after="40" w:line="252" w:lineRule="auto"/>
            </w:pPr>
            <w:r>
              <w:rPr>
                <w:sz w:val="17"/>
              </w:rPr>
              <w:t>RASCUNHO</w:t>
            </w:r>
          </w:p>
        </w:tc>
        <w:tc>
          <w:tcPr>
            <w:tcW w:type="dxa" w:w="3900"/>
            <w:tcMar>
              <w:top w:w="90" w:type="dxa"/>
              <w:start w:w="120" w:type="dxa"/>
              <w:bottom w:w="90" w:type="dxa"/>
              <w:end w:w="120" w:type="dxa"/>
            </w:tcMar>
            <w:vAlign w:val="center"/>
          </w:tcPr>
          <w:p>
            <w:pPr>
              <w:spacing w:after="40" w:line="252" w:lineRule="auto"/>
            </w:pPr>
            <w:r>
              <w:rPr>
                <w:sz w:val="17"/>
              </w:rPr>
              <w:t>Dados ainda editáveis</w:t>
            </w:r>
          </w:p>
        </w:tc>
        <w:tc>
          <w:tcPr>
            <w:tcW w:type="dxa" w:w="3360"/>
            <w:tcMar>
              <w:top w:w="90" w:type="dxa"/>
              <w:start w:w="120" w:type="dxa"/>
              <w:bottom w:w="90" w:type="dxa"/>
              <w:end w:w="120" w:type="dxa"/>
            </w:tcMar>
            <w:vAlign w:val="center"/>
          </w:tcPr>
          <w:p>
            <w:pPr>
              <w:spacing w:after="40" w:line="252" w:lineRule="auto"/>
            </w:pPr>
            <w:r>
              <w:rPr>
                <w:sz w:val="17"/>
              </w:rPr>
              <w:t>Validar e gerar</w:t>
            </w:r>
          </w:p>
        </w:tc>
      </w:tr>
      <w:tr>
        <w:tc>
          <w:tcPr>
            <w:tcW w:type="dxa" w:w="2100"/>
            <w:tcMar>
              <w:top w:w="90" w:type="dxa"/>
              <w:start w:w="120" w:type="dxa"/>
              <w:bottom w:w="90" w:type="dxa"/>
              <w:end w:w="120" w:type="dxa"/>
            </w:tcMar>
            <w:vAlign w:val="center"/>
          </w:tcPr>
          <w:p>
            <w:pPr>
              <w:spacing w:after="40" w:line="252" w:lineRule="auto"/>
            </w:pPr>
            <w:r>
              <w:rPr>
                <w:sz w:val="17"/>
              </w:rPr>
              <w:t>PRONTO</w:t>
            </w:r>
          </w:p>
        </w:tc>
        <w:tc>
          <w:tcPr>
            <w:tcW w:type="dxa" w:w="3900"/>
            <w:tcMar>
              <w:top w:w="90" w:type="dxa"/>
              <w:start w:w="120" w:type="dxa"/>
              <w:bottom w:w="90" w:type="dxa"/>
              <w:end w:w="120" w:type="dxa"/>
            </w:tcMar>
            <w:vAlign w:val="center"/>
          </w:tcPr>
          <w:p>
            <w:pPr>
              <w:spacing w:after="40" w:line="252" w:lineRule="auto"/>
            </w:pPr>
            <w:r>
              <w:rPr>
                <w:sz w:val="17"/>
              </w:rPr>
              <w:t>XML válido e pronto para assinatura/transmissão</w:t>
            </w:r>
          </w:p>
        </w:tc>
        <w:tc>
          <w:tcPr>
            <w:tcW w:type="dxa" w:w="3360"/>
            <w:tcMar>
              <w:top w:w="90" w:type="dxa"/>
              <w:start w:w="120" w:type="dxa"/>
              <w:bottom w:w="90" w:type="dxa"/>
              <w:end w:w="120" w:type="dxa"/>
            </w:tcMar>
            <w:vAlign w:val="center"/>
          </w:tcPr>
          <w:p>
            <w:pPr>
              <w:spacing w:after="40" w:line="252" w:lineRule="auto"/>
            </w:pPr>
            <w:r>
              <w:rPr>
                <w:sz w:val="17"/>
              </w:rPr>
              <w:t>Assinar/transmitir</w:t>
            </w:r>
          </w:p>
        </w:tc>
      </w:tr>
      <w:tr>
        <w:tc>
          <w:tcPr>
            <w:tcW w:type="dxa" w:w="2100"/>
            <w:tcMar>
              <w:top w:w="90" w:type="dxa"/>
              <w:start w:w="120" w:type="dxa"/>
              <w:bottom w:w="90" w:type="dxa"/>
              <w:end w:w="120" w:type="dxa"/>
            </w:tcMar>
            <w:vAlign w:val="center"/>
          </w:tcPr>
          <w:p>
            <w:pPr>
              <w:spacing w:after="40" w:line="252" w:lineRule="auto"/>
            </w:pPr>
            <w:r>
              <w:rPr>
                <w:sz w:val="17"/>
              </w:rPr>
              <w:t>TRANSMITINDO</w:t>
            </w:r>
          </w:p>
        </w:tc>
        <w:tc>
          <w:tcPr>
            <w:tcW w:type="dxa" w:w="3900"/>
            <w:tcMar>
              <w:top w:w="90" w:type="dxa"/>
              <w:start w:w="120" w:type="dxa"/>
              <w:bottom w:w="90" w:type="dxa"/>
              <w:end w:w="120" w:type="dxa"/>
            </w:tcMar>
            <w:vAlign w:val="center"/>
          </w:tcPr>
          <w:p>
            <w:pPr>
              <w:spacing w:after="40" w:line="252" w:lineRule="auto"/>
            </w:pPr>
            <w:r>
              <w:rPr>
                <w:sz w:val="17"/>
              </w:rPr>
              <w:t>Lease ativo; impede duplicidade</w:t>
            </w:r>
          </w:p>
        </w:tc>
        <w:tc>
          <w:tcPr>
            <w:tcW w:type="dxa" w:w="3360"/>
            <w:tcMar>
              <w:top w:w="90" w:type="dxa"/>
              <w:start w:w="120" w:type="dxa"/>
              <w:bottom w:w="90" w:type="dxa"/>
              <w:end w:w="120" w:type="dxa"/>
            </w:tcMar>
            <w:vAlign w:val="center"/>
          </w:tcPr>
          <w:p>
            <w:pPr>
              <w:spacing w:after="40" w:line="252" w:lineRule="auto"/>
            </w:pPr>
            <w:r>
              <w:rPr>
                <w:sz w:val="17"/>
              </w:rPr>
              <w:t>Aguardar ou recuperar lease</w:t>
            </w:r>
          </w:p>
        </w:tc>
      </w:tr>
      <w:tr>
        <w:tc>
          <w:tcPr>
            <w:tcW w:type="dxa" w:w="2100"/>
            <w:tcMar>
              <w:top w:w="90" w:type="dxa"/>
              <w:start w:w="120" w:type="dxa"/>
              <w:bottom w:w="90" w:type="dxa"/>
              <w:end w:w="120" w:type="dxa"/>
            </w:tcMar>
            <w:vAlign w:val="center"/>
          </w:tcPr>
          <w:p>
            <w:pPr>
              <w:spacing w:after="40" w:line="252" w:lineRule="auto"/>
            </w:pPr>
            <w:r>
              <w:rPr>
                <w:sz w:val="17"/>
              </w:rPr>
              <w:t>PENDENTE_CONSULTA</w:t>
            </w:r>
          </w:p>
        </w:tc>
        <w:tc>
          <w:tcPr>
            <w:tcW w:type="dxa" w:w="3900"/>
            <w:tcMar>
              <w:top w:w="90" w:type="dxa"/>
              <w:start w:w="120" w:type="dxa"/>
              <w:bottom w:w="90" w:type="dxa"/>
              <w:end w:w="120" w:type="dxa"/>
            </w:tcMar>
            <w:vAlign w:val="center"/>
          </w:tcPr>
          <w:p>
            <w:pPr>
              <w:spacing w:after="40" w:line="252" w:lineRule="auto"/>
            </w:pPr>
            <w:r>
              <w:rPr>
                <w:sz w:val="17"/>
              </w:rPr>
              <w:t>Resposta incerta/assíncrona</w:t>
            </w:r>
          </w:p>
        </w:tc>
        <w:tc>
          <w:tcPr>
            <w:tcW w:type="dxa" w:w="3360"/>
            <w:tcMar>
              <w:top w:w="90" w:type="dxa"/>
              <w:start w:w="120" w:type="dxa"/>
              <w:bottom w:w="90" w:type="dxa"/>
              <w:end w:w="120" w:type="dxa"/>
            </w:tcMar>
            <w:vAlign w:val="center"/>
          </w:tcPr>
          <w:p>
            <w:pPr>
              <w:spacing w:after="40" w:line="252" w:lineRule="auto"/>
            </w:pPr>
            <w:r>
              <w:rPr>
                <w:sz w:val="17"/>
              </w:rPr>
              <w:t>Consultar protocolo</w:t>
            </w:r>
          </w:p>
        </w:tc>
      </w:tr>
      <w:tr>
        <w:tc>
          <w:tcPr>
            <w:tcW w:type="dxa" w:w="2100"/>
            <w:tcMar>
              <w:top w:w="90" w:type="dxa"/>
              <w:start w:w="120" w:type="dxa"/>
              <w:bottom w:w="90" w:type="dxa"/>
              <w:end w:w="120" w:type="dxa"/>
            </w:tcMar>
            <w:vAlign w:val="center"/>
          </w:tcPr>
          <w:p>
            <w:pPr>
              <w:spacing w:after="40" w:line="252" w:lineRule="auto"/>
            </w:pPr>
            <w:r>
              <w:rPr>
                <w:sz w:val="17"/>
              </w:rPr>
              <w:t>AUTORIZADO</w:t>
            </w:r>
          </w:p>
        </w:tc>
        <w:tc>
          <w:tcPr>
            <w:tcW w:type="dxa" w:w="3900"/>
            <w:tcMar>
              <w:top w:w="90" w:type="dxa"/>
              <w:start w:w="120" w:type="dxa"/>
              <w:bottom w:w="90" w:type="dxa"/>
              <w:end w:w="120" w:type="dxa"/>
            </w:tcMar>
            <w:vAlign w:val="center"/>
          </w:tcPr>
          <w:p>
            <w:pPr>
              <w:spacing w:after="40" w:line="252" w:lineRule="auto"/>
            </w:pPr>
            <w:r>
              <w:rPr>
                <w:sz w:val="17"/>
              </w:rPr>
              <w:t>Protocolo recebido e XML processado salvo</w:t>
            </w:r>
          </w:p>
        </w:tc>
        <w:tc>
          <w:tcPr>
            <w:tcW w:type="dxa" w:w="3360"/>
            <w:tcMar>
              <w:top w:w="90" w:type="dxa"/>
              <w:start w:w="120" w:type="dxa"/>
              <w:bottom w:w="90" w:type="dxa"/>
              <w:end w:w="120" w:type="dxa"/>
            </w:tcMar>
            <w:vAlign w:val="center"/>
          </w:tcPr>
          <w:p>
            <w:pPr>
              <w:spacing w:after="40" w:line="252" w:lineRule="auto"/>
            </w:pPr>
            <w:r>
              <w:rPr>
                <w:sz w:val="17"/>
              </w:rPr>
              <w:t>Imprimir, cancelar</w:t>
            </w:r>
          </w:p>
        </w:tc>
      </w:tr>
      <w:tr>
        <w:tc>
          <w:tcPr>
            <w:tcW w:type="dxa" w:w="2100"/>
            <w:tcMar>
              <w:top w:w="90" w:type="dxa"/>
              <w:start w:w="120" w:type="dxa"/>
              <w:bottom w:w="90" w:type="dxa"/>
              <w:end w:w="120" w:type="dxa"/>
            </w:tcMar>
            <w:vAlign w:val="center"/>
          </w:tcPr>
          <w:p>
            <w:pPr>
              <w:spacing w:after="40" w:line="252" w:lineRule="auto"/>
            </w:pPr>
            <w:r>
              <w:rPr>
                <w:sz w:val="17"/>
              </w:rPr>
              <w:t>REJEITADO</w:t>
            </w:r>
          </w:p>
        </w:tc>
        <w:tc>
          <w:tcPr>
            <w:tcW w:type="dxa" w:w="3900"/>
            <w:tcMar>
              <w:top w:w="90" w:type="dxa"/>
              <w:start w:w="120" w:type="dxa"/>
              <w:bottom w:w="90" w:type="dxa"/>
              <w:end w:w="120" w:type="dxa"/>
            </w:tcMar>
            <w:vAlign w:val="center"/>
          </w:tcPr>
          <w:p>
            <w:pPr>
              <w:spacing w:after="40" w:line="252" w:lineRule="auto"/>
            </w:pPr>
            <w:r>
              <w:rPr>
                <w:sz w:val="17"/>
              </w:rPr>
              <w:t>cStat conclusivo sem autorização</w:t>
            </w:r>
          </w:p>
        </w:tc>
        <w:tc>
          <w:tcPr>
            <w:tcW w:type="dxa" w:w="3360"/>
            <w:tcMar>
              <w:top w:w="90" w:type="dxa"/>
              <w:start w:w="120" w:type="dxa"/>
              <w:bottom w:w="90" w:type="dxa"/>
              <w:end w:w="120" w:type="dxa"/>
            </w:tcMar>
            <w:vAlign w:val="center"/>
          </w:tcPr>
          <w:p>
            <w:pPr>
              <w:spacing w:after="40" w:line="252" w:lineRule="auto"/>
            </w:pPr>
            <w:r>
              <w:rPr>
                <w:sz w:val="17"/>
              </w:rPr>
              <w:t>Corrigir conforme regra</w:t>
            </w:r>
          </w:p>
        </w:tc>
      </w:tr>
      <w:tr>
        <w:tc>
          <w:tcPr>
            <w:tcW w:type="dxa" w:w="2100"/>
            <w:tcMar>
              <w:top w:w="90" w:type="dxa"/>
              <w:start w:w="120" w:type="dxa"/>
              <w:bottom w:w="90" w:type="dxa"/>
              <w:end w:w="120" w:type="dxa"/>
            </w:tcMar>
            <w:vAlign w:val="center"/>
          </w:tcPr>
          <w:p>
            <w:pPr>
              <w:spacing w:after="40" w:line="252" w:lineRule="auto"/>
            </w:pPr>
            <w:r>
              <w:rPr>
                <w:sz w:val="17"/>
              </w:rPr>
              <w:t>CONTINGENCIA</w:t>
            </w:r>
          </w:p>
        </w:tc>
        <w:tc>
          <w:tcPr>
            <w:tcW w:type="dxa" w:w="3900"/>
            <w:tcMar>
              <w:top w:w="90" w:type="dxa"/>
              <w:start w:w="120" w:type="dxa"/>
              <w:bottom w:w="90" w:type="dxa"/>
              <w:end w:w="120" w:type="dxa"/>
            </w:tcMar>
            <w:vAlign w:val="center"/>
          </w:tcPr>
          <w:p>
            <w:pPr>
              <w:spacing w:after="40" w:line="252" w:lineRule="auto"/>
            </w:pPr>
            <w:r>
              <w:rPr>
                <w:sz w:val="17"/>
              </w:rPr>
              <w:t>Emissão offline permitida</w:t>
            </w:r>
          </w:p>
        </w:tc>
        <w:tc>
          <w:tcPr>
            <w:tcW w:type="dxa" w:w="3360"/>
            <w:tcMar>
              <w:top w:w="90" w:type="dxa"/>
              <w:start w:w="120" w:type="dxa"/>
              <w:bottom w:w="90" w:type="dxa"/>
              <w:end w:w="120" w:type="dxa"/>
            </w:tcMar>
            <w:vAlign w:val="center"/>
          </w:tcPr>
          <w:p>
            <w:pPr>
              <w:spacing w:after="40" w:line="252" w:lineRule="auto"/>
            </w:pPr>
            <w:r>
              <w:rPr>
                <w:sz w:val="17"/>
              </w:rPr>
              <w:t>Imprimir e transmitir posteriormente</w:t>
            </w:r>
          </w:p>
        </w:tc>
      </w:tr>
      <w:tr>
        <w:tc>
          <w:tcPr>
            <w:tcW w:type="dxa" w:w="2100"/>
            <w:tcMar>
              <w:top w:w="90" w:type="dxa"/>
              <w:start w:w="120" w:type="dxa"/>
              <w:bottom w:w="90" w:type="dxa"/>
              <w:end w:w="120" w:type="dxa"/>
            </w:tcMar>
            <w:vAlign w:val="center"/>
          </w:tcPr>
          <w:p>
            <w:pPr>
              <w:spacing w:after="40" w:line="252" w:lineRule="auto"/>
            </w:pPr>
            <w:r>
              <w:rPr>
                <w:sz w:val="17"/>
              </w:rPr>
              <w:t>CANCELADO</w:t>
            </w:r>
          </w:p>
        </w:tc>
        <w:tc>
          <w:tcPr>
            <w:tcW w:type="dxa" w:w="3900"/>
            <w:tcMar>
              <w:top w:w="90" w:type="dxa"/>
              <w:start w:w="120" w:type="dxa"/>
              <w:bottom w:w="90" w:type="dxa"/>
              <w:end w:w="120" w:type="dxa"/>
            </w:tcMar>
            <w:vAlign w:val="center"/>
          </w:tcPr>
          <w:p>
            <w:pPr>
              <w:spacing w:after="40" w:line="252" w:lineRule="auto"/>
            </w:pPr>
            <w:r>
              <w:rPr>
                <w:sz w:val="17"/>
              </w:rPr>
              <w:t>Evento homologado</w:t>
            </w:r>
          </w:p>
        </w:tc>
        <w:tc>
          <w:tcPr>
            <w:tcW w:type="dxa" w:w="3360"/>
            <w:tcMar>
              <w:top w:w="90" w:type="dxa"/>
              <w:start w:w="120" w:type="dxa"/>
              <w:bottom w:w="90" w:type="dxa"/>
              <w:end w:w="120" w:type="dxa"/>
            </w:tcMar>
            <w:vAlign w:val="center"/>
          </w:tcPr>
          <w:p>
            <w:pPr>
              <w:spacing w:after="40" w:line="252" w:lineRule="auto"/>
            </w:pPr>
            <w:r>
              <w:rPr>
                <w:sz w:val="17"/>
              </w:rPr>
              <w:t>Somente consultar/auditar</w:t>
            </w:r>
          </w:p>
        </w:tc>
      </w:tr>
    </w:tbl>
    <w:p>
      <w:pPr>
        <w:spacing w:after="20"/>
        <w:widowControl/>
      </w:pPr>
    </w:p>
    <w:p>
      <w:pPr>
        <w:pStyle w:val="Heading1"/>
        <w:keepNext/>
        <w:widowControl/>
      </w:pPr>
      <w:r>
        <w:t>5. Requisitos técnicos</w:t>
      </w:r>
    </w:p>
    <w:p>
      <w:pPr>
        <w:pStyle w:val="Heading2"/>
        <w:keepNext/>
        <w:widowControl/>
      </w:pPr>
      <w:r>
        <w:t>5.1 Comunicação e segurança</w:t>
      </w:r>
    </w:p>
    <w:p>
      <w:pPr>
        <w:pStyle w:val="ListBullet"/>
        <w:widowControl/>
      </w:pPr>
      <w:r>
        <w:t>SOAP 1.2 e XML conforme namespaces oficiais; não tratar WSDL como contrato imutável.</w:t>
      </w:r>
    </w:p>
    <w:p>
      <w:pPr>
        <w:pStyle w:val="ListBullet"/>
        <w:widowControl/>
      </w:pPr>
      <w:r>
        <w:t>TLS com certificado ICP-Brasil; validar cadeia, hostname e período de validade.</w:t>
      </w:r>
    </w:p>
    <w:p>
      <w:pPr>
        <w:pStyle w:val="ListBullet"/>
        <w:widowControl/>
      </w:pPr>
      <w:r>
        <w:t>Certificado A1 e senha criptografados com chave fora do banco; rotação e acesso mínimo.</w:t>
      </w:r>
    </w:p>
    <w:p>
      <w:pPr>
        <w:pStyle w:val="ListBullet"/>
        <w:widowControl/>
      </w:pPr>
      <w:r>
        <w:t>Timeouts separados para conexão e leitura; circuit breaker sem mascarar rejeições fiscais.</w:t>
      </w:r>
    </w:p>
    <w:p>
      <w:pPr>
        <w:pStyle w:val="ListBullet"/>
        <w:widowControl/>
      </w:pPr>
      <w:r>
        <w:t>Proteção contra XXE e limites de tamanho ao interpretar XML.</w:t>
      </w:r>
    </w:p>
    <w:p>
      <w:pPr>
        <w:pStyle w:val="ListBullet"/>
        <w:widowControl/>
      </w:pPr>
      <w:r>
        <w:t>Nunca registrar XML completo indiscriminadamente; aplicar política de acesso e retenção.</w:t>
      </w:r>
    </w:p>
    <w:p>
      <w:pPr>
        <w:pStyle w:val="ListBullet"/>
        <w:widowControl/>
      </w:pPr>
      <w:r>
        <w:t>Relógio do servidor sincronizado; emissão fiscal depende de data/hora coerentes.</w:t>
      </w:r>
    </w:p>
    <w:p>
      <w:pPr>
        <w:pStyle w:val="Heading2"/>
        <w:keepNext/>
        <w:widowControl/>
      </w:pPr>
      <w:r>
        <w:t>5.2 Dependências</w:t>
      </w:r>
    </w:p>
    <w:p>
      <w:pPr>
        <w:widowControl/>
      </w:pPr>
      <w:r>
        <w:t>O pacote atual já inclui cryptography e lxml, suficientes para boa parte da assinatura e processamento XML. Para transporte, pode-se usar um cliente HTTP controlado com envelopes SOAP explícitos ou biblioteca SOAP madura, desde que seja possível controlar mTLS, namespaces, timeouts e logging. A escolha deve ser validada com testes reais de homologação; não é necessário incorporar os binários ACBr/NFeExpert.</w:t>
      </w:r>
    </w:p>
    <w:p>
      <w:pPr>
        <w:pStyle w:val="Heading2"/>
        <w:keepNext/>
        <w:widowControl/>
      </w:pPr>
      <w:r>
        <w:t>5.3 Contrato do adaptador</w:t>
      </w:r>
    </w:p>
    <w:tbl>
      <w:tblPr>
        <w:tblStyle w:val="TableGrid"/>
        <w:tblW w:type="dxa" w:w="9360"/>
        <w:jc w:val="center"/>
        <w:tblLayout w:type="fixed"/>
        <w:tblLook w:firstColumn="1" w:firstRow="1" w:lastColumn="0" w:lastRow="0" w:noHBand="0" w:noVBand="1" w:val="04A0"/>
        <w:tblInd w:w="120" w:type="dxa"/>
      </w:tblPr>
      <w:tblGrid>
        <w:gridCol w:w="1900"/>
        <w:gridCol w:w="4200"/>
        <w:gridCol w:w="3260"/>
      </w:tblGrid>
      <w:tr>
        <w:trPr>
          <w:tblHeader w:val="true"/>
        </w:trPr>
        <w:tc>
          <w:tcPr>
            <w:tcW w:type="dxa" w:w="1900"/>
            <w:shd w:fill="E8EEF5"/>
            <w:tcMar>
              <w:top w:w="90" w:type="dxa"/>
              <w:start w:w="120" w:type="dxa"/>
              <w:bottom w:w="90" w:type="dxa"/>
              <w:end w:w="120" w:type="dxa"/>
            </w:tcMar>
            <w:vAlign w:val="center"/>
          </w:tcPr>
          <w:p>
            <w:r>
              <w:rPr>
                <w:b/>
                <w:color w:val="17365D"/>
                <w:sz w:val="17"/>
              </w:rPr>
              <w:t>Método</w:t>
            </w:r>
          </w:p>
        </w:tc>
        <w:tc>
          <w:tcPr>
            <w:tcW w:type="dxa" w:w="4200"/>
            <w:shd w:fill="E8EEF5"/>
            <w:tcMar>
              <w:top w:w="90" w:type="dxa"/>
              <w:start w:w="120" w:type="dxa"/>
              <w:bottom w:w="90" w:type="dxa"/>
              <w:end w:w="120" w:type="dxa"/>
            </w:tcMar>
            <w:vAlign w:val="center"/>
          </w:tcPr>
          <w:p>
            <w:r>
              <w:rPr>
                <w:b/>
                <w:color w:val="17365D"/>
                <w:sz w:val="17"/>
              </w:rPr>
              <w:t>Entrada essencial</w:t>
            </w:r>
          </w:p>
        </w:tc>
        <w:tc>
          <w:tcPr>
            <w:tcW w:type="dxa" w:w="3260"/>
            <w:shd w:fill="E8EEF5"/>
            <w:tcMar>
              <w:top w:w="90" w:type="dxa"/>
              <w:start w:w="120" w:type="dxa"/>
              <w:bottom w:w="90" w:type="dxa"/>
              <w:end w:w="120" w:type="dxa"/>
            </w:tcMar>
            <w:vAlign w:val="center"/>
          </w:tcPr>
          <w:p>
            <w:r>
              <w:rPr>
                <w:b/>
                <w:color w:val="17365D"/>
                <w:sz w:val="17"/>
              </w:rPr>
              <w:t>Saída normalizada</w:t>
            </w:r>
          </w:p>
        </w:tc>
      </w:tr>
      <w:tr>
        <w:tc>
          <w:tcPr>
            <w:tcW w:type="dxa" w:w="1900"/>
            <w:tcMar>
              <w:top w:w="90" w:type="dxa"/>
              <w:start w:w="120" w:type="dxa"/>
              <w:bottom w:w="90" w:type="dxa"/>
              <w:end w:w="120" w:type="dxa"/>
            </w:tcMar>
            <w:vAlign w:val="center"/>
          </w:tcPr>
          <w:p>
            <w:pPr>
              <w:spacing w:after="40" w:line="252" w:lineRule="auto"/>
            </w:pPr>
            <w:r>
              <w:rPr>
                <w:sz w:val="17"/>
              </w:rPr>
              <w:t>status_servico</w:t>
            </w:r>
          </w:p>
        </w:tc>
        <w:tc>
          <w:tcPr>
            <w:tcW w:type="dxa" w:w="4200"/>
            <w:tcMar>
              <w:top w:w="90" w:type="dxa"/>
              <w:start w:w="120" w:type="dxa"/>
              <w:bottom w:w="90" w:type="dxa"/>
              <w:end w:w="120" w:type="dxa"/>
            </w:tcMar>
            <w:vAlign w:val="center"/>
          </w:tcPr>
          <w:p>
            <w:pPr>
              <w:spacing w:after="40" w:line="252" w:lineRule="auto"/>
            </w:pPr>
            <w:r>
              <w:rPr>
                <w:sz w:val="17"/>
              </w:rPr>
              <w:t>UF, ambiente, modelo</w:t>
            </w:r>
          </w:p>
        </w:tc>
        <w:tc>
          <w:tcPr>
            <w:tcW w:type="dxa" w:w="3260"/>
            <w:tcMar>
              <w:top w:w="90" w:type="dxa"/>
              <w:start w:w="120" w:type="dxa"/>
              <w:bottom w:w="90" w:type="dxa"/>
              <w:end w:w="120" w:type="dxa"/>
            </w:tcMar>
            <w:vAlign w:val="center"/>
          </w:tcPr>
          <w:p>
            <w:pPr>
              <w:spacing w:after="40" w:line="252" w:lineRule="auto"/>
            </w:pPr>
            <w:r>
              <w:rPr>
                <w:sz w:val="17"/>
              </w:rPr>
              <w:t>cStat, motivo, tempo médio</w:t>
            </w:r>
          </w:p>
        </w:tc>
      </w:tr>
      <w:tr>
        <w:tc>
          <w:tcPr>
            <w:tcW w:type="dxa" w:w="1900"/>
            <w:tcMar>
              <w:top w:w="90" w:type="dxa"/>
              <w:start w:w="120" w:type="dxa"/>
              <w:bottom w:w="90" w:type="dxa"/>
              <w:end w:w="120" w:type="dxa"/>
            </w:tcMar>
            <w:vAlign w:val="center"/>
          </w:tcPr>
          <w:p>
            <w:pPr>
              <w:spacing w:after="40" w:line="252" w:lineRule="auto"/>
            </w:pPr>
            <w:r>
              <w:rPr>
                <w:sz w:val="17"/>
              </w:rPr>
              <w:t>transmitir</w:t>
            </w:r>
          </w:p>
        </w:tc>
        <w:tc>
          <w:tcPr>
            <w:tcW w:type="dxa" w:w="4200"/>
            <w:tcMar>
              <w:top w:w="90" w:type="dxa"/>
              <w:start w:w="120" w:type="dxa"/>
              <w:bottom w:w="90" w:type="dxa"/>
              <w:end w:w="120" w:type="dxa"/>
            </w:tcMar>
            <w:vAlign w:val="center"/>
          </w:tcPr>
          <w:p>
            <w:pPr>
              <w:spacing w:after="40" w:line="252" w:lineRule="auto"/>
            </w:pPr>
            <w:r>
              <w:rPr>
                <w:sz w:val="17"/>
              </w:rPr>
              <w:t>documento, XML assinado, idempotency_key</w:t>
            </w:r>
          </w:p>
        </w:tc>
        <w:tc>
          <w:tcPr>
            <w:tcW w:type="dxa" w:w="3260"/>
            <w:tcMar>
              <w:top w:w="90" w:type="dxa"/>
              <w:start w:w="120" w:type="dxa"/>
              <w:bottom w:w="90" w:type="dxa"/>
              <w:end w:w="120" w:type="dxa"/>
            </w:tcMar>
            <w:vAlign w:val="center"/>
          </w:tcPr>
          <w:p>
            <w:pPr>
              <w:spacing w:after="40" w:line="252" w:lineRule="auto"/>
            </w:pPr>
            <w:r>
              <w:rPr>
                <w:sz w:val="17"/>
              </w:rPr>
              <w:t>AUTORIZADO/REJEITADO/PENDENTE, protocolo</w:t>
            </w:r>
          </w:p>
        </w:tc>
      </w:tr>
      <w:tr>
        <w:tc>
          <w:tcPr>
            <w:tcW w:type="dxa" w:w="1900"/>
            <w:tcMar>
              <w:top w:w="90" w:type="dxa"/>
              <w:start w:w="120" w:type="dxa"/>
              <w:bottom w:w="90" w:type="dxa"/>
              <w:end w:w="120" w:type="dxa"/>
            </w:tcMar>
            <w:vAlign w:val="center"/>
          </w:tcPr>
          <w:p>
            <w:pPr>
              <w:spacing w:after="40" w:line="252" w:lineRule="auto"/>
            </w:pPr>
            <w:r>
              <w:rPr>
                <w:sz w:val="17"/>
              </w:rPr>
              <w:t>consultar</w:t>
            </w:r>
          </w:p>
        </w:tc>
        <w:tc>
          <w:tcPr>
            <w:tcW w:type="dxa" w:w="4200"/>
            <w:tcMar>
              <w:top w:w="90" w:type="dxa"/>
              <w:start w:w="120" w:type="dxa"/>
              <w:bottom w:w="90" w:type="dxa"/>
              <w:end w:w="120" w:type="dxa"/>
            </w:tcMar>
            <w:vAlign w:val="center"/>
          </w:tcPr>
          <w:p>
            <w:pPr>
              <w:spacing w:after="40" w:line="252" w:lineRule="auto"/>
            </w:pPr>
            <w:r>
              <w:rPr>
                <w:sz w:val="17"/>
              </w:rPr>
              <w:t>chave, ambiente</w:t>
            </w:r>
          </w:p>
        </w:tc>
        <w:tc>
          <w:tcPr>
            <w:tcW w:type="dxa" w:w="3260"/>
            <w:tcMar>
              <w:top w:w="90" w:type="dxa"/>
              <w:start w:w="120" w:type="dxa"/>
              <w:bottom w:w="90" w:type="dxa"/>
              <w:end w:w="120" w:type="dxa"/>
            </w:tcMar>
            <w:vAlign w:val="center"/>
          </w:tcPr>
          <w:p>
            <w:pPr>
              <w:spacing w:after="40" w:line="252" w:lineRule="auto"/>
            </w:pPr>
            <w:r>
              <w:rPr>
                <w:sz w:val="17"/>
              </w:rPr>
              <w:t>situação, protocolo e XML de retorno</w:t>
            </w:r>
          </w:p>
        </w:tc>
      </w:tr>
      <w:tr>
        <w:tc>
          <w:tcPr>
            <w:tcW w:type="dxa" w:w="1900"/>
            <w:tcMar>
              <w:top w:w="90" w:type="dxa"/>
              <w:start w:w="120" w:type="dxa"/>
              <w:bottom w:w="90" w:type="dxa"/>
              <w:end w:w="120" w:type="dxa"/>
            </w:tcMar>
            <w:vAlign w:val="center"/>
          </w:tcPr>
          <w:p>
            <w:pPr>
              <w:spacing w:after="40" w:line="252" w:lineRule="auto"/>
            </w:pPr>
            <w:r>
              <w:rPr>
                <w:sz w:val="17"/>
              </w:rPr>
              <w:t>cancelar</w:t>
            </w:r>
          </w:p>
        </w:tc>
        <w:tc>
          <w:tcPr>
            <w:tcW w:type="dxa" w:w="4200"/>
            <w:tcMar>
              <w:top w:w="90" w:type="dxa"/>
              <w:start w:w="120" w:type="dxa"/>
              <w:bottom w:w="90" w:type="dxa"/>
              <w:end w:w="120" w:type="dxa"/>
            </w:tcMar>
            <w:vAlign w:val="center"/>
          </w:tcPr>
          <w:p>
            <w:pPr>
              <w:spacing w:after="40" w:line="252" w:lineRule="auto"/>
            </w:pPr>
            <w:r>
              <w:rPr>
                <w:sz w:val="17"/>
              </w:rPr>
              <w:t>chave, protocolo, justificativa</w:t>
            </w:r>
          </w:p>
        </w:tc>
        <w:tc>
          <w:tcPr>
            <w:tcW w:type="dxa" w:w="3260"/>
            <w:tcMar>
              <w:top w:w="90" w:type="dxa"/>
              <w:start w:w="120" w:type="dxa"/>
              <w:bottom w:w="90" w:type="dxa"/>
              <w:end w:w="120" w:type="dxa"/>
            </w:tcMar>
            <w:vAlign w:val="center"/>
          </w:tcPr>
          <w:p>
            <w:pPr>
              <w:spacing w:after="40" w:line="252" w:lineRule="auto"/>
            </w:pPr>
            <w:r>
              <w:rPr>
                <w:sz w:val="17"/>
              </w:rPr>
              <w:t>evento e protocolo</w:t>
            </w:r>
          </w:p>
        </w:tc>
      </w:tr>
      <w:tr>
        <w:tc>
          <w:tcPr>
            <w:tcW w:type="dxa" w:w="1900"/>
            <w:tcMar>
              <w:top w:w="90" w:type="dxa"/>
              <w:start w:w="120" w:type="dxa"/>
              <w:bottom w:w="90" w:type="dxa"/>
              <w:end w:w="120" w:type="dxa"/>
            </w:tcMar>
            <w:vAlign w:val="center"/>
          </w:tcPr>
          <w:p>
            <w:pPr>
              <w:spacing w:after="40" w:line="252" w:lineRule="auto"/>
            </w:pPr>
            <w:r>
              <w:rPr>
                <w:sz w:val="17"/>
              </w:rPr>
              <w:t>inutilizar</w:t>
            </w:r>
          </w:p>
        </w:tc>
        <w:tc>
          <w:tcPr>
            <w:tcW w:type="dxa" w:w="4200"/>
            <w:tcMar>
              <w:top w:w="90" w:type="dxa"/>
              <w:start w:w="120" w:type="dxa"/>
              <w:bottom w:w="90" w:type="dxa"/>
              <w:end w:w="120" w:type="dxa"/>
            </w:tcMar>
            <w:vAlign w:val="center"/>
          </w:tcPr>
          <w:p>
            <w:pPr>
              <w:spacing w:after="40" w:line="252" w:lineRule="auto"/>
            </w:pPr>
            <w:r>
              <w:rPr>
                <w:sz w:val="17"/>
              </w:rPr>
              <w:t>CNPJ, ano, modelo, série e faixa</w:t>
            </w:r>
          </w:p>
        </w:tc>
        <w:tc>
          <w:tcPr>
            <w:tcW w:type="dxa" w:w="3260"/>
            <w:tcMar>
              <w:top w:w="90" w:type="dxa"/>
              <w:start w:w="120" w:type="dxa"/>
              <w:bottom w:w="90" w:type="dxa"/>
              <w:end w:w="120" w:type="dxa"/>
            </w:tcMar>
            <w:vAlign w:val="center"/>
          </w:tcPr>
          <w:p>
            <w:pPr>
              <w:spacing w:after="40" w:line="252" w:lineRule="auto"/>
            </w:pPr>
            <w:r>
              <w:rPr>
                <w:sz w:val="17"/>
              </w:rPr>
              <w:t>protocolo de inutilização</w:t>
            </w:r>
          </w:p>
        </w:tc>
      </w:tr>
    </w:tbl>
    <w:p>
      <w:pPr>
        <w:spacing w:after="20"/>
        <w:widowControl/>
      </w:pPr>
    </w:p>
    <w:p>
      <w:pPr>
        <w:pStyle w:val="Heading1"/>
        <w:keepNext/>
        <w:widowControl/>
      </w:pPr>
      <w:r>
        <w:t>6. Lacunas identificadas no DeTecServer</w:t>
      </w:r>
    </w:p>
    <w:tbl>
      <w:tblPr>
        <w:tblStyle w:val="TableGrid"/>
        <w:tblW w:type="dxa" w:w="9360"/>
        <w:jc w:val="center"/>
        <w:tblLayout w:type="fixed"/>
        <w:tblLook w:firstColumn="1" w:firstRow="1" w:lastColumn="0" w:lastRow="0" w:noHBand="0" w:noVBand="1" w:val="04A0"/>
        <w:tblInd w:w="120" w:type="dxa"/>
      </w:tblPr>
      <w:tblGrid>
        <w:gridCol w:w="2500"/>
        <w:gridCol w:w="2800"/>
        <w:gridCol w:w="4060"/>
      </w:tblGrid>
      <w:tr>
        <w:trPr>
          <w:tblHeader w:val="true"/>
        </w:trPr>
        <w:tc>
          <w:tcPr>
            <w:tcW w:type="dxa" w:w="2500"/>
            <w:shd w:fill="E8EEF5"/>
            <w:tcMar>
              <w:top w:w="90" w:type="dxa"/>
              <w:start w:w="120" w:type="dxa"/>
              <w:bottom w:w="90" w:type="dxa"/>
              <w:end w:w="120" w:type="dxa"/>
            </w:tcMar>
            <w:vAlign w:val="center"/>
          </w:tcPr>
          <w:p>
            <w:r>
              <w:rPr>
                <w:b/>
                <w:color w:val="17365D"/>
                <w:sz w:val="17"/>
              </w:rPr>
              <w:t>Lacuna</w:t>
            </w:r>
          </w:p>
        </w:tc>
        <w:tc>
          <w:tcPr>
            <w:tcW w:type="dxa" w:w="2800"/>
            <w:shd w:fill="E8EEF5"/>
            <w:tcMar>
              <w:top w:w="90" w:type="dxa"/>
              <w:start w:w="120" w:type="dxa"/>
              <w:bottom w:w="90" w:type="dxa"/>
              <w:end w:w="120" w:type="dxa"/>
            </w:tcMar>
            <w:vAlign w:val="center"/>
          </w:tcPr>
          <w:p>
            <w:r>
              <w:rPr>
                <w:b/>
                <w:color w:val="17365D"/>
                <w:sz w:val="17"/>
              </w:rPr>
              <w:t>Impacto</w:t>
            </w:r>
          </w:p>
        </w:tc>
        <w:tc>
          <w:tcPr>
            <w:tcW w:type="dxa" w:w="4060"/>
            <w:shd w:fill="E8EEF5"/>
            <w:tcMar>
              <w:top w:w="90" w:type="dxa"/>
              <w:start w:w="120" w:type="dxa"/>
              <w:bottom w:w="90" w:type="dxa"/>
              <w:end w:w="120" w:type="dxa"/>
            </w:tcMar>
            <w:vAlign w:val="center"/>
          </w:tcPr>
          <w:p>
            <w:r>
              <w:rPr>
                <w:b/>
                <w:color w:val="17365D"/>
                <w:sz w:val="17"/>
              </w:rPr>
              <w:t>Ação</w:t>
            </w:r>
          </w:p>
        </w:tc>
      </w:tr>
      <w:tr>
        <w:tc>
          <w:tcPr>
            <w:tcW w:type="dxa" w:w="2500"/>
            <w:tcMar>
              <w:top w:w="90" w:type="dxa"/>
              <w:start w:w="120" w:type="dxa"/>
              <w:bottom w:w="90" w:type="dxa"/>
              <w:end w:w="120" w:type="dxa"/>
            </w:tcMar>
            <w:vAlign w:val="center"/>
          </w:tcPr>
          <w:p>
            <w:pPr>
              <w:spacing w:after="40" w:line="252" w:lineRule="auto"/>
            </w:pPr>
            <w:r>
              <w:rPr>
                <w:sz w:val="17"/>
              </w:rPr>
              <w:t>FISCAL_SEFAZ_ADAPTER vazio</w:t>
            </w:r>
          </w:p>
        </w:tc>
        <w:tc>
          <w:tcPr>
            <w:tcW w:type="dxa" w:w="2800"/>
            <w:tcMar>
              <w:top w:w="90" w:type="dxa"/>
              <w:start w:w="120" w:type="dxa"/>
              <w:bottom w:w="90" w:type="dxa"/>
              <w:end w:w="120" w:type="dxa"/>
            </w:tcMar>
            <w:vAlign w:val="center"/>
          </w:tcPr>
          <w:p>
            <w:pPr>
              <w:spacing w:after="40" w:line="252" w:lineRule="auto"/>
            </w:pPr>
            <w:r>
              <w:rPr>
                <w:sz w:val="17"/>
              </w:rPr>
              <w:t>Sem transmissão real</w:t>
            </w:r>
          </w:p>
        </w:tc>
        <w:tc>
          <w:tcPr>
            <w:tcW w:type="dxa" w:w="4060"/>
            <w:tcMar>
              <w:top w:w="90" w:type="dxa"/>
              <w:start w:w="120" w:type="dxa"/>
              <w:bottom w:w="90" w:type="dxa"/>
              <w:end w:w="120" w:type="dxa"/>
            </w:tcMar>
            <w:vAlign w:val="center"/>
          </w:tcPr>
          <w:p>
            <w:pPr>
              <w:spacing w:after="40" w:line="252" w:lineRule="auto"/>
            </w:pPr>
            <w:r>
              <w:rPr>
                <w:sz w:val="17"/>
              </w:rPr>
              <w:t>Criar integracoes_fiscais.sefaz_direta_go.Adapter</w:t>
            </w:r>
          </w:p>
        </w:tc>
      </w:tr>
      <w:tr>
        <w:tc>
          <w:tcPr>
            <w:tcW w:type="dxa" w:w="2500"/>
            <w:tcMar>
              <w:top w:w="90" w:type="dxa"/>
              <w:start w:w="120" w:type="dxa"/>
              <w:bottom w:w="90" w:type="dxa"/>
              <w:end w:w="120" w:type="dxa"/>
            </w:tcMar>
            <w:vAlign w:val="center"/>
          </w:tcPr>
          <w:p>
            <w:pPr>
              <w:spacing w:after="40" w:line="252" w:lineRule="auto"/>
            </w:pPr>
            <w:r>
              <w:rPr>
                <w:sz w:val="17"/>
              </w:rPr>
              <w:t>Sem cliente SOAP oficial</w:t>
            </w:r>
          </w:p>
        </w:tc>
        <w:tc>
          <w:tcPr>
            <w:tcW w:type="dxa" w:w="2800"/>
            <w:tcMar>
              <w:top w:w="90" w:type="dxa"/>
              <w:start w:w="120" w:type="dxa"/>
              <w:bottom w:w="90" w:type="dxa"/>
              <w:end w:w="120" w:type="dxa"/>
            </w:tcMar>
            <w:vAlign w:val="center"/>
          </w:tcPr>
          <w:p>
            <w:pPr>
              <w:spacing w:after="40" w:line="252" w:lineRule="auto"/>
            </w:pPr>
            <w:r>
              <w:rPr>
                <w:sz w:val="17"/>
              </w:rPr>
              <w:t>Contrato existe, transporte não</w:t>
            </w:r>
          </w:p>
        </w:tc>
        <w:tc>
          <w:tcPr>
            <w:tcW w:type="dxa" w:w="4060"/>
            <w:tcMar>
              <w:top w:w="90" w:type="dxa"/>
              <w:start w:w="120" w:type="dxa"/>
              <w:bottom w:w="90" w:type="dxa"/>
              <w:end w:w="120" w:type="dxa"/>
            </w:tcMar>
            <w:vAlign w:val="center"/>
          </w:tcPr>
          <w:p>
            <w:pPr>
              <w:spacing w:after="40" w:line="252" w:lineRule="auto"/>
            </w:pPr>
            <w:r>
              <w:rPr>
                <w:sz w:val="17"/>
              </w:rPr>
              <w:t>Implementar envelope, mTLS e parsers</w:t>
            </w:r>
          </w:p>
        </w:tc>
      </w:tr>
      <w:tr>
        <w:tc>
          <w:tcPr>
            <w:tcW w:type="dxa" w:w="2500"/>
            <w:tcMar>
              <w:top w:w="90" w:type="dxa"/>
              <w:start w:w="120" w:type="dxa"/>
              <w:bottom w:w="90" w:type="dxa"/>
              <w:end w:w="120" w:type="dxa"/>
            </w:tcMar>
            <w:vAlign w:val="center"/>
          </w:tcPr>
          <w:p>
            <w:pPr>
              <w:spacing w:after="40" w:line="252" w:lineRule="auto"/>
            </w:pPr>
            <w:r>
              <w:rPr>
                <w:sz w:val="17"/>
              </w:rPr>
              <w:t>Catálogo de endpoints embutido/parcial</w:t>
            </w:r>
          </w:p>
        </w:tc>
        <w:tc>
          <w:tcPr>
            <w:tcW w:type="dxa" w:w="2800"/>
            <w:tcMar>
              <w:top w:w="90" w:type="dxa"/>
              <w:start w:w="120" w:type="dxa"/>
              <w:bottom w:w="90" w:type="dxa"/>
              <w:end w:w="120" w:type="dxa"/>
            </w:tcMar>
            <w:vAlign w:val="center"/>
          </w:tcPr>
          <w:p>
            <w:pPr>
              <w:spacing w:after="40" w:line="252" w:lineRule="auto"/>
            </w:pPr>
            <w:r>
              <w:rPr>
                <w:sz w:val="17"/>
              </w:rPr>
              <w:t>Risco de URL obsoleta</w:t>
            </w:r>
          </w:p>
        </w:tc>
        <w:tc>
          <w:tcPr>
            <w:tcW w:type="dxa" w:w="4060"/>
            <w:tcMar>
              <w:top w:w="90" w:type="dxa"/>
              <w:start w:w="120" w:type="dxa"/>
              <w:bottom w:w="90" w:type="dxa"/>
              <w:end w:w="120" w:type="dxa"/>
            </w:tcMar>
            <w:vAlign w:val="center"/>
          </w:tcPr>
          <w:p>
            <w:pPr>
              <w:spacing w:after="40" w:line="252" w:lineRule="auto"/>
            </w:pPr>
            <w:r>
              <w:rPr>
                <w:sz w:val="17"/>
              </w:rPr>
              <w:t>Catálogo versionado, fonte e vigência</w:t>
            </w:r>
          </w:p>
        </w:tc>
      </w:tr>
      <w:tr>
        <w:tc>
          <w:tcPr>
            <w:tcW w:type="dxa" w:w="2500"/>
            <w:tcMar>
              <w:top w:w="90" w:type="dxa"/>
              <w:start w:w="120" w:type="dxa"/>
              <w:bottom w:w="90" w:type="dxa"/>
              <w:end w:w="120" w:type="dxa"/>
            </w:tcMar>
            <w:vAlign w:val="center"/>
          </w:tcPr>
          <w:p>
            <w:pPr>
              <w:spacing w:after="40" w:line="252" w:lineRule="auto"/>
            </w:pPr>
            <w:r>
              <w:rPr>
                <w:sz w:val="17"/>
              </w:rPr>
              <w:t>Schemas dependem de instalação externa</w:t>
            </w:r>
          </w:p>
        </w:tc>
        <w:tc>
          <w:tcPr>
            <w:tcW w:type="dxa" w:w="2800"/>
            <w:tcMar>
              <w:top w:w="90" w:type="dxa"/>
              <w:start w:w="120" w:type="dxa"/>
              <w:bottom w:w="90" w:type="dxa"/>
              <w:end w:w="120" w:type="dxa"/>
            </w:tcMar>
            <w:vAlign w:val="center"/>
          </w:tcPr>
          <w:p>
            <w:pPr>
              <w:spacing w:after="40" w:line="252" w:lineRule="auto"/>
            </w:pPr>
            <w:r>
              <w:rPr>
                <w:sz w:val="17"/>
              </w:rPr>
              <w:t>Pode validar versão errada</w:t>
            </w:r>
          </w:p>
        </w:tc>
        <w:tc>
          <w:tcPr>
            <w:tcW w:type="dxa" w:w="4060"/>
            <w:tcMar>
              <w:top w:w="90" w:type="dxa"/>
              <w:start w:w="120" w:type="dxa"/>
              <w:bottom w:w="90" w:type="dxa"/>
              <w:end w:w="120" w:type="dxa"/>
            </w:tcMar>
            <w:vAlign w:val="center"/>
          </w:tcPr>
          <w:p>
            <w:pPr>
              <w:spacing w:after="40" w:line="252" w:lineRule="auto"/>
            </w:pPr>
            <w:r>
              <w:rPr>
                <w:sz w:val="17"/>
              </w:rPr>
              <w:t>Pacote assinado/hash e atualização controlada</w:t>
            </w:r>
          </w:p>
        </w:tc>
      </w:tr>
      <w:tr>
        <w:tc>
          <w:tcPr>
            <w:tcW w:type="dxa" w:w="2500"/>
            <w:tcMar>
              <w:top w:w="90" w:type="dxa"/>
              <w:start w:w="120" w:type="dxa"/>
              <w:bottom w:w="90" w:type="dxa"/>
              <w:end w:w="120" w:type="dxa"/>
            </w:tcMar>
            <w:vAlign w:val="center"/>
          </w:tcPr>
          <w:p>
            <w:pPr>
              <w:spacing w:after="40" w:line="252" w:lineRule="auto"/>
            </w:pPr>
            <w:r>
              <w:rPr>
                <w:sz w:val="17"/>
              </w:rPr>
              <w:t>Homologação ainda simulável</w:t>
            </w:r>
          </w:p>
        </w:tc>
        <w:tc>
          <w:tcPr>
            <w:tcW w:type="dxa" w:w="2800"/>
            <w:tcMar>
              <w:top w:w="90" w:type="dxa"/>
              <w:start w:w="120" w:type="dxa"/>
              <w:bottom w:w="90" w:type="dxa"/>
              <w:end w:w="120" w:type="dxa"/>
            </w:tcMar>
            <w:vAlign w:val="center"/>
          </w:tcPr>
          <w:p>
            <w:pPr>
              <w:spacing w:after="40" w:line="252" w:lineRule="auto"/>
            </w:pPr>
            <w:r>
              <w:rPr>
                <w:sz w:val="17"/>
              </w:rPr>
              <w:t>Falso senso de prontidão</w:t>
            </w:r>
          </w:p>
        </w:tc>
        <w:tc>
          <w:tcPr>
            <w:tcW w:type="dxa" w:w="4060"/>
            <w:tcMar>
              <w:top w:w="90" w:type="dxa"/>
              <w:start w:w="120" w:type="dxa"/>
              <w:bottom w:w="90" w:type="dxa"/>
              <w:end w:w="120" w:type="dxa"/>
            </w:tcMar>
            <w:vAlign w:val="center"/>
          </w:tcPr>
          <w:p>
            <w:pPr>
              <w:spacing w:after="40" w:line="252" w:lineRule="auto"/>
            </w:pPr>
            <w:r>
              <w:rPr>
                <w:sz w:val="17"/>
              </w:rPr>
              <w:t>Separar simulação de evidência oficial</w:t>
            </w:r>
          </w:p>
        </w:tc>
      </w:tr>
      <w:tr>
        <w:tc>
          <w:tcPr>
            <w:tcW w:type="dxa" w:w="2500"/>
            <w:tcMar>
              <w:top w:w="90" w:type="dxa"/>
              <w:start w:w="120" w:type="dxa"/>
              <w:bottom w:w="90" w:type="dxa"/>
              <w:end w:w="120" w:type="dxa"/>
            </w:tcMar>
            <w:vAlign w:val="center"/>
          </w:tcPr>
          <w:p>
            <w:pPr>
              <w:spacing w:after="40" w:line="252" w:lineRule="auto"/>
            </w:pPr>
            <w:r>
              <w:rPr>
                <w:sz w:val="17"/>
              </w:rPr>
              <w:t>Sem teste de interoperabilidade</w:t>
            </w:r>
          </w:p>
        </w:tc>
        <w:tc>
          <w:tcPr>
            <w:tcW w:type="dxa" w:w="2800"/>
            <w:tcMar>
              <w:top w:w="90" w:type="dxa"/>
              <w:start w:w="120" w:type="dxa"/>
              <w:bottom w:w="90" w:type="dxa"/>
              <w:end w:w="120" w:type="dxa"/>
            </w:tcMar>
            <w:vAlign w:val="center"/>
          </w:tcPr>
          <w:p>
            <w:pPr>
              <w:spacing w:after="40" w:line="252" w:lineRule="auto"/>
            </w:pPr>
            <w:r>
              <w:rPr>
                <w:sz w:val="17"/>
              </w:rPr>
              <w:t>Falha só aparece em produção</w:t>
            </w:r>
          </w:p>
        </w:tc>
        <w:tc>
          <w:tcPr>
            <w:tcW w:type="dxa" w:w="4060"/>
            <w:tcMar>
              <w:top w:w="90" w:type="dxa"/>
              <w:start w:w="120" w:type="dxa"/>
              <w:bottom w:w="90" w:type="dxa"/>
              <w:end w:w="120" w:type="dxa"/>
            </w:tcMar>
            <w:vAlign w:val="center"/>
          </w:tcPr>
          <w:p>
            <w:pPr>
              <w:spacing w:after="40" w:line="252" w:lineRule="auto"/>
            </w:pPr>
            <w:r>
              <w:rPr>
                <w:sz w:val="17"/>
              </w:rPr>
              <w:t>Suite homologação GO com respostas reais</w:t>
            </w:r>
          </w:p>
        </w:tc>
      </w:tr>
      <w:tr>
        <w:tc>
          <w:tcPr>
            <w:tcW w:type="dxa" w:w="2500"/>
            <w:tcMar>
              <w:top w:w="90" w:type="dxa"/>
              <w:start w:w="120" w:type="dxa"/>
              <w:bottom w:w="90" w:type="dxa"/>
              <w:end w:w="120" w:type="dxa"/>
            </w:tcMar>
            <w:vAlign w:val="center"/>
          </w:tcPr>
          <w:p>
            <w:pPr>
              <w:spacing w:after="40" w:line="252" w:lineRule="auto"/>
            </w:pPr>
            <w:r>
              <w:rPr>
                <w:sz w:val="17"/>
              </w:rPr>
              <w:t>Campos IBS/CBS preparados</w:t>
            </w:r>
          </w:p>
        </w:tc>
        <w:tc>
          <w:tcPr>
            <w:tcW w:type="dxa" w:w="2800"/>
            <w:tcMar>
              <w:top w:w="90" w:type="dxa"/>
              <w:start w:w="120" w:type="dxa"/>
              <w:bottom w:w="90" w:type="dxa"/>
              <w:end w:w="120" w:type="dxa"/>
            </w:tcMar>
            <w:vAlign w:val="center"/>
          </w:tcPr>
          <w:p>
            <w:pPr>
              <w:spacing w:after="40" w:line="252" w:lineRule="auto"/>
            </w:pPr>
            <w:r>
              <w:rPr>
                <w:sz w:val="17"/>
              </w:rPr>
              <w:t>Mudanças continuam ocorrendo</w:t>
            </w:r>
          </w:p>
        </w:tc>
        <w:tc>
          <w:tcPr>
            <w:tcW w:type="dxa" w:w="4060"/>
            <w:tcMar>
              <w:top w:w="90" w:type="dxa"/>
              <w:start w:w="120" w:type="dxa"/>
              <w:bottom w:w="90" w:type="dxa"/>
              <w:end w:w="120" w:type="dxa"/>
            </w:tcMar>
            <w:vAlign w:val="center"/>
          </w:tcPr>
          <w:p>
            <w:pPr>
              <w:spacing w:after="40" w:line="252" w:lineRule="auto"/>
            </w:pPr>
            <w:r>
              <w:rPr>
                <w:sz w:val="17"/>
              </w:rPr>
              <w:t>Acompanhar NT/IT vigentes e tabelas</w:t>
            </w:r>
          </w:p>
        </w:tc>
      </w:tr>
    </w:tbl>
    <w:p>
      <w:pPr>
        <w:spacing w:after="20"/>
        <w:widowControl/>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EAF3EE"/>
            <w:tcMar>
              <w:top w:w="90" w:type="dxa"/>
              <w:start w:w="120" w:type="dxa"/>
              <w:bottom w:w="90" w:type="dxa"/>
              <w:end w:w="120" w:type="dxa"/>
            </w:tcMar>
            <w:vAlign w:val="center"/>
          </w:tcPr>
          <w:p>
            <w:r>
              <w:rPr>
                <w:b/>
                <w:color w:val="2F6B4F"/>
              </w:rPr>
              <w:t xml:space="preserve">Achado positivo: </w:t>
            </w:r>
            <w:r>
              <w:t>O sistema já modela certificado criptografado, série, contingência, inutilização, consulta, fila, idempotência, assinatura local, schemas e homologação. A implementação deve preservar essa base e preencher a lacuna do adaptador.</w:t>
            </w:r>
          </w:p>
        </w:tc>
      </w:tr>
    </w:tbl>
    <w:p>
      <w:pPr>
        <w:spacing w:after="20"/>
        <w:widowControl/>
      </w:pPr>
    </w:p>
    <w:p>
      <w:pPr>
        <w:pStyle w:val="Heading1"/>
        <w:keepNext/>
        <w:widowControl/>
      </w:pPr>
      <w:r>
        <w:t>7. Plano de implementação</w:t>
      </w:r>
    </w:p>
    <w:tbl>
      <w:tblPr>
        <w:tblStyle w:val="TableGrid"/>
        <w:tblW w:type="dxa" w:w="9360"/>
        <w:jc w:val="center"/>
        <w:tblLayout w:type="fixed"/>
        <w:tblLook w:firstColumn="1" w:firstRow="1" w:lastColumn="0" w:lastRow="0" w:noHBand="0" w:noVBand="1" w:val="04A0"/>
        <w:tblInd w:w="120" w:type="dxa"/>
      </w:tblPr>
      <w:tblGrid>
        <w:gridCol w:w="1500"/>
        <w:gridCol w:w="4200"/>
        <w:gridCol w:w="3660"/>
      </w:tblGrid>
      <w:tr>
        <w:trPr>
          <w:tblHeader w:val="true"/>
        </w:trPr>
        <w:tc>
          <w:tcPr>
            <w:tcW w:type="dxa" w:w="1500"/>
            <w:shd w:fill="E8EEF5"/>
            <w:tcMar>
              <w:top w:w="90" w:type="dxa"/>
              <w:start w:w="120" w:type="dxa"/>
              <w:bottom w:w="90" w:type="dxa"/>
              <w:end w:w="120" w:type="dxa"/>
            </w:tcMar>
            <w:vAlign w:val="center"/>
          </w:tcPr>
          <w:p>
            <w:r>
              <w:rPr>
                <w:b/>
                <w:color w:val="17365D"/>
                <w:sz w:val="17"/>
              </w:rPr>
              <w:t>Fase</w:t>
            </w:r>
          </w:p>
        </w:tc>
        <w:tc>
          <w:tcPr>
            <w:tcW w:type="dxa" w:w="4200"/>
            <w:shd w:fill="E8EEF5"/>
            <w:tcMar>
              <w:top w:w="90" w:type="dxa"/>
              <w:start w:w="120" w:type="dxa"/>
              <w:bottom w:w="90" w:type="dxa"/>
              <w:end w:w="120" w:type="dxa"/>
            </w:tcMar>
            <w:vAlign w:val="center"/>
          </w:tcPr>
          <w:p>
            <w:r>
              <w:rPr>
                <w:b/>
                <w:color w:val="17365D"/>
                <w:sz w:val="17"/>
              </w:rPr>
              <w:t>Entrega</w:t>
            </w:r>
          </w:p>
        </w:tc>
        <w:tc>
          <w:tcPr>
            <w:tcW w:type="dxa" w:w="3660"/>
            <w:shd w:fill="E8EEF5"/>
            <w:tcMar>
              <w:top w:w="90" w:type="dxa"/>
              <w:start w:w="120" w:type="dxa"/>
              <w:bottom w:w="90" w:type="dxa"/>
              <w:end w:w="120" w:type="dxa"/>
            </w:tcMar>
            <w:vAlign w:val="center"/>
          </w:tcPr>
          <w:p>
            <w:r>
              <w:rPr>
                <w:b/>
                <w:color w:val="17365D"/>
                <w:sz w:val="17"/>
              </w:rPr>
              <w:t>Critério de saída</w:t>
            </w:r>
          </w:p>
        </w:tc>
      </w:tr>
      <w:tr>
        <w:tc>
          <w:tcPr>
            <w:tcW w:type="dxa" w:w="1500"/>
            <w:tcMar>
              <w:top w:w="90" w:type="dxa"/>
              <w:start w:w="120" w:type="dxa"/>
              <w:bottom w:w="90" w:type="dxa"/>
              <w:end w:w="120" w:type="dxa"/>
            </w:tcMar>
            <w:vAlign w:val="center"/>
          </w:tcPr>
          <w:p>
            <w:pPr>
              <w:spacing w:after="40" w:line="252" w:lineRule="auto"/>
            </w:pPr>
            <w:r>
              <w:rPr>
                <w:sz w:val="17"/>
              </w:rPr>
              <w:t>0 — Governança</w:t>
            </w:r>
          </w:p>
        </w:tc>
        <w:tc>
          <w:tcPr>
            <w:tcW w:type="dxa" w:w="4200"/>
            <w:tcMar>
              <w:top w:w="90" w:type="dxa"/>
              <w:start w:w="120" w:type="dxa"/>
              <w:bottom w:w="90" w:type="dxa"/>
              <w:end w:w="120" w:type="dxa"/>
            </w:tcMar>
            <w:vAlign w:val="center"/>
          </w:tcPr>
          <w:p>
            <w:pPr>
              <w:spacing w:after="40" w:line="252" w:lineRule="auto"/>
            </w:pPr>
            <w:r>
              <w:rPr>
                <w:sz w:val="17"/>
              </w:rPr>
              <w:t>Responsáveis, contador, credenciamento e matriz de ambientes</w:t>
            </w:r>
          </w:p>
        </w:tc>
        <w:tc>
          <w:tcPr>
            <w:tcW w:type="dxa" w:w="3660"/>
            <w:tcMar>
              <w:top w:w="90" w:type="dxa"/>
              <w:start w:w="120" w:type="dxa"/>
              <w:bottom w:w="90" w:type="dxa"/>
              <w:end w:w="120" w:type="dxa"/>
            </w:tcMar>
            <w:vAlign w:val="center"/>
          </w:tcPr>
          <w:p>
            <w:pPr>
              <w:spacing w:after="40" w:line="252" w:lineRule="auto"/>
            </w:pPr>
            <w:r>
              <w:rPr>
                <w:sz w:val="17"/>
              </w:rPr>
              <w:t>Dono técnico e fiscal definidos</w:t>
            </w:r>
          </w:p>
        </w:tc>
      </w:tr>
      <w:tr>
        <w:tc>
          <w:tcPr>
            <w:tcW w:type="dxa" w:w="1500"/>
            <w:tcMar>
              <w:top w:w="90" w:type="dxa"/>
              <w:start w:w="120" w:type="dxa"/>
              <w:bottom w:w="90" w:type="dxa"/>
              <w:end w:w="120" w:type="dxa"/>
            </w:tcMar>
            <w:vAlign w:val="center"/>
          </w:tcPr>
          <w:p>
            <w:pPr>
              <w:spacing w:after="40" w:line="252" w:lineRule="auto"/>
            </w:pPr>
            <w:r>
              <w:rPr>
                <w:sz w:val="17"/>
              </w:rPr>
              <w:t>1 — Catálogo</w:t>
            </w:r>
          </w:p>
        </w:tc>
        <w:tc>
          <w:tcPr>
            <w:tcW w:type="dxa" w:w="4200"/>
            <w:tcMar>
              <w:top w:w="90" w:type="dxa"/>
              <w:start w:w="120" w:type="dxa"/>
              <w:bottom w:w="90" w:type="dxa"/>
              <w:end w:w="120" w:type="dxa"/>
            </w:tcMar>
            <w:vAlign w:val="center"/>
          </w:tcPr>
          <w:p>
            <w:pPr>
              <w:spacing w:after="40" w:line="252" w:lineRule="auto"/>
            </w:pPr>
            <w:r>
              <w:rPr>
                <w:sz w:val="17"/>
              </w:rPr>
              <w:t>Serviços GO produção/homologação, QR Code e SVC</w:t>
            </w:r>
          </w:p>
        </w:tc>
        <w:tc>
          <w:tcPr>
            <w:tcW w:type="dxa" w:w="3660"/>
            <w:tcMar>
              <w:top w:w="90" w:type="dxa"/>
              <w:start w:w="120" w:type="dxa"/>
              <w:bottom w:w="90" w:type="dxa"/>
              <w:end w:w="120" w:type="dxa"/>
            </w:tcMar>
            <w:vAlign w:val="center"/>
          </w:tcPr>
          <w:p>
            <w:pPr>
              <w:spacing w:after="40" w:line="252" w:lineRule="auto"/>
            </w:pPr>
            <w:r>
              <w:rPr>
                <w:sz w:val="17"/>
              </w:rPr>
              <w:t>Testes com fontes oficiais</w:t>
            </w:r>
          </w:p>
        </w:tc>
      </w:tr>
      <w:tr>
        <w:tc>
          <w:tcPr>
            <w:tcW w:type="dxa" w:w="1500"/>
            <w:tcMar>
              <w:top w:w="90" w:type="dxa"/>
              <w:start w:w="120" w:type="dxa"/>
              <w:bottom w:w="90" w:type="dxa"/>
              <w:end w:w="120" w:type="dxa"/>
            </w:tcMar>
            <w:vAlign w:val="center"/>
          </w:tcPr>
          <w:p>
            <w:pPr>
              <w:spacing w:after="40" w:line="252" w:lineRule="auto"/>
            </w:pPr>
            <w:r>
              <w:rPr>
                <w:sz w:val="17"/>
              </w:rPr>
              <w:t>2 — Transporte</w:t>
            </w:r>
          </w:p>
        </w:tc>
        <w:tc>
          <w:tcPr>
            <w:tcW w:type="dxa" w:w="4200"/>
            <w:tcMar>
              <w:top w:w="90" w:type="dxa"/>
              <w:start w:w="120" w:type="dxa"/>
              <w:bottom w:w="90" w:type="dxa"/>
              <w:end w:w="120" w:type="dxa"/>
            </w:tcMar>
            <w:vAlign w:val="center"/>
          </w:tcPr>
          <w:p>
            <w:pPr>
              <w:spacing w:after="40" w:line="252" w:lineRule="auto"/>
            </w:pPr>
            <w:r>
              <w:rPr>
                <w:sz w:val="17"/>
              </w:rPr>
              <w:t>SOAP 1.2, mTLS, status e parser comum</w:t>
            </w:r>
          </w:p>
        </w:tc>
        <w:tc>
          <w:tcPr>
            <w:tcW w:type="dxa" w:w="3660"/>
            <w:tcMar>
              <w:top w:w="90" w:type="dxa"/>
              <w:start w:w="120" w:type="dxa"/>
              <w:bottom w:w="90" w:type="dxa"/>
              <w:end w:w="120" w:type="dxa"/>
            </w:tcMar>
            <w:vAlign w:val="center"/>
          </w:tcPr>
          <w:p>
            <w:pPr>
              <w:spacing w:after="40" w:line="252" w:lineRule="auto"/>
            </w:pPr>
            <w:r>
              <w:rPr>
                <w:sz w:val="17"/>
              </w:rPr>
              <w:t>Status Serviço homologação responde</w:t>
            </w:r>
          </w:p>
        </w:tc>
      </w:tr>
      <w:tr>
        <w:tc>
          <w:tcPr>
            <w:tcW w:type="dxa" w:w="1500"/>
            <w:tcMar>
              <w:top w:w="90" w:type="dxa"/>
              <w:start w:w="120" w:type="dxa"/>
              <w:bottom w:w="90" w:type="dxa"/>
              <w:end w:w="120" w:type="dxa"/>
            </w:tcMar>
            <w:vAlign w:val="center"/>
          </w:tcPr>
          <w:p>
            <w:pPr>
              <w:spacing w:after="40" w:line="252" w:lineRule="auto"/>
            </w:pPr>
            <w:r>
              <w:rPr>
                <w:sz w:val="17"/>
              </w:rPr>
              <w:t>3 — Autorização</w:t>
            </w:r>
          </w:p>
        </w:tc>
        <w:tc>
          <w:tcPr>
            <w:tcW w:type="dxa" w:w="4200"/>
            <w:tcMar>
              <w:top w:w="90" w:type="dxa"/>
              <w:start w:w="120" w:type="dxa"/>
              <w:bottom w:w="90" w:type="dxa"/>
              <w:end w:w="120" w:type="dxa"/>
            </w:tcMar>
            <w:vAlign w:val="center"/>
          </w:tcPr>
          <w:p>
            <w:pPr>
              <w:spacing w:after="40" w:line="252" w:lineRule="auto"/>
            </w:pPr>
            <w:r>
              <w:rPr>
                <w:sz w:val="17"/>
              </w:rPr>
              <w:t>NF-e/NFC-e, consulta pós-timeout</w:t>
            </w:r>
          </w:p>
        </w:tc>
        <w:tc>
          <w:tcPr>
            <w:tcW w:type="dxa" w:w="3660"/>
            <w:tcMar>
              <w:top w:w="90" w:type="dxa"/>
              <w:start w:w="120" w:type="dxa"/>
              <w:bottom w:w="90" w:type="dxa"/>
              <w:end w:w="120" w:type="dxa"/>
            </w:tcMar>
            <w:vAlign w:val="center"/>
          </w:tcPr>
          <w:p>
            <w:pPr>
              <w:spacing w:after="40" w:line="252" w:lineRule="auto"/>
            </w:pPr>
            <w:r>
              <w:rPr>
                <w:sz w:val="17"/>
              </w:rPr>
              <w:t>Documento homologado e XML processado</w:t>
            </w:r>
          </w:p>
        </w:tc>
      </w:tr>
      <w:tr>
        <w:tc>
          <w:tcPr>
            <w:tcW w:type="dxa" w:w="1500"/>
            <w:tcMar>
              <w:top w:w="90" w:type="dxa"/>
              <w:start w:w="120" w:type="dxa"/>
              <w:bottom w:w="90" w:type="dxa"/>
              <w:end w:w="120" w:type="dxa"/>
            </w:tcMar>
            <w:vAlign w:val="center"/>
          </w:tcPr>
          <w:p>
            <w:pPr>
              <w:spacing w:after="40" w:line="252" w:lineRule="auto"/>
            </w:pPr>
            <w:r>
              <w:rPr>
                <w:sz w:val="17"/>
              </w:rPr>
              <w:t>4 — Eventos</w:t>
            </w:r>
          </w:p>
        </w:tc>
        <w:tc>
          <w:tcPr>
            <w:tcW w:type="dxa" w:w="4200"/>
            <w:tcMar>
              <w:top w:w="90" w:type="dxa"/>
              <w:start w:w="120" w:type="dxa"/>
              <w:bottom w:w="90" w:type="dxa"/>
              <w:end w:w="120" w:type="dxa"/>
            </w:tcMar>
            <w:vAlign w:val="center"/>
          </w:tcPr>
          <w:p>
            <w:pPr>
              <w:spacing w:after="40" w:line="252" w:lineRule="auto"/>
            </w:pPr>
            <w:r>
              <w:rPr>
                <w:sz w:val="17"/>
              </w:rPr>
              <w:t>Cancelamento, inutilização e consulta</w:t>
            </w:r>
          </w:p>
        </w:tc>
        <w:tc>
          <w:tcPr>
            <w:tcW w:type="dxa" w:w="3660"/>
            <w:tcMar>
              <w:top w:w="90" w:type="dxa"/>
              <w:start w:w="120" w:type="dxa"/>
              <w:bottom w:w="90" w:type="dxa"/>
              <w:end w:w="120" w:type="dxa"/>
            </w:tcMar>
            <w:vAlign w:val="center"/>
          </w:tcPr>
          <w:p>
            <w:pPr>
              <w:spacing w:after="40" w:line="252" w:lineRule="auto"/>
            </w:pPr>
            <w:r>
              <w:rPr>
                <w:sz w:val="17"/>
              </w:rPr>
              <w:t>Protocolos persistidos e auditáveis</w:t>
            </w:r>
          </w:p>
        </w:tc>
      </w:tr>
      <w:tr>
        <w:tc>
          <w:tcPr>
            <w:tcW w:type="dxa" w:w="1500"/>
            <w:tcMar>
              <w:top w:w="90" w:type="dxa"/>
              <w:start w:w="120" w:type="dxa"/>
              <w:bottom w:w="90" w:type="dxa"/>
              <w:end w:w="120" w:type="dxa"/>
            </w:tcMar>
            <w:vAlign w:val="center"/>
          </w:tcPr>
          <w:p>
            <w:pPr>
              <w:spacing w:after="40" w:line="252" w:lineRule="auto"/>
            </w:pPr>
            <w:r>
              <w:rPr>
                <w:sz w:val="17"/>
              </w:rPr>
              <w:t>5 — Contingência</w:t>
            </w:r>
          </w:p>
        </w:tc>
        <w:tc>
          <w:tcPr>
            <w:tcW w:type="dxa" w:w="4200"/>
            <w:tcMar>
              <w:top w:w="90" w:type="dxa"/>
              <w:start w:w="120" w:type="dxa"/>
              <w:bottom w:w="90" w:type="dxa"/>
              <w:end w:w="120" w:type="dxa"/>
            </w:tcMar>
            <w:vAlign w:val="center"/>
          </w:tcPr>
          <w:p>
            <w:pPr>
              <w:spacing w:after="40" w:line="252" w:lineRule="auto"/>
            </w:pPr>
            <w:r>
              <w:rPr>
                <w:sz w:val="17"/>
              </w:rPr>
              <w:t>NFC-e offline e NF-e SVC controlada</w:t>
            </w:r>
          </w:p>
        </w:tc>
        <w:tc>
          <w:tcPr>
            <w:tcW w:type="dxa" w:w="3660"/>
            <w:tcMar>
              <w:top w:w="90" w:type="dxa"/>
              <w:start w:w="120" w:type="dxa"/>
              <w:bottom w:w="90" w:type="dxa"/>
              <w:end w:w="120" w:type="dxa"/>
            </w:tcMar>
            <w:vAlign w:val="center"/>
          </w:tcPr>
          <w:p>
            <w:pPr>
              <w:spacing w:after="40" w:line="252" w:lineRule="auto"/>
            </w:pPr>
            <w:r>
              <w:rPr>
                <w:sz w:val="17"/>
              </w:rPr>
              <w:t>Cenários e prazos aprovados</w:t>
            </w:r>
          </w:p>
        </w:tc>
      </w:tr>
      <w:tr>
        <w:tc>
          <w:tcPr>
            <w:tcW w:type="dxa" w:w="1500"/>
            <w:tcMar>
              <w:top w:w="90" w:type="dxa"/>
              <w:start w:w="120" w:type="dxa"/>
              <w:bottom w:w="90" w:type="dxa"/>
              <w:end w:w="120" w:type="dxa"/>
            </w:tcMar>
            <w:vAlign w:val="center"/>
          </w:tcPr>
          <w:p>
            <w:pPr>
              <w:spacing w:after="40" w:line="252" w:lineRule="auto"/>
            </w:pPr>
            <w:r>
              <w:rPr>
                <w:sz w:val="17"/>
              </w:rPr>
              <w:t>6 — Operação</w:t>
            </w:r>
          </w:p>
        </w:tc>
        <w:tc>
          <w:tcPr>
            <w:tcW w:type="dxa" w:w="4200"/>
            <w:tcMar>
              <w:top w:w="90" w:type="dxa"/>
              <w:start w:w="120" w:type="dxa"/>
              <w:bottom w:w="90" w:type="dxa"/>
              <w:end w:w="120" w:type="dxa"/>
            </w:tcMar>
            <w:vAlign w:val="center"/>
          </w:tcPr>
          <w:p>
            <w:pPr>
              <w:spacing w:after="40" w:line="252" w:lineRule="auto"/>
            </w:pPr>
            <w:r>
              <w:rPr>
                <w:sz w:val="17"/>
              </w:rPr>
              <w:t>Painel, alertas, runbook, backup e retenção</w:t>
            </w:r>
          </w:p>
        </w:tc>
        <w:tc>
          <w:tcPr>
            <w:tcW w:type="dxa" w:w="3660"/>
            <w:tcMar>
              <w:top w:w="90" w:type="dxa"/>
              <w:start w:w="120" w:type="dxa"/>
              <w:bottom w:w="90" w:type="dxa"/>
              <w:end w:w="120" w:type="dxa"/>
            </w:tcMar>
            <w:vAlign w:val="center"/>
          </w:tcPr>
          <w:p>
            <w:pPr>
              <w:spacing w:after="40" w:line="252" w:lineRule="auto"/>
            </w:pPr>
            <w:r>
              <w:rPr>
                <w:sz w:val="17"/>
              </w:rPr>
              <w:t>Teste de recuperação aprovado</w:t>
            </w:r>
          </w:p>
        </w:tc>
      </w:tr>
      <w:tr>
        <w:tc>
          <w:tcPr>
            <w:tcW w:type="dxa" w:w="1500"/>
            <w:tcMar>
              <w:top w:w="90" w:type="dxa"/>
              <w:start w:w="120" w:type="dxa"/>
              <w:bottom w:w="90" w:type="dxa"/>
              <w:end w:w="120" w:type="dxa"/>
            </w:tcMar>
            <w:vAlign w:val="center"/>
          </w:tcPr>
          <w:p>
            <w:pPr>
              <w:spacing w:after="40" w:line="252" w:lineRule="auto"/>
            </w:pPr>
            <w:r>
              <w:rPr>
                <w:sz w:val="17"/>
              </w:rPr>
              <w:t>7 — Produção</w:t>
            </w:r>
          </w:p>
        </w:tc>
        <w:tc>
          <w:tcPr>
            <w:tcW w:type="dxa" w:w="4200"/>
            <w:tcMar>
              <w:top w:w="90" w:type="dxa"/>
              <w:start w:w="120" w:type="dxa"/>
              <w:bottom w:w="90" w:type="dxa"/>
              <w:end w:w="120" w:type="dxa"/>
            </w:tcMar>
            <w:vAlign w:val="center"/>
          </w:tcPr>
          <w:p>
            <w:pPr>
              <w:spacing w:after="40" w:line="252" w:lineRule="auto"/>
            </w:pPr>
            <w:r>
              <w:rPr>
                <w:sz w:val="17"/>
              </w:rPr>
              <w:t>Feature flag por filial</w:t>
            </w:r>
          </w:p>
        </w:tc>
        <w:tc>
          <w:tcPr>
            <w:tcW w:type="dxa" w:w="3660"/>
            <w:tcMar>
              <w:top w:w="90" w:type="dxa"/>
              <w:start w:w="120" w:type="dxa"/>
              <w:bottom w:w="90" w:type="dxa"/>
              <w:end w:w="120" w:type="dxa"/>
            </w:tcMar>
            <w:vAlign w:val="center"/>
          </w:tcPr>
          <w:p>
            <w:pPr>
              <w:spacing w:after="40" w:line="252" w:lineRule="auto"/>
            </w:pPr>
            <w:r>
              <w:rPr>
                <w:sz w:val="17"/>
              </w:rPr>
              <w:t>Go/no-go formal e emissão assistida</w:t>
            </w:r>
          </w:p>
        </w:tc>
      </w:tr>
    </w:tbl>
    <w:p>
      <w:pPr>
        <w:spacing w:after="20"/>
        <w:widowControl/>
      </w:pPr>
    </w:p>
    <w:p>
      <w:pPr>
        <w:pStyle w:val="Heading2"/>
        <w:keepNext/>
        <w:widowControl/>
      </w:pPr>
      <w:r>
        <w:t>7.1 Ordem recomendada de entrega</w:t>
      </w:r>
    </w:p>
    <w:p>
      <w:pPr>
        <w:pStyle w:val="ListNumber"/>
        <w:widowControl/>
      </w:pPr>
      <w:r>
        <w:t>NFC-e Goiás em homologação: status, autorização síncrona, QR Code e consulta.</w:t>
      </w:r>
    </w:p>
    <w:p>
      <w:pPr>
        <w:pStyle w:val="ListNumber"/>
        <w:widowControl/>
      </w:pPr>
      <w:r>
        <w:t>Recuperação de timeout e fila automática.</w:t>
      </w:r>
    </w:p>
    <w:p>
      <w:pPr>
        <w:pStyle w:val="ListNumber"/>
        <w:widowControl/>
      </w:pPr>
      <w:r>
        <w:t>Cancelamento e inutilização.</w:t>
      </w:r>
    </w:p>
    <w:p>
      <w:pPr>
        <w:pStyle w:val="ListNumber"/>
        <w:widowControl/>
      </w:pPr>
      <w:r>
        <w:t>Contingência offline NFC-e com transmissão posterior.</w:t>
      </w:r>
    </w:p>
    <w:p>
      <w:pPr>
        <w:pStyle w:val="ListNumber"/>
        <w:widowControl/>
      </w:pPr>
      <w:r>
        <w:t>NF-e modelo 55 e retorno de lote quando aplicável.</w:t>
      </w:r>
    </w:p>
    <w:p>
      <w:pPr>
        <w:pStyle w:val="ListNumber"/>
        <w:widowControl/>
      </w:pPr>
      <w:r>
        <w:t>SVC-RS e distribuição DF-e como evolução controlada.</w:t>
      </w:r>
    </w:p>
    <w:p>
      <w:pPr>
        <w:pStyle w:val="Heading1"/>
        <w:keepNext/>
        <w:widowControl/>
      </w:pPr>
      <w:r>
        <w:t>8. Plano de testes e homologação</w:t>
      </w:r>
    </w:p>
    <w:p>
      <w:pPr>
        <w:pStyle w:val="Heading2"/>
        <w:keepNext/>
        <w:widowControl/>
      </w:pPr>
      <w:r>
        <w:t>8.1 Testes automatizados</w:t>
      </w:r>
    </w:p>
    <w:p>
      <w:pPr>
        <w:pStyle w:val="ListBullet"/>
        <w:widowControl/>
      </w:pPr>
      <w:r>
        <w:t>Assinatura XML: digest, canonicalização, referência Id e certificado correto.</w:t>
      </w:r>
    </w:p>
    <w:p>
      <w:pPr>
        <w:pStyle w:val="ListBullet"/>
        <w:widowControl/>
      </w:pPr>
      <w:r>
        <w:t>Validação XSD por versão; XML inválido nunca chega ao transporte.</w:t>
      </w:r>
    </w:p>
    <w:p>
      <w:pPr>
        <w:pStyle w:val="ListBullet"/>
        <w:widowControl/>
      </w:pPr>
      <w:r>
        <w:t>Parsing de cStat conhecidos, rejeições, falhas SOAP e XML inesperado.</w:t>
      </w:r>
    </w:p>
    <w:p>
      <w:pPr>
        <w:pStyle w:val="ListBullet"/>
        <w:widowControl/>
      </w:pPr>
      <w:r>
        <w:t>Idempotência: duas solicitações não geram duas autorizações.</w:t>
      </w:r>
    </w:p>
    <w:p>
      <w:pPr>
        <w:pStyle w:val="ListBullet"/>
        <w:widowControl/>
      </w:pPr>
      <w:r>
        <w:t>Timeout após envio: transição para consulta, sem reenvio cego.</w:t>
      </w:r>
    </w:p>
    <w:p>
      <w:pPr>
        <w:pStyle w:val="ListBullet"/>
        <w:widowControl/>
      </w:pPr>
      <w:r>
        <w:t>Catálogo: todos os serviços têm produção/homologação e fonte vigente.</w:t>
      </w:r>
    </w:p>
    <w:p>
      <w:pPr>
        <w:pStyle w:val="ListBullet"/>
        <w:widowControl/>
      </w:pPr>
      <w:r>
        <w:t>QR Code GO: URL, CSC, hash e rejeição 395 coberta por regressão.</w:t>
      </w:r>
    </w:p>
    <w:p>
      <w:pPr>
        <w:pStyle w:val="ListBullet"/>
        <w:widowControl/>
      </w:pPr>
      <w:r>
        <w:t>Segurança: segredo não aparece em logs, exceções ou backups comuns.</w:t>
      </w:r>
    </w:p>
    <w:p>
      <w:pPr>
        <w:pStyle w:val="Heading2"/>
        <w:keepNext/>
        <w:widowControl/>
      </w:pPr>
      <w:r>
        <w:t>8.2 Cenários oficiais em homologação</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trPr>
        <w:tc>
          <w:tcPr>
            <w:tcW w:type="dxa" w:w="3300"/>
            <w:shd w:fill="E8EEF5"/>
            <w:tcMar>
              <w:top w:w="90" w:type="dxa"/>
              <w:start w:w="120" w:type="dxa"/>
              <w:bottom w:w="90" w:type="dxa"/>
              <w:end w:w="120" w:type="dxa"/>
            </w:tcMar>
            <w:vAlign w:val="center"/>
          </w:tcPr>
          <w:p>
            <w:r>
              <w:rPr>
                <w:b/>
                <w:color w:val="17365D"/>
                <w:sz w:val="17"/>
              </w:rPr>
              <w:t>Cenário</w:t>
            </w:r>
          </w:p>
        </w:tc>
        <w:tc>
          <w:tcPr>
            <w:tcW w:type="dxa" w:w="6060"/>
            <w:shd w:fill="E8EEF5"/>
            <w:tcMar>
              <w:top w:w="90" w:type="dxa"/>
              <w:start w:w="120" w:type="dxa"/>
              <w:bottom w:w="90" w:type="dxa"/>
              <w:end w:w="120" w:type="dxa"/>
            </w:tcMar>
            <w:vAlign w:val="center"/>
          </w:tcPr>
          <w:p>
            <w:r>
              <w:rPr>
                <w:b/>
                <w:color w:val="17365D"/>
                <w:sz w:val="17"/>
              </w:rPr>
              <w:t>Resultado esperado</w:t>
            </w:r>
          </w:p>
        </w:tc>
      </w:tr>
      <w:tr>
        <w:tc>
          <w:tcPr>
            <w:tcW w:type="dxa" w:w="3300"/>
            <w:tcMar>
              <w:top w:w="90" w:type="dxa"/>
              <w:start w:w="120" w:type="dxa"/>
              <w:bottom w:w="90" w:type="dxa"/>
              <w:end w:w="120" w:type="dxa"/>
            </w:tcMar>
            <w:vAlign w:val="center"/>
          </w:tcPr>
          <w:p>
            <w:pPr>
              <w:spacing w:after="40" w:line="252" w:lineRule="auto"/>
            </w:pPr>
            <w:r>
              <w:rPr>
                <w:sz w:val="17"/>
              </w:rPr>
              <w:t>Status do serviço</w:t>
            </w:r>
          </w:p>
        </w:tc>
        <w:tc>
          <w:tcPr>
            <w:tcW w:type="dxa" w:w="6060"/>
            <w:tcMar>
              <w:top w:w="90" w:type="dxa"/>
              <w:start w:w="120" w:type="dxa"/>
              <w:bottom w:w="90" w:type="dxa"/>
              <w:end w:w="120" w:type="dxa"/>
            </w:tcMar>
            <w:vAlign w:val="center"/>
          </w:tcPr>
          <w:p>
            <w:pPr>
              <w:spacing w:after="40" w:line="252" w:lineRule="auto"/>
            </w:pPr>
            <w:r>
              <w:rPr>
                <w:sz w:val="17"/>
              </w:rPr>
              <w:t>cStat de serviço em operação ou indisponibilidade tratada</w:t>
            </w:r>
          </w:p>
        </w:tc>
      </w:tr>
      <w:tr>
        <w:tc>
          <w:tcPr>
            <w:tcW w:type="dxa" w:w="3300"/>
            <w:tcMar>
              <w:top w:w="90" w:type="dxa"/>
              <w:start w:w="120" w:type="dxa"/>
              <w:bottom w:w="90" w:type="dxa"/>
              <w:end w:w="120" w:type="dxa"/>
            </w:tcMar>
            <w:vAlign w:val="center"/>
          </w:tcPr>
          <w:p>
            <w:pPr>
              <w:spacing w:after="40" w:line="252" w:lineRule="auto"/>
            </w:pPr>
            <w:r>
              <w:rPr>
                <w:sz w:val="17"/>
              </w:rPr>
              <w:t>NFC-e válida</w:t>
            </w:r>
          </w:p>
        </w:tc>
        <w:tc>
          <w:tcPr>
            <w:tcW w:type="dxa" w:w="6060"/>
            <w:tcMar>
              <w:top w:w="90" w:type="dxa"/>
              <w:start w:w="120" w:type="dxa"/>
              <w:bottom w:w="90" w:type="dxa"/>
              <w:end w:w="120" w:type="dxa"/>
            </w:tcMar>
            <w:vAlign w:val="center"/>
          </w:tcPr>
          <w:p>
            <w:pPr>
              <w:spacing w:after="40" w:line="252" w:lineRule="auto"/>
            </w:pPr>
            <w:r>
              <w:rPr>
                <w:sz w:val="17"/>
              </w:rPr>
              <w:t>Autorização, protocolo, XML processado e DANFE correto</w:t>
            </w:r>
          </w:p>
        </w:tc>
      </w:tr>
      <w:tr>
        <w:tc>
          <w:tcPr>
            <w:tcW w:type="dxa" w:w="3300"/>
            <w:tcMar>
              <w:top w:w="90" w:type="dxa"/>
              <w:start w:w="120" w:type="dxa"/>
              <w:bottom w:w="90" w:type="dxa"/>
              <w:end w:w="120" w:type="dxa"/>
            </w:tcMar>
            <w:vAlign w:val="center"/>
          </w:tcPr>
          <w:p>
            <w:pPr>
              <w:spacing w:after="40" w:line="252" w:lineRule="auto"/>
            </w:pPr>
            <w:r>
              <w:rPr>
                <w:sz w:val="17"/>
              </w:rPr>
              <w:t>NFC-e rejeitada</w:t>
            </w:r>
          </w:p>
        </w:tc>
        <w:tc>
          <w:tcPr>
            <w:tcW w:type="dxa" w:w="6060"/>
            <w:tcMar>
              <w:top w:w="90" w:type="dxa"/>
              <w:start w:w="120" w:type="dxa"/>
              <w:bottom w:w="90" w:type="dxa"/>
              <w:end w:w="120" w:type="dxa"/>
            </w:tcMar>
            <w:vAlign w:val="center"/>
          </w:tcPr>
          <w:p>
            <w:pPr>
              <w:spacing w:after="40" w:line="252" w:lineRule="auto"/>
            </w:pPr>
            <w:r>
              <w:rPr>
                <w:sz w:val="17"/>
              </w:rPr>
              <w:t>cStat/xMotivo exibidos sem marcar como autorizada</w:t>
            </w:r>
          </w:p>
        </w:tc>
      </w:tr>
      <w:tr>
        <w:tc>
          <w:tcPr>
            <w:tcW w:type="dxa" w:w="3300"/>
            <w:tcMar>
              <w:top w:w="90" w:type="dxa"/>
              <w:start w:w="120" w:type="dxa"/>
              <w:bottom w:w="90" w:type="dxa"/>
              <w:end w:w="120" w:type="dxa"/>
            </w:tcMar>
            <w:vAlign w:val="center"/>
          </w:tcPr>
          <w:p>
            <w:pPr>
              <w:spacing w:after="40" w:line="252" w:lineRule="auto"/>
            </w:pPr>
            <w:r>
              <w:rPr>
                <w:sz w:val="17"/>
              </w:rPr>
              <w:t>Consulta por chave</w:t>
            </w:r>
          </w:p>
        </w:tc>
        <w:tc>
          <w:tcPr>
            <w:tcW w:type="dxa" w:w="6060"/>
            <w:tcMar>
              <w:top w:w="90" w:type="dxa"/>
              <w:start w:w="120" w:type="dxa"/>
              <w:bottom w:w="90" w:type="dxa"/>
              <w:end w:w="120" w:type="dxa"/>
            </w:tcMar>
            <w:vAlign w:val="center"/>
          </w:tcPr>
          <w:p>
            <w:pPr>
              <w:spacing w:after="40" w:line="252" w:lineRule="auto"/>
            </w:pPr>
            <w:r>
              <w:rPr>
                <w:sz w:val="17"/>
              </w:rPr>
              <w:t>Reconciliação do estado local com a SEFAZ</w:t>
            </w:r>
          </w:p>
        </w:tc>
      </w:tr>
      <w:tr>
        <w:tc>
          <w:tcPr>
            <w:tcW w:type="dxa" w:w="3300"/>
            <w:tcMar>
              <w:top w:w="90" w:type="dxa"/>
              <w:start w:w="120" w:type="dxa"/>
              <w:bottom w:w="90" w:type="dxa"/>
              <w:end w:w="120" w:type="dxa"/>
            </w:tcMar>
            <w:vAlign w:val="center"/>
          </w:tcPr>
          <w:p>
            <w:pPr>
              <w:spacing w:after="40" w:line="252" w:lineRule="auto"/>
            </w:pPr>
            <w:r>
              <w:rPr>
                <w:sz w:val="17"/>
              </w:rPr>
              <w:t>Cancelamento</w:t>
            </w:r>
          </w:p>
        </w:tc>
        <w:tc>
          <w:tcPr>
            <w:tcW w:type="dxa" w:w="6060"/>
            <w:tcMar>
              <w:top w:w="90" w:type="dxa"/>
              <w:start w:w="120" w:type="dxa"/>
              <w:bottom w:w="90" w:type="dxa"/>
              <w:end w:w="120" w:type="dxa"/>
            </w:tcMar>
            <w:vAlign w:val="center"/>
          </w:tcPr>
          <w:p>
            <w:pPr>
              <w:spacing w:after="40" w:line="252" w:lineRule="auto"/>
            </w:pPr>
            <w:r>
              <w:rPr>
                <w:sz w:val="17"/>
              </w:rPr>
              <w:t>Evento assinado, protocolo e estado CANCELADO</w:t>
            </w:r>
          </w:p>
        </w:tc>
      </w:tr>
      <w:tr>
        <w:tc>
          <w:tcPr>
            <w:tcW w:type="dxa" w:w="3300"/>
            <w:tcMar>
              <w:top w:w="90" w:type="dxa"/>
              <w:start w:w="120" w:type="dxa"/>
              <w:bottom w:w="90" w:type="dxa"/>
              <w:end w:w="120" w:type="dxa"/>
            </w:tcMar>
            <w:vAlign w:val="center"/>
          </w:tcPr>
          <w:p>
            <w:pPr>
              <w:spacing w:after="40" w:line="252" w:lineRule="auto"/>
            </w:pPr>
            <w:r>
              <w:rPr>
                <w:sz w:val="17"/>
              </w:rPr>
              <w:t>Inutilização</w:t>
            </w:r>
          </w:p>
        </w:tc>
        <w:tc>
          <w:tcPr>
            <w:tcW w:type="dxa" w:w="6060"/>
            <w:tcMar>
              <w:top w:w="90" w:type="dxa"/>
              <w:start w:w="120" w:type="dxa"/>
              <w:bottom w:w="90" w:type="dxa"/>
              <w:end w:w="120" w:type="dxa"/>
            </w:tcMar>
            <w:vAlign w:val="center"/>
          </w:tcPr>
          <w:p>
            <w:pPr>
              <w:spacing w:after="40" w:line="252" w:lineRule="auto"/>
            </w:pPr>
            <w:r>
              <w:rPr>
                <w:sz w:val="17"/>
              </w:rPr>
              <w:t>Faixa inutilizada sem reutilização posterior</w:t>
            </w:r>
          </w:p>
        </w:tc>
      </w:tr>
      <w:tr>
        <w:tc>
          <w:tcPr>
            <w:tcW w:type="dxa" w:w="3300"/>
            <w:tcMar>
              <w:top w:w="90" w:type="dxa"/>
              <w:start w:w="120" w:type="dxa"/>
              <w:bottom w:w="90" w:type="dxa"/>
              <w:end w:w="120" w:type="dxa"/>
            </w:tcMar>
            <w:vAlign w:val="center"/>
          </w:tcPr>
          <w:p>
            <w:pPr>
              <w:spacing w:after="40" w:line="252" w:lineRule="auto"/>
            </w:pPr>
            <w:r>
              <w:rPr>
                <w:sz w:val="17"/>
              </w:rPr>
              <w:t>Timeout artificial</w:t>
            </w:r>
          </w:p>
        </w:tc>
        <w:tc>
          <w:tcPr>
            <w:tcW w:type="dxa" w:w="6060"/>
            <w:tcMar>
              <w:top w:w="90" w:type="dxa"/>
              <w:start w:w="120" w:type="dxa"/>
              <w:bottom w:w="90" w:type="dxa"/>
              <w:end w:w="120" w:type="dxa"/>
            </w:tcMar>
            <w:vAlign w:val="center"/>
          </w:tcPr>
          <w:p>
            <w:pPr>
              <w:spacing w:after="40" w:line="252" w:lineRule="auto"/>
            </w:pPr>
            <w:r>
              <w:rPr>
                <w:sz w:val="17"/>
              </w:rPr>
              <w:t>PENDENTE_CONSULTA e recuperação sem duplicidade</w:t>
            </w:r>
          </w:p>
        </w:tc>
      </w:tr>
      <w:tr>
        <w:tc>
          <w:tcPr>
            <w:tcW w:type="dxa" w:w="3300"/>
            <w:tcMar>
              <w:top w:w="90" w:type="dxa"/>
              <w:start w:w="120" w:type="dxa"/>
              <w:bottom w:w="90" w:type="dxa"/>
              <w:end w:w="120" w:type="dxa"/>
            </w:tcMar>
            <w:vAlign w:val="center"/>
          </w:tcPr>
          <w:p>
            <w:pPr>
              <w:spacing w:after="40" w:line="252" w:lineRule="auto"/>
            </w:pPr>
            <w:r>
              <w:rPr>
                <w:sz w:val="17"/>
              </w:rPr>
              <w:t>Contingência NFC-e</w:t>
            </w:r>
          </w:p>
        </w:tc>
        <w:tc>
          <w:tcPr>
            <w:tcW w:type="dxa" w:w="6060"/>
            <w:tcMar>
              <w:top w:w="90" w:type="dxa"/>
              <w:start w:w="120" w:type="dxa"/>
              <w:bottom w:w="90" w:type="dxa"/>
              <w:end w:w="120" w:type="dxa"/>
            </w:tcMar>
            <w:vAlign w:val="center"/>
          </w:tcPr>
          <w:p>
            <w:pPr>
              <w:spacing w:after="40" w:line="252" w:lineRule="auto"/>
            </w:pPr>
            <w:r>
              <w:rPr>
                <w:sz w:val="17"/>
              </w:rPr>
              <w:t>DANFE em contingência e transmissão posterior auditada</w:t>
            </w:r>
          </w:p>
        </w:tc>
      </w:tr>
    </w:tbl>
    <w:p>
      <w:pPr>
        <w:spacing w:after="20"/>
        <w:widowControl/>
      </w:pPr>
    </w:p>
    <w:p>
      <w:pPr>
        <w:pStyle w:val="Heading2"/>
        <w:keepNext/>
        <w:widowControl/>
      </w:pPr>
      <w:r>
        <w:t>8.3 Critérios de go/no-go</w:t>
      </w:r>
    </w:p>
    <w:p>
      <w:pPr>
        <w:pStyle w:val="ListBullet"/>
        <w:widowControl/>
      </w:pPr>
      <w:r>
        <w:t>Certificado, IE, credenciamento e CSC confirmados pela empresa.</w:t>
      </w:r>
    </w:p>
    <w:p>
      <w:pPr>
        <w:pStyle w:val="ListBullet"/>
        <w:widowControl/>
      </w:pPr>
      <w:r>
        <w:t>Contador aprovou parametrização tributária e amostras de produtos.</w:t>
      </w:r>
    </w:p>
    <w:p>
      <w:pPr>
        <w:pStyle w:val="ListBullet"/>
        <w:widowControl/>
      </w:pPr>
      <w:r>
        <w:t>Todos os serviços críticos passaram em homologação oficial.</w:t>
      </w:r>
    </w:p>
    <w:p>
      <w:pPr>
        <w:pStyle w:val="ListBullet"/>
        <w:widowControl/>
      </w:pPr>
      <w:r>
        <w:t>Fila, consulta pós-timeout e recuperação após reinício foram testadas.</w:t>
      </w:r>
    </w:p>
    <w:p>
      <w:pPr>
        <w:pStyle w:val="ListBullet"/>
        <w:widowControl/>
      </w:pPr>
      <w:r>
        <w:t>Backup/restauração preserva XMLs, protocolos e auditoria.</w:t>
      </w:r>
    </w:p>
    <w:p>
      <w:pPr>
        <w:pStyle w:val="ListBullet"/>
        <w:widowControl/>
      </w:pPr>
      <w:r>
        <w:t>Monitoramento e suporte possuem runbook e responsáveis.</w:t>
      </w:r>
    </w:p>
    <w:p>
      <w:pPr>
        <w:pStyle w:val="ListBullet"/>
        <w:widowControl/>
      </w:pPr>
      <w:r>
        <w:t>Produção ativada por filial, com janela assistida e plano de reversão.</w:t>
      </w:r>
    </w:p>
    <w:p>
      <w:pPr>
        <w:pStyle w:val="Heading1"/>
        <w:keepNext/>
        <w:widowControl/>
      </w:pPr>
      <w:r>
        <w:t>9. Observabilidade e operação</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trPr>
        <w:tc>
          <w:tcPr>
            <w:tcW w:type="dxa" w:w="3300"/>
            <w:shd w:fill="E8EEF5"/>
            <w:tcMar>
              <w:top w:w="90" w:type="dxa"/>
              <w:start w:w="120" w:type="dxa"/>
              <w:bottom w:w="90" w:type="dxa"/>
              <w:end w:w="120" w:type="dxa"/>
            </w:tcMar>
            <w:vAlign w:val="center"/>
          </w:tcPr>
          <w:p>
            <w:r>
              <w:rPr>
                <w:b/>
                <w:color w:val="17365D"/>
                <w:sz w:val="18"/>
              </w:rPr>
              <w:t>Indicador</w:t>
            </w:r>
          </w:p>
        </w:tc>
        <w:tc>
          <w:tcPr>
            <w:tcW w:type="dxa" w:w="6060"/>
            <w:shd w:fill="E8EEF5"/>
            <w:tcMar>
              <w:top w:w="90" w:type="dxa"/>
              <w:start w:w="120" w:type="dxa"/>
              <w:bottom w:w="90" w:type="dxa"/>
              <w:end w:w="120" w:type="dxa"/>
            </w:tcMar>
            <w:vAlign w:val="center"/>
          </w:tcPr>
          <w:p>
            <w:r>
              <w:rPr>
                <w:b/>
                <w:color w:val="17365D"/>
                <w:sz w:val="18"/>
              </w:rPr>
              <w:t>Uso</w:t>
            </w:r>
          </w:p>
        </w:tc>
      </w:tr>
      <w:tr>
        <w:tc>
          <w:tcPr>
            <w:tcW w:type="dxa" w:w="3300"/>
            <w:tcMar>
              <w:top w:w="90" w:type="dxa"/>
              <w:start w:w="120" w:type="dxa"/>
              <w:bottom w:w="90" w:type="dxa"/>
              <w:end w:w="120" w:type="dxa"/>
            </w:tcMar>
            <w:vAlign w:val="center"/>
          </w:tcPr>
          <w:p>
            <w:pPr>
              <w:spacing w:after="40" w:line="252" w:lineRule="auto"/>
            </w:pPr>
            <w:r>
              <w:rPr>
                <w:sz w:val="18"/>
              </w:rPr>
              <w:t>sefaz_requests_total por serviço/cStat</w:t>
            </w:r>
          </w:p>
        </w:tc>
        <w:tc>
          <w:tcPr>
            <w:tcW w:type="dxa" w:w="6060"/>
            <w:tcMar>
              <w:top w:w="90" w:type="dxa"/>
              <w:start w:w="120" w:type="dxa"/>
              <w:bottom w:w="90" w:type="dxa"/>
              <w:end w:w="120" w:type="dxa"/>
            </w:tcMar>
            <w:vAlign w:val="center"/>
          </w:tcPr>
          <w:p>
            <w:pPr>
              <w:spacing w:after="40" w:line="252" w:lineRule="auto"/>
            </w:pPr>
            <w:r>
              <w:rPr>
                <w:sz w:val="18"/>
              </w:rPr>
              <w:t>Volume e distribuição de respostas</w:t>
            </w:r>
          </w:p>
        </w:tc>
      </w:tr>
      <w:tr>
        <w:tc>
          <w:tcPr>
            <w:tcW w:type="dxa" w:w="3300"/>
            <w:tcMar>
              <w:top w:w="90" w:type="dxa"/>
              <w:start w:w="120" w:type="dxa"/>
              <w:bottom w:w="90" w:type="dxa"/>
              <w:end w:w="120" w:type="dxa"/>
            </w:tcMar>
            <w:vAlign w:val="center"/>
          </w:tcPr>
          <w:p>
            <w:pPr>
              <w:spacing w:after="40" w:line="252" w:lineRule="auto"/>
            </w:pPr>
            <w:r>
              <w:rPr>
                <w:sz w:val="18"/>
              </w:rPr>
              <w:t>sefaz_latency_seconds</w:t>
            </w:r>
          </w:p>
        </w:tc>
        <w:tc>
          <w:tcPr>
            <w:tcW w:type="dxa" w:w="6060"/>
            <w:tcMar>
              <w:top w:w="90" w:type="dxa"/>
              <w:start w:w="120" w:type="dxa"/>
              <w:bottom w:w="90" w:type="dxa"/>
              <w:end w:w="120" w:type="dxa"/>
            </w:tcMar>
            <w:vAlign w:val="center"/>
          </w:tcPr>
          <w:p>
            <w:pPr>
              <w:spacing w:after="40" w:line="252" w:lineRule="auto"/>
            </w:pPr>
            <w:r>
              <w:rPr>
                <w:sz w:val="18"/>
              </w:rPr>
              <w:t>Lentidão por serviço e ambiente</w:t>
            </w:r>
          </w:p>
        </w:tc>
      </w:tr>
      <w:tr>
        <w:tc>
          <w:tcPr>
            <w:tcW w:type="dxa" w:w="3300"/>
            <w:tcMar>
              <w:top w:w="90" w:type="dxa"/>
              <w:start w:w="120" w:type="dxa"/>
              <w:bottom w:w="90" w:type="dxa"/>
              <w:end w:w="120" w:type="dxa"/>
            </w:tcMar>
            <w:vAlign w:val="center"/>
          </w:tcPr>
          <w:p>
            <w:pPr>
              <w:spacing w:after="40" w:line="252" w:lineRule="auto"/>
            </w:pPr>
            <w:r>
              <w:rPr>
                <w:sz w:val="18"/>
              </w:rPr>
              <w:t>fila_fiscal_pendente</w:t>
            </w:r>
          </w:p>
        </w:tc>
        <w:tc>
          <w:tcPr>
            <w:tcW w:type="dxa" w:w="6060"/>
            <w:tcMar>
              <w:top w:w="90" w:type="dxa"/>
              <w:start w:w="120" w:type="dxa"/>
              <w:bottom w:w="90" w:type="dxa"/>
              <w:end w:w="120" w:type="dxa"/>
            </w:tcMar>
            <w:vAlign w:val="center"/>
          </w:tcPr>
          <w:p>
            <w:pPr>
              <w:spacing w:after="40" w:line="252" w:lineRule="auto"/>
            </w:pPr>
            <w:r>
              <w:rPr>
                <w:sz w:val="18"/>
              </w:rPr>
              <w:t>Backlog operacional</w:t>
            </w:r>
          </w:p>
        </w:tc>
      </w:tr>
      <w:tr>
        <w:tc>
          <w:tcPr>
            <w:tcW w:type="dxa" w:w="3300"/>
            <w:tcMar>
              <w:top w:w="90" w:type="dxa"/>
              <w:start w:w="120" w:type="dxa"/>
              <w:bottom w:w="90" w:type="dxa"/>
              <w:end w:w="120" w:type="dxa"/>
            </w:tcMar>
            <w:vAlign w:val="center"/>
          </w:tcPr>
          <w:p>
            <w:pPr>
              <w:spacing w:after="40" w:line="252" w:lineRule="auto"/>
            </w:pPr>
            <w:r>
              <w:rPr>
                <w:sz w:val="18"/>
              </w:rPr>
              <w:t>documentos_pendente_consulta</w:t>
            </w:r>
          </w:p>
        </w:tc>
        <w:tc>
          <w:tcPr>
            <w:tcW w:type="dxa" w:w="6060"/>
            <w:tcMar>
              <w:top w:w="90" w:type="dxa"/>
              <w:start w:w="120" w:type="dxa"/>
              <w:bottom w:w="90" w:type="dxa"/>
              <w:end w:w="120" w:type="dxa"/>
            </w:tcMar>
            <w:vAlign w:val="center"/>
          </w:tcPr>
          <w:p>
            <w:pPr>
              <w:spacing w:after="40" w:line="252" w:lineRule="auto"/>
            </w:pPr>
            <w:r>
              <w:rPr>
                <w:sz w:val="18"/>
              </w:rPr>
              <w:t>Risco de estado incerto</w:t>
            </w:r>
          </w:p>
        </w:tc>
      </w:tr>
      <w:tr>
        <w:tc>
          <w:tcPr>
            <w:tcW w:type="dxa" w:w="3300"/>
            <w:tcMar>
              <w:top w:w="90" w:type="dxa"/>
              <w:start w:w="120" w:type="dxa"/>
              <w:bottom w:w="90" w:type="dxa"/>
              <w:end w:w="120" w:type="dxa"/>
            </w:tcMar>
            <w:vAlign w:val="center"/>
          </w:tcPr>
          <w:p>
            <w:pPr>
              <w:spacing w:after="40" w:line="252" w:lineRule="auto"/>
            </w:pPr>
            <w:r>
              <w:rPr>
                <w:sz w:val="18"/>
              </w:rPr>
              <w:t>certificado_dias_para_vencer</w:t>
            </w:r>
          </w:p>
        </w:tc>
        <w:tc>
          <w:tcPr>
            <w:tcW w:type="dxa" w:w="6060"/>
            <w:tcMar>
              <w:top w:w="90" w:type="dxa"/>
              <w:start w:w="120" w:type="dxa"/>
              <w:bottom w:w="90" w:type="dxa"/>
              <w:end w:w="120" w:type="dxa"/>
            </w:tcMar>
            <w:vAlign w:val="center"/>
          </w:tcPr>
          <w:p>
            <w:pPr>
              <w:spacing w:after="40" w:line="252" w:lineRule="auto"/>
            </w:pPr>
            <w:r>
              <w:rPr>
                <w:sz w:val="18"/>
              </w:rPr>
              <w:t>Renovação preventiva</w:t>
            </w:r>
          </w:p>
        </w:tc>
      </w:tr>
      <w:tr>
        <w:tc>
          <w:tcPr>
            <w:tcW w:type="dxa" w:w="3300"/>
            <w:tcMar>
              <w:top w:w="90" w:type="dxa"/>
              <w:start w:w="120" w:type="dxa"/>
              <w:bottom w:w="90" w:type="dxa"/>
              <w:end w:w="120" w:type="dxa"/>
            </w:tcMar>
            <w:vAlign w:val="center"/>
          </w:tcPr>
          <w:p>
            <w:pPr>
              <w:spacing w:after="40" w:line="252" w:lineRule="auto"/>
            </w:pPr>
            <w:r>
              <w:rPr>
                <w:sz w:val="18"/>
              </w:rPr>
              <w:t>rejeicoes_total por cStat</w:t>
            </w:r>
          </w:p>
        </w:tc>
        <w:tc>
          <w:tcPr>
            <w:tcW w:type="dxa" w:w="6060"/>
            <w:tcMar>
              <w:top w:w="90" w:type="dxa"/>
              <w:start w:w="120" w:type="dxa"/>
              <w:bottom w:w="90" w:type="dxa"/>
              <w:end w:w="120" w:type="dxa"/>
            </w:tcMar>
            <w:vAlign w:val="center"/>
          </w:tcPr>
          <w:p>
            <w:pPr>
              <w:spacing w:after="40" w:line="252" w:lineRule="auto"/>
            </w:pPr>
            <w:r>
              <w:rPr>
                <w:sz w:val="18"/>
              </w:rPr>
              <w:t>Detectar regressões e cadastro incorreto</w:t>
            </w:r>
          </w:p>
        </w:tc>
      </w:tr>
      <w:tr>
        <w:tc>
          <w:tcPr>
            <w:tcW w:type="dxa" w:w="3300"/>
            <w:tcMar>
              <w:top w:w="90" w:type="dxa"/>
              <w:start w:w="120" w:type="dxa"/>
              <w:bottom w:w="90" w:type="dxa"/>
              <w:end w:w="120" w:type="dxa"/>
            </w:tcMar>
            <w:vAlign w:val="center"/>
          </w:tcPr>
          <w:p>
            <w:pPr>
              <w:spacing w:after="40" w:line="252" w:lineRule="auto"/>
            </w:pPr>
            <w:r>
              <w:rPr>
                <w:sz w:val="18"/>
              </w:rPr>
              <w:t>contingencia_aberta</w:t>
            </w:r>
          </w:p>
        </w:tc>
        <w:tc>
          <w:tcPr>
            <w:tcW w:type="dxa" w:w="6060"/>
            <w:tcMar>
              <w:top w:w="90" w:type="dxa"/>
              <w:start w:w="120" w:type="dxa"/>
              <w:bottom w:w="90" w:type="dxa"/>
              <w:end w:w="120" w:type="dxa"/>
            </w:tcMar>
            <w:vAlign w:val="center"/>
          </w:tcPr>
          <w:p>
            <w:pPr>
              <w:spacing w:after="40" w:line="252" w:lineRule="auto"/>
            </w:pPr>
            <w:r>
              <w:rPr>
                <w:sz w:val="18"/>
              </w:rPr>
              <w:t>Acompanhar transmissão dentro do prazo</w:t>
            </w:r>
          </w:p>
        </w:tc>
      </w:tr>
    </w:tbl>
    <w:p>
      <w:pPr>
        <w:spacing w:after="20"/>
        <w:widowControl/>
      </w:pPr>
    </w:p>
    <w:p>
      <w:pPr>
        <w:pStyle w:val="Heading2"/>
        <w:keepNext/>
        <w:widowControl/>
      </w:pPr>
      <w:r>
        <w:t>9.1 Log mínimo por tentativa</w:t>
      </w:r>
    </w:p>
    <w:p>
      <w:pPr>
        <w:widowControl/>
      </w:pPr>
      <w:r>
        <w:t>timestamp, ambiente, UF, modelo, serviço, correlation_id, idempotency_key, chave mascarada, tentativa, duração, HTTP status, cStat e xMotivo sanitizado. Nunca incluir senha do A1, chave privada, CSC completo ou credenciais de provedor.</w:t>
      </w:r>
    </w:p>
    <w:p>
      <w:pPr>
        <w:pStyle w:val="Heading1"/>
        <w:keepNext/>
        <w:widowControl/>
      </w:pPr>
      <w:r>
        <w:t>10. Riscos e decisões</w:t>
      </w:r>
    </w:p>
    <w:tbl>
      <w:tblPr>
        <w:tblStyle w:val="TableGrid"/>
        <w:tblW w:type="dxa" w:w="9360"/>
        <w:jc w:val="center"/>
        <w:tblLayout w:type="fixed"/>
        <w:tblLook w:firstColumn="1" w:firstRow="1" w:lastColumn="0" w:lastRow="0" w:noHBand="0" w:noVBand="1" w:val="04A0"/>
        <w:tblInd w:w="120" w:type="dxa"/>
      </w:tblPr>
      <w:tblGrid>
        <w:gridCol w:w="3200"/>
        <w:gridCol w:w="1300"/>
        <w:gridCol w:w="4860"/>
      </w:tblGrid>
      <w:tr>
        <w:trPr>
          <w:tblHeader w:val="true"/>
        </w:trPr>
        <w:tc>
          <w:tcPr>
            <w:tcW w:type="dxa" w:w="3200"/>
            <w:shd w:fill="E8EEF5"/>
            <w:tcMar>
              <w:top w:w="90" w:type="dxa"/>
              <w:start w:w="120" w:type="dxa"/>
              <w:bottom w:w="90" w:type="dxa"/>
              <w:end w:w="120" w:type="dxa"/>
            </w:tcMar>
            <w:vAlign w:val="center"/>
          </w:tcPr>
          <w:p>
            <w:r>
              <w:rPr>
                <w:b/>
                <w:color w:val="17365D"/>
                <w:sz w:val="17"/>
              </w:rPr>
              <w:t>Risco</w:t>
            </w:r>
          </w:p>
        </w:tc>
        <w:tc>
          <w:tcPr>
            <w:tcW w:type="dxa" w:w="1300"/>
            <w:shd w:fill="E8EEF5"/>
            <w:tcMar>
              <w:top w:w="90" w:type="dxa"/>
              <w:start w:w="120" w:type="dxa"/>
              <w:bottom w:w="90" w:type="dxa"/>
              <w:end w:w="120" w:type="dxa"/>
            </w:tcMar>
            <w:vAlign w:val="center"/>
          </w:tcPr>
          <w:p>
            <w:r>
              <w:rPr>
                <w:b/>
                <w:color w:val="17365D"/>
                <w:sz w:val="17"/>
              </w:rPr>
              <w:t>Nível</w:t>
            </w:r>
          </w:p>
        </w:tc>
        <w:tc>
          <w:tcPr>
            <w:tcW w:type="dxa" w:w="4860"/>
            <w:shd w:fill="E8EEF5"/>
            <w:tcMar>
              <w:top w:w="90" w:type="dxa"/>
              <w:start w:w="120" w:type="dxa"/>
              <w:bottom w:w="90" w:type="dxa"/>
              <w:end w:w="120" w:type="dxa"/>
            </w:tcMar>
            <w:vAlign w:val="center"/>
          </w:tcPr>
          <w:p>
            <w:r>
              <w:rPr>
                <w:b/>
                <w:color w:val="17365D"/>
                <w:sz w:val="17"/>
              </w:rPr>
              <w:t>Tratamento</w:t>
            </w:r>
          </w:p>
        </w:tc>
      </w:tr>
      <w:tr>
        <w:tc>
          <w:tcPr>
            <w:tcW w:type="dxa" w:w="3200"/>
            <w:tcMar>
              <w:top w:w="90" w:type="dxa"/>
              <w:start w:w="120" w:type="dxa"/>
              <w:bottom w:w="90" w:type="dxa"/>
              <w:end w:w="120" w:type="dxa"/>
            </w:tcMar>
            <w:vAlign w:val="center"/>
          </w:tcPr>
          <w:p>
            <w:pPr>
              <w:spacing w:after="40" w:line="252" w:lineRule="auto"/>
            </w:pPr>
            <w:r>
              <w:rPr>
                <w:sz w:val="17"/>
              </w:rPr>
              <w:t>Mudança de endpoint/schema/NT</w:t>
            </w:r>
          </w:p>
        </w:tc>
        <w:tc>
          <w:tcPr>
            <w:tcW w:type="dxa" w:w="1300"/>
            <w:tcMar>
              <w:top w:w="90" w:type="dxa"/>
              <w:start w:w="120" w:type="dxa"/>
              <w:bottom w:w="90" w:type="dxa"/>
              <w:end w:w="120" w:type="dxa"/>
            </w:tcMar>
            <w:vAlign w:val="center"/>
          </w:tcPr>
          <w:p>
            <w:pPr>
              <w:spacing w:after="40" w:line="252" w:lineRule="auto"/>
            </w:pPr>
            <w:r>
              <w:rPr>
                <w:sz w:val="17"/>
              </w:rPr>
              <w:t>Alto</w:t>
            </w:r>
          </w:p>
        </w:tc>
        <w:tc>
          <w:tcPr>
            <w:tcW w:type="dxa" w:w="4860"/>
            <w:tcMar>
              <w:top w:w="90" w:type="dxa"/>
              <w:start w:w="120" w:type="dxa"/>
              <w:bottom w:w="90" w:type="dxa"/>
              <w:end w:w="120" w:type="dxa"/>
            </w:tcMar>
            <w:vAlign w:val="center"/>
          </w:tcPr>
          <w:p>
            <w:pPr>
              <w:spacing w:after="40" w:line="252" w:lineRule="auto"/>
            </w:pPr>
            <w:r>
              <w:rPr>
                <w:sz w:val="17"/>
              </w:rPr>
              <w:t>Catálogo versionado, monitoramento de publicações e testes</w:t>
            </w:r>
          </w:p>
        </w:tc>
      </w:tr>
      <w:tr>
        <w:tc>
          <w:tcPr>
            <w:tcW w:type="dxa" w:w="3200"/>
            <w:tcMar>
              <w:top w:w="90" w:type="dxa"/>
              <w:start w:w="120" w:type="dxa"/>
              <w:bottom w:w="90" w:type="dxa"/>
              <w:end w:w="120" w:type="dxa"/>
            </w:tcMar>
            <w:vAlign w:val="center"/>
          </w:tcPr>
          <w:p>
            <w:pPr>
              <w:spacing w:after="40" w:line="252" w:lineRule="auto"/>
            </w:pPr>
            <w:r>
              <w:rPr>
                <w:sz w:val="17"/>
              </w:rPr>
              <w:t>Duplicidade após timeout</w:t>
            </w:r>
          </w:p>
        </w:tc>
        <w:tc>
          <w:tcPr>
            <w:tcW w:type="dxa" w:w="1300"/>
            <w:tcMar>
              <w:top w:w="90" w:type="dxa"/>
              <w:start w:w="120" w:type="dxa"/>
              <w:bottom w:w="90" w:type="dxa"/>
              <w:end w:w="120" w:type="dxa"/>
            </w:tcMar>
            <w:vAlign w:val="center"/>
          </w:tcPr>
          <w:p>
            <w:pPr>
              <w:spacing w:after="40" w:line="252" w:lineRule="auto"/>
            </w:pPr>
            <w:r>
              <w:rPr>
                <w:sz w:val="17"/>
              </w:rPr>
              <w:t>Alto</w:t>
            </w:r>
          </w:p>
        </w:tc>
        <w:tc>
          <w:tcPr>
            <w:tcW w:type="dxa" w:w="4860"/>
            <w:tcMar>
              <w:top w:w="90" w:type="dxa"/>
              <w:start w:w="120" w:type="dxa"/>
              <w:bottom w:w="90" w:type="dxa"/>
              <w:end w:w="120" w:type="dxa"/>
            </w:tcMar>
            <w:vAlign w:val="center"/>
          </w:tcPr>
          <w:p>
            <w:pPr>
              <w:spacing w:after="40" w:line="252" w:lineRule="auto"/>
            </w:pPr>
            <w:r>
              <w:rPr>
                <w:sz w:val="17"/>
              </w:rPr>
              <w:t>Idempotência, lease e consulta por chave</w:t>
            </w:r>
          </w:p>
        </w:tc>
      </w:tr>
      <w:tr>
        <w:tc>
          <w:tcPr>
            <w:tcW w:type="dxa" w:w="3200"/>
            <w:tcMar>
              <w:top w:w="90" w:type="dxa"/>
              <w:start w:w="120" w:type="dxa"/>
              <w:bottom w:w="90" w:type="dxa"/>
              <w:end w:w="120" w:type="dxa"/>
            </w:tcMar>
            <w:vAlign w:val="center"/>
          </w:tcPr>
          <w:p>
            <w:pPr>
              <w:spacing w:after="40" w:line="252" w:lineRule="auto"/>
            </w:pPr>
            <w:r>
              <w:rPr>
                <w:sz w:val="17"/>
              </w:rPr>
              <w:t>Vazamento do certificado/CSC</w:t>
            </w:r>
          </w:p>
        </w:tc>
        <w:tc>
          <w:tcPr>
            <w:tcW w:type="dxa" w:w="1300"/>
            <w:tcMar>
              <w:top w:w="90" w:type="dxa"/>
              <w:start w:w="120" w:type="dxa"/>
              <w:bottom w:w="90" w:type="dxa"/>
              <w:end w:w="120" w:type="dxa"/>
            </w:tcMar>
            <w:vAlign w:val="center"/>
          </w:tcPr>
          <w:p>
            <w:pPr>
              <w:spacing w:after="40" w:line="252" w:lineRule="auto"/>
            </w:pPr>
            <w:r>
              <w:rPr>
                <w:sz w:val="17"/>
              </w:rPr>
              <w:t>Alto</w:t>
            </w:r>
          </w:p>
        </w:tc>
        <w:tc>
          <w:tcPr>
            <w:tcW w:type="dxa" w:w="4860"/>
            <w:tcMar>
              <w:top w:w="90" w:type="dxa"/>
              <w:start w:w="120" w:type="dxa"/>
              <w:bottom w:w="90" w:type="dxa"/>
              <w:end w:w="120" w:type="dxa"/>
            </w:tcMar>
            <w:vAlign w:val="center"/>
          </w:tcPr>
          <w:p>
            <w:pPr>
              <w:spacing w:after="40" w:line="252" w:lineRule="auto"/>
            </w:pPr>
            <w:r>
              <w:rPr>
                <w:sz w:val="17"/>
              </w:rPr>
              <w:t>Criptografia, ACL, segredo fora de logs e rotação</w:t>
            </w:r>
          </w:p>
        </w:tc>
      </w:tr>
      <w:tr>
        <w:tc>
          <w:tcPr>
            <w:tcW w:type="dxa" w:w="3200"/>
            <w:tcMar>
              <w:top w:w="90" w:type="dxa"/>
              <w:start w:w="120" w:type="dxa"/>
              <w:bottom w:w="90" w:type="dxa"/>
              <w:end w:w="120" w:type="dxa"/>
            </w:tcMar>
            <w:vAlign w:val="center"/>
          </w:tcPr>
          <w:p>
            <w:pPr>
              <w:spacing w:after="40" w:line="252" w:lineRule="auto"/>
            </w:pPr>
            <w:r>
              <w:rPr>
                <w:sz w:val="17"/>
              </w:rPr>
              <w:t>Tributação incorreta</w:t>
            </w:r>
          </w:p>
        </w:tc>
        <w:tc>
          <w:tcPr>
            <w:tcW w:type="dxa" w:w="1300"/>
            <w:tcMar>
              <w:top w:w="90" w:type="dxa"/>
              <w:start w:w="120" w:type="dxa"/>
              <w:bottom w:w="90" w:type="dxa"/>
              <w:end w:w="120" w:type="dxa"/>
            </w:tcMar>
            <w:vAlign w:val="center"/>
          </w:tcPr>
          <w:p>
            <w:pPr>
              <w:spacing w:after="40" w:line="252" w:lineRule="auto"/>
            </w:pPr>
            <w:r>
              <w:rPr>
                <w:sz w:val="17"/>
              </w:rPr>
              <w:t>Alto</w:t>
            </w:r>
          </w:p>
        </w:tc>
        <w:tc>
          <w:tcPr>
            <w:tcW w:type="dxa" w:w="4860"/>
            <w:tcMar>
              <w:top w:w="90" w:type="dxa"/>
              <w:start w:w="120" w:type="dxa"/>
              <w:bottom w:w="90" w:type="dxa"/>
              <w:end w:w="120" w:type="dxa"/>
            </w:tcMar>
            <w:vAlign w:val="center"/>
          </w:tcPr>
          <w:p>
            <w:pPr>
              <w:spacing w:after="40" w:line="252" w:lineRule="auto"/>
            </w:pPr>
            <w:r>
              <w:rPr>
                <w:sz w:val="17"/>
              </w:rPr>
              <w:t>Validação contábil e regras versionadas</w:t>
            </w:r>
          </w:p>
        </w:tc>
      </w:tr>
      <w:tr>
        <w:tc>
          <w:tcPr>
            <w:tcW w:type="dxa" w:w="3200"/>
            <w:tcMar>
              <w:top w:w="90" w:type="dxa"/>
              <w:start w:w="120" w:type="dxa"/>
              <w:bottom w:w="90" w:type="dxa"/>
              <w:end w:w="120" w:type="dxa"/>
            </w:tcMar>
            <w:vAlign w:val="center"/>
          </w:tcPr>
          <w:p>
            <w:pPr>
              <w:spacing w:after="40" w:line="252" w:lineRule="auto"/>
            </w:pPr>
            <w:r>
              <w:rPr>
                <w:sz w:val="17"/>
              </w:rPr>
              <w:t>Indisponibilidade SEFAZ</w:t>
            </w:r>
          </w:p>
        </w:tc>
        <w:tc>
          <w:tcPr>
            <w:tcW w:type="dxa" w:w="1300"/>
            <w:tcMar>
              <w:top w:w="90" w:type="dxa"/>
              <w:start w:w="120" w:type="dxa"/>
              <w:bottom w:w="90" w:type="dxa"/>
              <w:end w:w="120" w:type="dxa"/>
            </w:tcMar>
            <w:vAlign w:val="center"/>
          </w:tcPr>
          <w:p>
            <w:pPr>
              <w:spacing w:after="40" w:line="252" w:lineRule="auto"/>
            </w:pPr>
            <w:r>
              <w:rPr>
                <w:sz w:val="17"/>
              </w:rPr>
              <w:t>Médio/alto</w:t>
            </w:r>
          </w:p>
        </w:tc>
        <w:tc>
          <w:tcPr>
            <w:tcW w:type="dxa" w:w="4860"/>
            <w:tcMar>
              <w:top w:w="90" w:type="dxa"/>
              <w:start w:w="120" w:type="dxa"/>
              <w:bottom w:w="90" w:type="dxa"/>
              <w:end w:w="120" w:type="dxa"/>
            </w:tcMar>
            <w:vAlign w:val="center"/>
          </w:tcPr>
          <w:p>
            <w:pPr>
              <w:spacing w:after="40" w:line="252" w:lineRule="auto"/>
            </w:pPr>
            <w:r>
              <w:rPr>
                <w:sz w:val="17"/>
              </w:rPr>
              <w:t>Fila, contingência válida, SVC controlada e runbook</w:t>
            </w:r>
          </w:p>
        </w:tc>
      </w:tr>
      <w:tr>
        <w:tc>
          <w:tcPr>
            <w:tcW w:type="dxa" w:w="3200"/>
            <w:tcMar>
              <w:top w:w="90" w:type="dxa"/>
              <w:start w:w="120" w:type="dxa"/>
              <w:bottom w:w="90" w:type="dxa"/>
              <w:end w:w="120" w:type="dxa"/>
            </w:tcMar>
            <w:vAlign w:val="center"/>
          </w:tcPr>
          <w:p>
            <w:pPr>
              <w:spacing w:after="40" w:line="252" w:lineRule="auto"/>
            </w:pPr>
            <w:r>
              <w:rPr>
                <w:sz w:val="17"/>
              </w:rPr>
              <w:t>Acoplamento a biblioteca</w:t>
            </w:r>
          </w:p>
        </w:tc>
        <w:tc>
          <w:tcPr>
            <w:tcW w:type="dxa" w:w="1300"/>
            <w:tcMar>
              <w:top w:w="90" w:type="dxa"/>
              <w:start w:w="120" w:type="dxa"/>
              <w:bottom w:w="90" w:type="dxa"/>
              <w:end w:w="120" w:type="dxa"/>
            </w:tcMar>
            <w:vAlign w:val="center"/>
          </w:tcPr>
          <w:p>
            <w:pPr>
              <w:spacing w:after="40" w:line="252" w:lineRule="auto"/>
            </w:pPr>
            <w:r>
              <w:rPr>
                <w:sz w:val="17"/>
              </w:rPr>
              <w:t>Médio</w:t>
            </w:r>
          </w:p>
        </w:tc>
        <w:tc>
          <w:tcPr>
            <w:tcW w:type="dxa" w:w="4860"/>
            <w:tcMar>
              <w:top w:w="90" w:type="dxa"/>
              <w:start w:w="120" w:type="dxa"/>
              <w:bottom w:w="90" w:type="dxa"/>
              <w:end w:w="120" w:type="dxa"/>
            </w:tcMar>
            <w:vAlign w:val="center"/>
          </w:tcPr>
          <w:p>
            <w:pPr>
              <w:spacing w:after="40" w:line="252" w:lineRule="auto"/>
            </w:pPr>
            <w:r>
              <w:rPr>
                <w:sz w:val="17"/>
              </w:rPr>
              <w:t>Contrato de adapter e testes de conformidade</w:t>
            </w:r>
          </w:p>
        </w:tc>
      </w:tr>
      <w:tr>
        <w:tc>
          <w:tcPr>
            <w:tcW w:type="dxa" w:w="3200"/>
            <w:tcMar>
              <w:top w:w="90" w:type="dxa"/>
              <w:start w:w="120" w:type="dxa"/>
              <w:bottom w:w="90" w:type="dxa"/>
              <w:end w:w="120" w:type="dxa"/>
            </w:tcMar>
            <w:vAlign w:val="center"/>
          </w:tcPr>
          <w:p>
            <w:pPr>
              <w:spacing w:after="40" w:line="252" w:lineRule="auto"/>
            </w:pPr>
            <w:r>
              <w:rPr>
                <w:sz w:val="17"/>
              </w:rPr>
              <w:t>Produção sem evidência</w:t>
            </w:r>
          </w:p>
        </w:tc>
        <w:tc>
          <w:tcPr>
            <w:tcW w:type="dxa" w:w="1300"/>
            <w:tcMar>
              <w:top w:w="90" w:type="dxa"/>
              <w:start w:w="120" w:type="dxa"/>
              <w:bottom w:w="90" w:type="dxa"/>
              <w:end w:w="120" w:type="dxa"/>
            </w:tcMar>
            <w:vAlign w:val="center"/>
          </w:tcPr>
          <w:p>
            <w:pPr>
              <w:spacing w:after="40" w:line="252" w:lineRule="auto"/>
            </w:pPr>
            <w:r>
              <w:rPr>
                <w:sz w:val="17"/>
              </w:rPr>
              <w:t>Alto</w:t>
            </w:r>
          </w:p>
        </w:tc>
        <w:tc>
          <w:tcPr>
            <w:tcW w:type="dxa" w:w="4860"/>
            <w:tcMar>
              <w:top w:w="90" w:type="dxa"/>
              <w:start w:w="120" w:type="dxa"/>
              <w:bottom w:w="90" w:type="dxa"/>
              <w:end w:w="120" w:type="dxa"/>
            </w:tcMar>
            <w:vAlign w:val="center"/>
          </w:tcPr>
          <w:p>
            <w:pPr>
              <w:spacing w:after="40" w:line="252" w:lineRule="auto"/>
            </w:pPr>
            <w:r>
              <w:rPr>
                <w:sz w:val="17"/>
              </w:rPr>
              <w:t>Feature flag e gate formal</w:t>
            </w:r>
          </w:p>
        </w:tc>
      </w:tr>
    </w:tbl>
    <w:p>
      <w:pPr>
        <w:spacing w:after="20"/>
        <w:widowControl/>
      </w:pPr>
    </w:p>
    <w:p>
      <w:pPr>
        <w:pStyle w:val="Heading2"/>
        <w:keepNext/>
        <w:widowControl/>
      </w:pPr>
      <w:r>
        <w:t>10.1 Decisão: direto ou provedor fiscal</w:t>
      </w:r>
    </w:p>
    <w:tbl>
      <w:tblPr>
        <w:tblStyle w:val="TableGrid"/>
        <w:tblW w:type="dxa" w:w="9360"/>
        <w:jc w:val="center"/>
        <w:tblLayout w:type="fixed"/>
        <w:tblLook w:firstColumn="1" w:firstRow="1" w:lastColumn="0" w:lastRow="0" w:noHBand="0" w:noVBand="1" w:val="04A0"/>
        <w:tblInd w:w="120" w:type="dxa"/>
      </w:tblPr>
      <w:tblGrid>
        <w:gridCol w:w="2300"/>
        <w:gridCol w:w="3530"/>
        <w:gridCol w:w="3530"/>
      </w:tblGrid>
      <w:tr>
        <w:trPr>
          <w:tblHeader w:val="true"/>
        </w:trPr>
        <w:tc>
          <w:tcPr>
            <w:tcW w:type="dxa" w:w="2300"/>
            <w:shd w:fill="E8EEF5"/>
            <w:tcMar>
              <w:top w:w="90" w:type="dxa"/>
              <w:start w:w="120" w:type="dxa"/>
              <w:bottom w:w="90" w:type="dxa"/>
              <w:end w:w="120" w:type="dxa"/>
            </w:tcMar>
            <w:vAlign w:val="center"/>
          </w:tcPr>
          <w:p>
            <w:r>
              <w:rPr>
                <w:b/>
                <w:color w:val="17365D"/>
                <w:sz w:val="17"/>
              </w:rPr>
              <w:t>Critério</w:t>
            </w:r>
          </w:p>
        </w:tc>
        <w:tc>
          <w:tcPr>
            <w:tcW w:type="dxa" w:w="3530"/>
            <w:shd w:fill="E8EEF5"/>
            <w:tcMar>
              <w:top w:w="90" w:type="dxa"/>
              <w:start w:w="120" w:type="dxa"/>
              <w:bottom w:w="90" w:type="dxa"/>
              <w:end w:w="120" w:type="dxa"/>
            </w:tcMar>
            <w:vAlign w:val="center"/>
          </w:tcPr>
          <w:p>
            <w:r>
              <w:rPr>
                <w:b/>
                <w:color w:val="17365D"/>
                <w:sz w:val="17"/>
              </w:rPr>
              <w:t>Direto SEFAZ</w:t>
            </w:r>
          </w:p>
        </w:tc>
        <w:tc>
          <w:tcPr>
            <w:tcW w:type="dxa" w:w="3530"/>
            <w:shd w:fill="E8EEF5"/>
            <w:tcMar>
              <w:top w:w="90" w:type="dxa"/>
              <w:start w:w="120" w:type="dxa"/>
              <w:bottom w:w="90" w:type="dxa"/>
              <w:end w:w="120" w:type="dxa"/>
            </w:tcMar>
            <w:vAlign w:val="center"/>
          </w:tcPr>
          <w:p>
            <w:r>
              <w:rPr>
                <w:b/>
                <w:color w:val="17365D"/>
                <w:sz w:val="17"/>
              </w:rPr>
              <w:t>API de provedor</w:t>
            </w:r>
          </w:p>
        </w:tc>
      </w:tr>
      <w:tr>
        <w:tc>
          <w:tcPr>
            <w:tcW w:type="dxa" w:w="2300"/>
            <w:tcMar>
              <w:top w:w="90" w:type="dxa"/>
              <w:start w:w="120" w:type="dxa"/>
              <w:bottom w:w="90" w:type="dxa"/>
              <w:end w:w="120" w:type="dxa"/>
            </w:tcMar>
            <w:vAlign w:val="center"/>
          </w:tcPr>
          <w:p>
            <w:pPr>
              <w:spacing w:after="40" w:line="252" w:lineRule="auto"/>
            </w:pPr>
            <w:r>
              <w:rPr>
                <w:sz w:val="17"/>
              </w:rPr>
              <w:t>Custo por emissão</w:t>
            </w:r>
          </w:p>
        </w:tc>
        <w:tc>
          <w:tcPr>
            <w:tcW w:type="dxa" w:w="3530"/>
            <w:tcMar>
              <w:top w:w="90" w:type="dxa"/>
              <w:start w:w="120" w:type="dxa"/>
              <w:bottom w:w="90" w:type="dxa"/>
              <w:end w:w="120" w:type="dxa"/>
            </w:tcMar>
            <w:vAlign w:val="center"/>
          </w:tcPr>
          <w:p>
            <w:pPr>
              <w:spacing w:after="40" w:line="252" w:lineRule="auto"/>
            </w:pPr>
            <w:r>
              <w:rPr>
                <w:sz w:val="17"/>
              </w:rPr>
              <w:t>Sem tarifa do integrador</w:t>
            </w:r>
          </w:p>
        </w:tc>
        <w:tc>
          <w:tcPr>
            <w:tcW w:type="dxa" w:w="3530"/>
            <w:tcMar>
              <w:top w:w="90" w:type="dxa"/>
              <w:start w:w="120" w:type="dxa"/>
              <w:bottom w:w="90" w:type="dxa"/>
              <w:end w:w="120" w:type="dxa"/>
            </w:tcMar>
            <w:vAlign w:val="center"/>
          </w:tcPr>
          <w:p>
            <w:pPr>
              <w:spacing w:after="40" w:line="252" w:lineRule="auto"/>
            </w:pPr>
            <w:r>
              <w:rPr>
                <w:sz w:val="17"/>
              </w:rPr>
              <w:t>Pode ter mensalidade/volume</w:t>
            </w:r>
          </w:p>
        </w:tc>
      </w:tr>
      <w:tr>
        <w:tc>
          <w:tcPr>
            <w:tcW w:type="dxa" w:w="2300"/>
            <w:tcMar>
              <w:top w:w="90" w:type="dxa"/>
              <w:start w:w="120" w:type="dxa"/>
              <w:bottom w:w="90" w:type="dxa"/>
              <w:end w:w="120" w:type="dxa"/>
            </w:tcMar>
            <w:vAlign w:val="center"/>
          </w:tcPr>
          <w:p>
            <w:pPr>
              <w:spacing w:after="40" w:line="252" w:lineRule="auto"/>
            </w:pPr>
            <w:r>
              <w:rPr>
                <w:sz w:val="17"/>
              </w:rPr>
              <w:t>Manutenção normativa</w:t>
            </w:r>
          </w:p>
        </w:tc>
        <w:tc>
          <w:tcPr>
            <w:tcW w:type="dxa" w:w="3530"/>
            <w:tcMar>
              <w:top w:w="90" w:type="dxa"/>
              <w:start w:w="120" w:type="dxa"/>
              <w:bottom w:w="90" w:type="dxa"/>
              <w:end w:w="120" w:type="dxa"/>
            </w:tcMar>
            <w:vAlign w:val="center"/>
          </w:tcPr>
          <w:p>
            <w:pPr>
              <w:spacing w:after="40" w:line="252" w:lineRule="auto"/>
            </w:pPr>
            <w:r>
              <w:rPr>
                <w:sz w:val="17"/>
              </w:rPr>
              <w:t>Responsabilidade nossa</w:t>
            </w:r>
          </w:p>
        </w:tc>
        <w:tc>
          <w:tcPr>
            <w:tcW w:type="dxa" w:w="3530"/>
            <w:tcMar>
              <w:top w:w="90" w:type="dxa"/>
              <w:start w:w="120" w:type="dxa"/>
              <w:bottom w:w="90" w:type="dxa"/>
              <w:end w:w="120" w:type="dxa"/>
            </w:tcMar>
            <w:vAlign w:val="center"/>
          </w:tcPr>
          <w:p>
            <w:pPr>
              <w:spacing w:after="40" w:line="252" w:lineRule="auto"/>
            </w:pPr>
            <w:r>
              <w:rPr>
                <w:sz w:val="17"/>
              </w:rPr>
              <w:t>Maior parte delegada</w:t>
            </w:r>
          </w:p>
        </w:tc>
      </w:tr>
      <w:tr>
        <w:tc>
          <w:tcPr>
            <w:tcW w:type="dxa" w:w="2300"/>
            <w:tcMar>
              <w:top w:w="90" w:type="dxa"/>
              <w:start w:w="120" w:type="dxa"/>
              <w:bottom w:w="90" w:type="dxa"/>
              <w:end w:w="120" w:type="dxa"/>
            </w:tcMar>
            <w:vAlign w:val="center"/>
          </w:tcPr>
          <w:p>
            <w:pPr>
              <w:spacing w:after="40" w:line="252" w:lineRule="auto"/>
            </w:pPr>
            <w:r>
              <w:rPr>
                <w:sz w:val="17"/>
              </w:rPr>
              <w:t>Controle</w:t>
            </w:r>
          </w:p>
        </w:tc>
        <w:tc>
          <w:tcPr>
            <w:tcW w:type="dxa" w:w="3530"/>
            <w:tcMar>
              <w:top w:w="90" w:type="dxa"/>
              <w:start w:w="120" w:type="dxa"/>
              <w:bottom w:w="90" w:type="dxa"/>
              <w:end w:w="120" w:type="dxa"/>
            </w:tcMar>
            <w:vAlign w:val="center"/>
          </w:tcPr>
          <w:p>
            <w:pPr>
              <w:spacing w:after="40" w:line="252" w:lineRule="auto"/>
            </w:pPr>
            <w:r>
              <w:rPr>
                <w:sz w:val="17"/>
              </w:rPr>
              <w:t>Máximo</w:t>
            </w:r>
          </w:p>
        </w:tc>
        <w:tc>
          <w:tcPr>
            <w:tcW w:type="dxa" w:w="3530"/>
            <w:tcMar>
              <w:top w:w="90" w:type="dxa"/>
              <w:start w:w="120" w:type="dxa"/>
              <w:bottom w:w="90" w:type="dxa"/>
              <w:end w:w="120" w:type="dxa"/>
            </w:tcMar>
            <w:vAlign w:val="center"/>
          </w:tcPr>
          <w:p>
            <w:pPr>
              <w:spacing w:after="40" w:line="252" w:lineRule="auto"/>
            </w:pPr>
            <w:r>
              <w:rPr>
                <w:sz w:val="17"/>
              </w:rPr>
              <w:t>Dependência contratual</w:t>
            </w:r>
          </w:p>
        </w:tc>
      </w:tr>
      <w:tr>
        <w:tc>
          <w:tcPr>
            <w:tcW w:type="dxa" w:w="2300"/>
            <w:tcMar>
              <w:top w:w="90" w:type="dxa"/>
              <w:start w:w="120" w:type="dxa"/>
              <w:bottom w:w="90" w:type="dxa"/>
              <w:end w:w="120" w:type="dxa"/>
            </w:tcMar>
            <w:vAlign w:val="center"/>
          </w:tcPr>
          <w:p>
            <w:pPr>
              <w:spacing w:after="40" w:line="252" w:lineRule="auto"/>
            </w:pPr>
            <w:r>
              <w:rPr>
                <w:sz w:val="17"/>
              </w:rPr>
              <w:t>Prazo inicial</w:t>
            </w:r>
          </w:p>
        </w:tc>
        <w:tc>
          <w:tcPr>
            <w:tcW w:type="dxa" w:w="3530"/>
            <w:tcMar>
              <w:top w:w="90" w:type="dxa"/>
              <w:start w:w="120" w:type="dxa"/>
              <w:bottom w:w="90" w:type="dxa"/>
              <w:end w:w="120" w:type="dxa"/>
            </w:tcMar>
            <w:vAlign w:val="center"/>
          </w:tcPr>
          <w:p>
            <w:pPr>
              <w:spacing w:after="40" w:line="252" w:lineRule="auto"/>
            </w:pPr>
            <w:r>
              <w:rPr>
                <w:sz w:val="17"/>
              </w:rPr>
              <w:t>Maior</w:t>
            </w:r>
          </w:p>
        </w:tc>
        <w:tc>
          <w:tcPr>
            <w:tcW w:type="dxa" w:w="3530"/>
            <w:tcMar>
              <w:top w:w="90" w:type="dxa"/>
              <w:start w:w="120" w:type="dxa"/>
              <w:bottom w:w="90" w:type="dxa"/>
              <w:end w:w="120" w:type="dxa"/>
            </w:tcMar>
            <w:vAlign w:val="center"/>
          </w:tcPr>
          <w:p>
            <w:pPr>
              <w:spacing w:after="40" w:line="252" w:lineRule="auto"/>
            </w:pPr>
            <w:r>
              <w:rPr>
                <w:sz w:val="17"/>
              </w:rPr>
              <w:t>Geralmente menor</w:t>
            </w:r>
          </w:p>
        </w:tc>
      </w:tr>
      <w:tr>
        <w:tc>
          <w:tcPr>
            <w:tcW w:type="dxa" w:w="2300"/>
            <w:tcMar>
              <w:top w:w="90" w:type="dxa"/>
              <w:start w:w="120" w:type="dxa"/>
              <w:bottom w:w="90" w:type="dxa"/>
              <w:end w:w="120" w:type="dxa"/>
            </w:tcMar>
            <w:vAlign w:val="center"/>
          </w:tcPr>
          <w:p>
            <w:pPr>
              <w:spacing w:after="40" w:line="252" w:lineRule="auto"/>
            </w:pPr>
            <w:r>
              <w:rPr>
                <w:sz w:val="17"/>
              </w:rPr>
              <w:t>Portabilidade</w:t>
            </w:r>
          </w:p>
        </w:tc>
        <w:tc>
          <w:tcPr>
            <w:tcW w:type="dxa" w:w="3530"/>
            <w:tcMar>
              <w:top w:w="90" w:type="dxa"/>
              <w:start w:w="120" w:type="dxa"/>
              <w:bottom w:w="90" w:type="dxa"/>
              <w:end w:w="120" w:type="dxa"/>
            </w:tcMar>
            <w:vAlign w:val="center"/>
          </w:tcPr>
          <w:p>
            <w:pPr>
              <w:spacing w:after="40" w:line="252" w:lineRule="auto"/>
            </w:pPr>
            <w:r>
              <w:rPr>
                <w:sz w:val="17"/>
              </w:rPr>
              <w:t>Alta se adapter bem projetado</w:t>
            </w:r>
          </w:p>
        </w:tc>
        <w:tc>
          <w:tcPr>
            <w:tcW w:type="dxa" w:w="3530"/>
            <w:tcMar>
              <w:top w:w="90" w:type="dxa"/>
              <w:start w:w="120" w:type="dxa"/>
              <w:bottom w:w="90" w:type="dxa"/>
              <w:end w:w="120" w:type="dxa"/>
            </w:tcMar>
            <w:vAlign w:val="center"/>
          </w:tcPr>
          <w:p>
            <w:pPr>
              <w:spacing w:after="40" w:line="252" w:lineRule="auto"/>
            </w:pPr>
            <w:r>
              <w:rPr>
                <w:sz w:val="17"/>
              </w:rPr>
              <w:t>Alta se contrato interno preservado</w:t>
            </w:r>
          </w:p>
        </w:tc>
      </w:tr>
    </w:tbl>
    <w:p>
      <w:pPr>
        <w:spacing w:after="20"/>
        <w:widowControl/>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90" w:type="dxa"/>
              <w:start w:w="120" w:type="dxa"/>
              <w:bottom w:w="90" w:type="dxa"/>
              <w:end w:w="120" w:type="dxa"/>
            </w:tcMar>
            <w:vAlign w:val="center"/>
          </w:tcPr>
          <w:p>
            <w:r>
              <w:rPr>
                <w:b/>
                <w:color w:val="17365D"/>
              </w:rPr>
              <w:t xml:space="preserve">Recomendação: </w:t>
            </w:r>
            <w:r>
              <w:t>Implementar o adapter direto para Goiás, mas manter o contrato neutro. Assim, um provedor poderá ser adicionado depois como segundo adapter, sem reescrever o ERP.</w:t>
            </w:r>
          </w:p>
        </w:tc>
      </w:tr>
    </w:tbl>
    <w:p>
      <w:pPr>
        <w:spacing w:after="20"/>
        <w:widowControl/>
      </w:pPr>
    </w:p>
    <w:p>
      <w:pPr>
        <w:pStyle w:val="Heading1"/>
        <w:keepNext/>
        <w:widowControl/>
      </w:pPr>
      <w:r>
        <w:t>11. Nota técnica de implementação</w:t>
      </w:r>
    </w:p>
    <w:p>
      <w:pPr>
        <w:pStyle w:val="Heading2"/>
        <w:keepNext/>
        <w:widowControl/>
      </w:pPr>
      <w:r>
        <w:t>11.1 Nome e localização sugeridos</w:t>
      </w:r>
    </w:p>
    <w:p>
      <w:pPr>
        <w:widowControl/>
      </w:pPr>
      <w:r>
        <w:t>Pacote: integracoes_fiscais.sefaz_direta_go. Classe pública: Adapter. Submódulos sugeridos: catalogo.py, soap.py, certificados.py, parsers.py, envelopes.py, codigos.py e tests/. A configuração permanece FISCAL_SEFAZ_ADAPTER=integracoes_fiscais.sefaz_direta_go.Adapter.</w:t>
      </w:r>
    </w:p>
    <w:p>
      <w:pPr>
        <w:pStyle w:val="Heading2"/>
        <w:keepNext/>
        <w:widowControl/>
      </w:pPr>
      <w:r>
        <w:t>11.2 Princípios obrigatórios</w:t>
      </w:r>
    </w:p>
    <w:p>
      <w:pPr>
        <w:pStyle w:val="ListBullet"/>
        <w:widowControl/>
      </w:pPr>
      <w:r>
        <w:t>O adapter não recalcula impostos; recebe XML fechado pelo domínio fiscal.</w:t>
      </w:r>
    </w:p>
    <w:p>
      <w:pPr>
        <w:pStyle w:val="ListBullet"/>
        <w:widowControl/>
      </w:pPr>
      <w:r>
        <w:t>A assinatura pode permanecer local no ERP; o adapter declara assina_xml=False.</w:t>
      </w:r>
    </w:p>
    <w:p>
      <w:pPr>
        <w:pStyle w:val="ListBullet"/>
        <w:widowControl/>
      </w:pPr>
      <w:r>
        <w:t>Toda chamada é correlacionada e idempotente.</w:t>
      </w:r>
    </w:p>
    <w:p>
      <w:pPr>
        <w:pStyle w:val="ListBullet"/>
        <w:widowControl/>
      </w:pPr>
      <w:r>
        <w:t>Resposta incerta nunca é convertida em rejeição ou novo envio automático.</w:t>
      </w:r>
    </w:p>
    <w:p>
      <w:pPr>
        <w:pStyle w:val="ListBullet"/>
        <w:widowControl/>
      </w:pPr>
      <w:r>
        <w:t>cStat e xMotivo originais são persistidos junto ao resultado normalizado.</w:t>
      </w:r>
    </w:p>
    <w:p>
      <w:pPr>
        <w:pStyle w:val="ListBullet"/>
        <w:widowControl/>
      </w:pPr>
      <w:r>
        <w:t>Produção exige configuração explícita e evidência de homologação.</w:t>
      </w:r>
    </w:p>
    <w:p>
      <w:pPr>
        <w:pStyle w:val="Heading2"/>
        <w:keepNext/>
        <w:widowControl/>
      </w:pPr>
      <w:r>
        <w:t>11.3 Definition of Done</w:t>
      </w:r>
    </w:p>
    <w:p>
      <w:pPr>
        <w:pStyle w:val="ListBullet"/>
        <w:widowControl/>
      </w:pPr>
      <w:r>
        <w:t>☐ Adapter passa no comando validar_adaptador_sefaz --exigir-eventos --estrito.</w:t>
      </w:r>
    </w:p>
    <w:p>
      <w:pPr>
        <w:pStyle w:val="ListBullet"/>
        <w:widowControl/>
      </w:pPr>
      <w:r>
        <w:t>☐ Suite unitária e integração em homologação passam sem segredos no repositório.</w:t>
      </w:r>
    </w:p>
    <w:p>
      <w:pPr>
        <w:pStyle w:val="ListBullet"/>
        <w:widowControl/>
      </w:pPr>
      <w:r>
        <w:t>☐ NFC-e GO autorizada, consultada e cancelada em homologação.</w:t>
      </w:r>
    </w:p>
    <w:p>
      <w:pPr>
        <w:pStyle w:val="ListBullet"/>
        <w:widowControl/>
      </w:pPr>
      <w:r>
        <w:t>☐ Inutilização homologada e bloqueio de reutilização comprovado.</w:t>
      </w:r>
    </w:p>
    <w:p>
      <w:pPr>
        <w:pStyle w:val="ListBullet"/>
        <w:widowControl/>
      </w:pPr>
      <w:r>
        <w:t>☐ Timeout e reinício do servidor não geram duplicidade.</w:t>
      </w:r>
    </w:p>
    <w:p>
      <w:pPr>
        <w:pStyle w:val="ListBullet"/>
        <w:widowControl/>
      </w:pPr>
      <w:r>
        <w:t>☐ Documento técnico, runbook e evidências anexados à versão.</w:t>
      </w:r>
    </w:p>
    <w:p>
      <w:pPr>
        <w:pStyle w:val="ListBullet"/>
        <w:widowControl/>
      </w:pPr>
      <w:r>
        <w:t>☐ Aprovação do contador e responsável pela empresa registrada.</w:t>
      </w:r>
    </w:p>
    <w:p>
      <w:pPr>
        <w:pStyle w:val="Heading1"/>
        <w:keepNext/>
        <w:widowControl/>
      </w:pPr>
      <w:r>
        <w:t>12. Fontes e referências</w:t>
      </w:r>
    </w:p>
    <w:p>
      <w:pPr>
        <w:pStyle w:val="ListBullet"/>
        <w:widowControl/>
      </w:pPr>
      <w:hyperlink r:id="rId11">
        <w:r>
          <w:rPr>
            <w:color w:val="2E74B5"/>
            <w:u w:val="single"/>
          </w:rPr>
          <w:t>Portal Nacional NF-e — Relação de Serviços Web</w:t>
        </w:r>
      </w:hyperlink>
    </w:p>
    <w:p>
      <w:pPr>
        <w:pStyle w:val="ListBullet"/>
        <w:widowControl/>
      </w:pPr>
      <w:hyperlink r:id="rId12">
        <w:r>
          <w:rPr>
            <w:color w:val="2E74B5"/>
            <w:u w:val="single"/>
          </w:rPr>
          <w:t>Portal Nacional NF-e — Serviços de homologação</w:t>
        </w:r>
      </w:hyperlink>
    </w:p>
    <w:p>
      <w:pPr>
        <w:pStyle w:val="ListBullet"/>
        <w:widowControl/>
      </w:pPr>
      <w:hyperlink r:id="rId13">
        <w:r>
          <w:rPr>
            <w:color w:val="2E74B5"/>
            <w:u w:val="single"/>
          </w:rPr>
          <w:t>MOC 7.0 — Visão Geral</w:t>
        </w:r>
      </w:hyperlink>
    </w:p>
    <w:p>
      <w:pPr>
        <w:pStyle w:val="ListBullet"/>
        <w:widowControl/>
      </w:pPr>
      <w:hyperlink r:id="rId14">
        <w:r>
          <w:rPr>
            <w:color w:val="2E74B5"/>
            <w:u w:val="single"/>
          </w:rPr>
          <w:t>SEFAZ Goiás — NFC-e</w:t>
        </w:r>
      </w:hyperlink>
    </w:p>
    <w:p>
      <w:pPr>
        <w:pStyle w:val="ListBullet"/>
        <w:widowControl/>
      </w:pPr>
      <w:hyperlink r:id="rId15">
        <w:r>
          <w:rPr>
            <w:color w:val="2E74B5"/>
            <w:u w:val="single"/>
          </w:rPr>
          <w:t>SEFAZ Goiás — Documentos Fiscais</w:t>
        </w:r>
      </w:hyperlink>
    </w:p>
    <w:p>
      <w:pPr>
        <w:pStyle w:val="ListBullet"/>
        <w:widowControl/>
      </w:pPr>
      <w:hyperlink r:id="rId16">
        <w:r>
          <w:rPr>
            <w:color w:val="2E74B5"/>
            <w:u w:val="single"/>
          </w:rPr>
          <w:t>SEFAZ Goiás — Endereços versão 4.0 em homologação</w:t>
        </w:r>
      </w:hyperlink>
    </w:p>
    <w:p>
      <w:pPr>
        <w:pStyle w:val="ListBullet"/>
        <w:widowControl/>
      </w:pPr>
      <w:hyperlink r:id="rId17">
        <w:r>
          <w:rPr>
            <w:color w:val="2E74B5"/>
            <w:u w:val="single"/>
          </w:rPr>
          <w:t>Informe Técnico 2025.003 — alteração URL QR Code GO</w:t>
        </w:r>
      </w:hyperlink>
    </w:p>
    <w:p>
      <w:pPr>
        <w:pStyle w:val="ListBullet"/>
        <w:widowControl/>
      </w:pPr>
      <w:hyperlink r:id="rId18">
        <w:r>
          <w:rPr>
            <w:color w:val="2E74B5"/>
            <w:u w:val="single"/>
          </w:rPr>
          <w:t>Portal Nacional — Informes Técnicos vigentes</w:t>
        </w:r>
      </w:hyperlink>
    </w:p>
    <w:p>
      <w:pPr>
        <w:pStyle w:val="Heading2"/>
        <w:keepNext/>
        <w:widowControl/>
      </w:pPr>
      <w:r>
        <w:t>12.1 Evidências internas analisadas</w:t>
      </w:r>
    </w:p>
    <w:p>
      <w:pPr>
        <w:widowControl/>
      </w:pPr>
      <w:r>
        <w:t>iSOLIDUS: atalho para servidor interno, executáveis NFeExpert/IntFrenteNFe, arquivos ACBrNFeServicos.ini/ACBrMDFeServicos.ini, pasta de schemas/XML e configuração SEFAZ UF=GO em ambiente 1. DeTecServer: pacote 0.1.16, apps/fiscal, contrato sefaz_adapter_contract_v1, certificado A1 criptografado, assinatura XML local, fila, contingência, consulta, cancelamento, inutilização e perfil fiscal GO.</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FF4D6"/>
            <w:tcMar>
              <w:top w:w="90" w:type="dxa"/>
              <w:start w:w="120" w:type="dxa"/>
              <w:bottom w:w="90" w:type="dxa"/>
              <w:end w:w="120" w:type="dxa"/>
            </w:tcMar>
            <w:vAlign w:val="center"/>
          </w:tcPr>
          <w:p>
            <w:r>
              <w:rPr>
                <w:b/>
                <w:color w:val="8A5A00"/>
              </w:rPr>
              <w:t xml:space="preserve">Controle de atualização: </w:t>
            </w:r>
            <w:r>
              <w:t>Endpoints, schemas, NTs e tabelas fiscais são dados mutáveis. Confirmar novamente as fontes oficiais antes de implementar e antes de cada release de produção.</w:t>
            </w:r>
          </w:p>
        </w:tc>
      </w:tr>
    </w:tbl>
    <w:p>
      <w:pPr>
        <w:spacing w:after="20"/>
        <w:widowControl/>
      </w:pPr>
    </w:p>
    <w:sectPr w:rsidR="00FC693F" w:rsidRPr="0006063C" w:rsidSect="00034616">
      <w:headerReference w:type="default" r:id="rId9"/>
      <w:footerReference w:type="default" r:id="rId10"/>
      <w:pgSz w:w="12240" w:h="15840"/>
      <w:pgMar w:top="1181" w:right="1296" w:bottom="1181"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orientação técnica — validar legislação e endpoints antes de cada liberação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B6573"/>
        <w:sz w:val="17"/>
      </w:rPr>
      <w:t>DETEC | NOTA TÉCNICA FISCAL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fe.fazenda.gov.br/portal/webservices.aspx?AspxAutoDetectCookieSupport=1" TargetMode="External"/><Relationship Id="rId12" Type="http://schemas.openxmlformats.org/officeDocument/2006/relationships/hyperlink" Target="https://hom.nfe.fazenda.gov.br/portal/WebServices.aspx?AspxAutoDetectCookieSupport=1" TargetMode="External"/><Relationship Id="rId13" Type="http://schemas.openxmlformats.org/officeDocument/2006/relationships/hyperlink" Target="https://www.nfe.fazenda.gov.br/portal/exibirArquivo.aspx?conteudo=LrBx7WT9PuA%3D" TargetMode="External"/><Relationship Id="rId14" Type="http://schemas.openxmlformats.org/officeDocument/2006/relationships/hyperlink" Target="https://goias.gov.br/economia/nfc-e-nota-fiscal-do-consumidor-eletronica/" TargetMode="External"/><Relationship Id="rId15" Type="http://schemas.openxmlformats.org/officeDocument/2006/relationships/hyperlink" Target="https://goias.gov.br/economia/documentos-fiscais/" TargetMode="External"/><Relationship Id="rId16" Type="http://schemas.openxmlformats.org/officeDocument/2006/relationships/hyperlink" Target="https://goias.gov.br/economia/enderecos-da-versao-4-0-em-homologacao/" TargetMode="External"/><Relationship Id="rId17" Type="http://schemas.openxmlformats.org/officeDocument/2006/relationships/hyperlink" Target="https://www.nfe.fazenda.gov.br/portal/exibirArquivo.aspx?conteudo=VPJWnW2ypos%3D" TargetMode="External"/><Relationship Id="rId18" Type="http://schemas.openxmlformats.org/officeDocument/2006/relationships/hyperlink" Target="https://www.nfe.fazenda.gov.br/portal/listaConteudo.aspx?AspxAutoDetectCookieSupport=1&amp;tipoConteudo=hXzemuyNHW4%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Técnica — Integração direta do DeTecServer com a SEFAZ</dc:title>
  <dc:subject>Arquitetura fiscal, comparação iSOLIDUS e plano de homologação SEFAZ Goiás</dc:subject>
  <dc:creator>Equipe DeTec</dc:creator>
  <cp:keywords>SEFAZ, NF-e, NFC-e, Goiás, DeTecServer, iSOLIDUS, SOAP</cp:keywords>
  <dc:description>generated by python-docx</dc:description>
  <cp:lastModifiedBy/>
  <cp:revision>1</cp:revision>
  <dcterms:created xsi:type="dcterms:W3CDTF">2013-12-23T23:15:00Z</dcterms:created>
  <dcterms:modified xsi:type="dcterms:W3CDTF">2013-12-23T23:15:00Z</dcterms:modified>
  <cp:category/>
</cp:coreProperties>
</file>