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80"/>
        <w:widowControl/>
      </w:pPr>
      <w:r>
        <w:rPr>
          <w:b/>
          <w:color w:val="2E74B5"/>
          <w:sz w:val="24"/>
        </w:rPr>
        <w:t>PLANO MESTRE</w:t>
      </w:r>
    </w:p>
    <w:p>
      <w:pPr>
        <w:pStyle w:val="Title"/>
        <w:widowControl/>
      </w:pPr>
      <w:r>
        <w:t>Evolução do DeTecServer</w:t>
      </w:r>
    </w:p>
    <w:p>
      <w:pPr>
        <w:pStyle w:val="Subtitle"/>
        <w:widowControl/>
      </w:pPr>
      <w:r>
        <w:t>Comparativo com o iSOLIDUS/Intersolid: lacunas funcionais, arquitetura, prioridades e critérios de aceite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blHeader w:val="true"/>
        </w:trPr>
        <w:tc>
          <w:tcPr>
            <w:tcW w:type="dxa" w:w="9400"/>
            <w:shd w:fill="E8EEF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b/>
                <w:color w:val="17365D"/>
              </w:rPr>
              <w:t xml:space="preserve">Recomendação: </w:t>
            </w:r>
            <w:r>
              <w:t>Priorizar automação financeira, compras inteligentes, precificação protegida por margem, controle rigoroso de estoque/validade e resiliência do PDV. BI e IA devem entrar sobre uma base de dados governada, auditável e segura.</w:t>
            </w:r>
          </w:p>
        </w:tc>
      </w:tr>
    </w:tbl>
    <w:p>
      <w:pPr>
        <w:spacing w:after="0"/>
        <w:widowControl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150"/>
            <w:shd w:fill="E8EEF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b/>
                <w:color w:val="17365D"/>
                <w:sz w:val="18"/>
              </w:rPr>
              <w:t>Documento</w:t>
            </w:r>
          </w:p>
        </w:tc>
        <w:tc>
          <w:tcPr>
            <w:tcW w:type="dxa" w:w="7250"/>
            <w:shd w:fill="E8EEF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b/>
                <w:color w:val="17365D"/>
                <w:sz w:val="18"/>
              </w:rPr>
              <w:t>Valor</w:t>
            </w:r>
          </w:p>
        </w:tc>
      </w:tr>
      <w:tr>
        <w:tc>
          <w:tcPr>
            <w:tcW w:type="dxa" w:w="21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8"/>
              </w:rPr>
              <w:t>Sistema analisado</w:t>
            </w:r>
          </w:p>
        </w:tc>
        <w:tc>
          <w:tcPr>
            <w:tcW w:type="dxa" w:w="72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8"/>
              </w:rPr>
              <w:t>DeTecServer / Deigo Varejo 0.1.16</w:t>
            </w:r>
          </w:p>
        </w:tc>
      </w:tr>
      <w:tr>
        <w:tc>
          <w:tcPr>
            <w:tcW w:type="dxa" w:w="21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8"/>
              </w:rPr>
              <w:t>Referência</w:t>
            </w:r>
          </w:p>
        </w:tc>
        <w:tc>
          <w:tcPr>
            <w:tcW w:type="dxa" w:w="72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8"/>
              </w:rPr>
              <w:t>iSOLIDUS / Intersolid ERP e módulos associados</w:t>
            </w:r>
          </w:p>
        </w:tc>
      </w:tr>
      <w:tr>
        <w:tc>
          <w:tcPr>
            <w:tcW w:type="dxa" w:w="21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8"/>
              </w:rPr>
              <w:t>Escopo novo</w:t>
            </w:r>
          </w:p>
        </w:tc>
        <w:tc>
          <w:tcPr>
            <w:tcW w:type="dxa" w:w="72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8"/>
              </w:rPr>
              <w:t>Compras, estoque, preços, financeiro, BI, PDV, integrações, multi-loja e IA</w:t>
            </w:r>
          </w:p>
        </w:tc>
      </w:tr>
      <w:tr>
        <w:tc>
          <w:tcPr>
            <w:tcW w:type="dxa" w:w="21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8"/>
              </w:rPr>
              <w:t>Notas já existentes</w:t>
            </w:r>
          </w:p>
        </w:tc>
        <w:tc>
          <w:tcPr>
            <w:tcW w:type="dxa" w:w="72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8"/>
              </w:rPr>
              <w:t>Integração SEFAZ e Evolução Contábil</w:t>
            </w:r>
          </w:p>
        </w:tc>
      </w:tr>
      <w:tr>
        <w:tc>
          <w:tcPr>
            <w:tcW w:type="dxa" w:w="21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8"/>
              </w:rPr>
              <w:t>Versão</w:t>
            </w:r>
          </w:p>
        </w:tc>
        <w:tc>
          <w:tcPr>
            <w:tcW w:type="dxa" w:w="72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8"/>
              </w:rPr>
              <w:t>1.0 — 15/08/2026</w:t>
            </w:r>
          </w:p>
        </w:tc>
      </w:tr>
    </w:tbl>
    <w:p>
      <w:pPr>
        <w:spacing w:after="0"/>
        <w:widowControl/>
      </w:pPr>
    </w:p>
    <w:p>
      <w:pPr>
        <w:widowControl/>
      </w:pPr>
      <w:r>
        <w:br w:type="page"/>
      </w:r>
    </w:p>
    <w:p>
      <w:pPr>
        <w:pStyle w:val="Heading1"/>
        <w:widowControl/>
        <w:keepNext/>
      </w:pPr>
      <w:r>
        <w:t>1. Resumo executivo</w:t>
      </w:r>
    </w:p>
    <w:p>
      <w:pPr>
        <w:widowControl/>
      </w:pPr>
      <w:r>
        <w:t>O DeTecServer já cobre a espinha dorsal de um ERP de varejo: produtos, clientes, fornecedores, compras, estoque, promoções, vendas, PDV, financeiro, fiscal, marketplace, relatórios, auditoria e operação por empresas. A diferença mais relevante para o iSOLIDUS não é a existência nominal dos módulos, mas o nível de automação entre eles: o concorrente declara transformar dados operacionais em sugestões, bloqueios, conciliações e alertas gerenciais.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blHeader w:val="true"/>
        </w:trPr>
        <w:tc>
          <w:tcPr>
            <w:tcW w:type="dxa" w:w="9400"/>
            <w:shd w:fill="EAF3EE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b/>
                <w:color w:val="2F6B4F"/>
              </w:rPr>
              <w:t xml:space="preserve">Conclusão: </w:t>
            </w:r>
            <w:r>
              <w:t>Não devemos copiar telas ou nomes. Devemos reproduzir os resultados de negócio: menos digitação, menos divergência, fechamento mais rápido, margem protegida, estoque confiável e decisão baseada em indicadores.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  <w:keepNext/>
      </w:pPr>
      <w:r>
        <w:t>1.1 O que já foi documentado</w:t>
      </w:r>
    </w:p>
    <w:p>
      <w:pPr>
        <w:pStyle w:val="ListBullet"/>
        <w:widowControl/>
      </w:pPr>
      <w:r>
        <w:t>Nota Técnica de Integração SEFAZ: arquitetura fiscal, certificados, transmissão, contingência, segurança e implantação.</w:t>
      </w:r>
    </w:p>
    <w:p>
      <w:pPr>
        <w:pStyle w:val="ListBullet"/>
        <w:widowControl/>
      </w:pPr>
      <w:r>
        <w:t>Nota Técnica de Evolução Contábil: razão auxiliar, partidas dobradas, fechamento, imobilizado, CIAP e obrigações.</w:t>
      </w:r>
    </w:p>
    <w:p>
      <w:pPr>
        <w:pStyle w:val="ListBullet"/>
        <w:widowControl/>
      </w:pPr>
      <w:r>
        <w:t>Este plano trata das demais áreas e apenas aponta dependências com fiscal e contábil.</w:t>
      </w:r>
    </w:p>
    <w:p>
      <w:pPr>
        <w:pStyle w:val="Heading2"/>
        <w:widowControl/>
        <w:keepNext/>
      </w:pPr>
      <w:r>
        <w:t>1.2 Método e nível de evidência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850"/>
            <w:shd w:fill="E8EEF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b/>
                <w:color w:val="17365D"/>
                <w:sz w:val="16"/>
              </w:rPr>
              <w:t>Nível</w:t>
            </w:r>
          </w:p>
        </w:tc>
        <w:tc>
          <w:tcPr>
            <w:tcW w:type="dxa" w:w="4300"/>
            <w:shd w:fill="E8EEF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b/>
                <w:color w:val="17365D"/>
                <w:sz w:val="16"/>
              </w:rPr>
              <w:t>Significado</w:t>
            </w:r>
          </w:p>
        </w:tc>
        <w:tc>
          <w:tcPr>
            <w:tcW w:type="dxa" w:w="3250"/>
            <w:shd w:fill="E8EEF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b/>
                <w:color w:val="17365D"/>
                <w:sz w:val="16"/>
              </w:rPr>
              <w:t>Uso</w:t>
            </w:r>
          </w:p>
        </w:tc>
      </w:tr>
      <w:tr>
        <w:tc>
          <w:tcPr>
            <w:tcW w:type="dxa" w:w="18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Confirmado no código</w:t>
            </w:r>
          </w:p>
        </w:tc>
        <w:tc>
          <w:tcPr>
            <w:tcW w:type="dxa" w:w="43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Modelos, serviços, rotas ou documentação do DeTecServer 0.1.16</w:t>
            </w:r>
          </w:p>
        </w:tc>
        <w:tc>
          <w:tcPr>
            <w:tcW w:type="dxa" w:w="32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Estado atual do nosso produto</w:t>
            </w:r>
          </w:p>
        </w:tc>
      </w:tr>
      <w:tr>
        <w:tc>
          <w:tcPr>
            <w:tcW w:type="dxa" w:w="18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Declarado pelo fornecedor</w:t>
            </w:r>
          </w:p>
        </w:tc>
        <w:tc>
          <w:tcPr>
            <w:tcW w:type="dxa" w:w="43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Capacidade descrita em páginas oficiais da Intersolid</w:t>
            </w:r>
          </w:p>
        </w:tc>
        <w:tc>
          <w:tcPr>
            <w:tcW w:type="dxa" w:w="32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Referência competitiva, não teste de funcionamento</w:t>
            </w:r>
          </w:p>
        </w:tc>
      </w:tr>
      <w:tr>
        <w:tc>
          <w:tcPr>
            <w:tcW w:type="dxa" w:w="18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Indício local</w:t>
            </w:r>
          </w:p>
        </w:tc>
        <w:tc>
          <w:tcPr>
            <w:tcW w:type="dxa" w:w="43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Executáveis/pastas observados na instalação do cliente</w:t>
            </w:r>
          </w:p>
        </w:tc>
        <w:tc>
          <w:tcPr>
            <w:tcW w:type="dxa" w:w="32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Não prova licença, configuração ou uso</w:t>
            </w:r>
          </w:p>
        </w:tc>
      </w:tr>
      <w:tr>
        <w:tc>
          <w:tcPr>
            <w:tcW w:type="dxa" w:w="18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Proposta</w:t>
            </w:r>
          </w:p>
        </w:tc>
        <w:tc>
          <w:tcPr>
            <w:tcW w:type="dxa" w:w="43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Arquitetura e requisito recomendados</w:t>
            </w:r>
          </w:p>
        </w:tc>
        <w:tc>
          <w:tcPr>
            <w:tcW w:type="dxa" w:w="32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Sujeito a validação de produto e operação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  <w:keepNext/>
      </w:pPr>
      <w:r>
        <w:t>2. Mapa comparativo consolidado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500"/>
            <w:shd w:fill="E8EEF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b/>
                <w:color w:val="17365D"/>
                <w:sz w:val="15"/>
              </w:rPr>
              <w:t>Domínio</w:t>
            </w:r>
          </w:p>
        </w:tc>
        <w:tc>
          <w:tcPr>
            <w:tcW w:type="dxa" w:w="2950"/>
            <w:shd w:fill="E8EEF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b/>
                <w:color w:val="17365D"/>
                <w:sz w:val="15"/>
              </w:rPr>
              <w:t>DeTecServer</w:t>
            </w:r>
          </w:p>
        </w:tc>
        <w:tc>
          <w:tcPr>
            <w:tcW w:type="dxa" w:w="3600"/>
            <w:shd w:fill="E8EEF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b/>
                <w:color w:val="17365D"/>
                <w:sz w:val="15"/>
              </w:rPr>
              <w:t>Referência iSOLIDUS</w:t>
            </w:r>
          </w:p>
        </w:tc>
        <w:tc>
          <w:tcPr>
            <w:tcW w:type="dxa" w:w="1350"/>
            <w:shd w:fill="E8EEF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b/>
                <w:color w:val="17365D"/>
                <w:sz w:val="15"/>
              </w:rPr>
              <w:t>Prioridade</w:t>
            </w:r>
          </w:p>
        </w:tc>
      </w:tr>
      <w:tr>
        <w:tc>
          <w:tcPr>
            <w:tcW w:type="dxa" w:w="15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5"/>
              </w:rPr>
              <w:t>Financeiro</w:t>
            </w:r>
          </w:p>
        </w:tc>
        <w:tc>
          <w:tcPr>
            <w:tcW w:type="dxa" w:w="29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5"/>
              </w:rPr>
              <w:t>Contas, movimentos, transferências, livro e conciliação básica</w:t>
            </w:r>
          </w:p>
        </w:tc>
        <w:tc>
          <w:tcPr>
            <w:tcW w:type="dxa" w:w="36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5"/>
              </w:rPr>
              <w:t>Bancos, cartões, OFX/CNAB e conciliação automática</w:t>
            </w:r>
          </w:p>
        </w:tc>
        <w:tc>
          <w:tcPr>
            <w:tcW w:type="dxa" w:w="13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5"/>
              </w:rPr>
              <w:t>P0</w:t>
            </w:r>
          </w:p>
        </w:tc>
      </w:tr>
      <w:tr>
        <w:tc>
          <w:tcPr>
            <w:tcW w:type="dxa" w:w="15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5"/>
              </w:rPr>
              <w:t>Compras</w:t>
            </w:r>
          </w:p>
        </w:tc>
        <w:tc>
          <w:tcPr>
            <w:tcW w:type="dxa" w:w="29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5"/>
              </w:rPr>
              <w:t>Pedidos, cotação, entradas, XML e lotes</w:t>
            </w:r>
          </w:p>
        </w:tc>
        <w:tc>
          <w:tcPr>
            <w:tcW w:type="dxa" w:w="36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5"/>
              </w:rPr>
              <w:t>Sugestão por giro/sazonalidade; pedido x NF; acordos</w:t>
            </w:r>
          </w:p>
        </w:tc>
        <w:tc>
          <w:tcPr>
            <w:tcW w:type="dxa" w:w="13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5"/>
              </w:rPr>
              <w:t>P0</w:t>
            </w:r>
          </w:p>
        </w:tc>
      </w:tr>
      <w:tr>
        <w:tc>
          <w:tcPr>
            <w:tcW w:type="dxa" w:w="15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5"/>
              </w:rPr>
              <w:t>Preço/promoção</w:t>
            </w:r>
          </w:p>
        </w:tc>
        <w:tc>
          <w:tcPr>
            <w:tcW w:type="dxa" w:w="29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5"/>
              </w:rPr>
              <w:t>Cadastros e promoções</w:t>
            </w:r>
          </w:p>
        </w:tc>
        <w:tc>
          <w:tcPr>
            <w:tcW w:type="dxa" w:w="36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5"/>
              </w:rPr>
              <w:t>Regra de preço, item sensível e compensação de margem</w:t>
            </w:r>
          </w:p>
        </w:tc>
        <w:tc>
          <w:tcPr>
            <w:tcW w:type="dxa" w:w="13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5"/>
              </w:rPr>
              <w:t>P0</w:t>
            </w:r>
          </w:p>
        </w:tc>
      </w:tr>
      <w:tr>
        <w:tc>
          <w:tcPr>
            <w:tcW w:type="dxa" w:w="15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5"/>
              </w:rPr>
              <w:t>Estoque</w:t>
            </w:r>
          </w:p>
        </w:tc>
        <w:tc>
          <w:tcPr>
            <w:tcW w:type="dxa" w:w="29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5"/>
              </w:rPr>
              <w:t>Movimentos, inventário, perdas, lotes, composição/decomposição</w:t>
            </w:r>
          </w:p>
        </w:tc>
        <w:tc>
          <w:tcPr>
            <w:tcW w:type="dxa" w:w="36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5"/>
              </w:rPr>
              <w:t>Contagem múltipla, coletor, validade e alertas operacionais</w:t>
            </w:r>
          </w:p>
        </w:tc>
        <w:tc>
          <w:tcPr>
            <w:tcW w:type="dxa" w:w="13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5"/>
              </w:rPr>
              <w:t>P0</w:t>
            </w:r>
          </w:p>
        </w:tc>
      </w:tr>
      <w:tr>
        <w:tc>
          <w:tcPr>
            <w:tcW w:type="dxa" w:w="15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5"/>
              </w:rPr>
              <w:t>PDV</w:t>
            </w:r>
          </w:p>
        </w:tc>
        <w:tc>
          <w:tcPr>
            <w:tcW w:type="dxa" w:w="29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5"/>
              </w:rPr>
              <w:t>Módulo próprio integrado</w:t>
            </w:r>
          </w:p>
        </w:tc>
        <w:tc>
          <w:tcPr>
            <w:tcW w:type="dxa" w:w="36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5"/>
              </w:rPr>
              <w:t>Offline resiliente, recuperação, autorizações e segurança</w:t>
            </w:r>
          </w:p>
        </w:tc>
        <w:tc>
          <w:tcPr>
            <w:tcW w:type="dxa" w:w="13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5"/>
              </w:rPr>
              <w:t>P0</w:t>
            </w:r>
          </w:p>
        </w:tc>
      </w:tr>
      <w:tr>
        <w:tc>
          <w:tcPr>
            <w:tcW w:type="dxa" w:w="15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5"/>
              </w:rPr>
              <w:t>BI</w:t>
            </w:r>
          </w:p>
        </w:tc>
        <w:tc>
          <w:tcPr>
            <w:tcW w:type="dxa" w:w="29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5"/>
              </w:rPr>
              <w:t>Relatórios existentes</w:t>
            </w:r>
          </w:p>
        </w:tc>
        <w:tc>
          <w:tcPr>
            <w:tcW w:type="dxa" w:w="36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5"/>
              </w:rPr>
              <w:t>Camada semântica, metas, tendências e painéis executivos</w:t>
            </w:r>
          </w:p>
        </w:tc>
        <w:tc>
          <w:tcPr>
            <w:tcW w:type="dxa" w:w="13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5"/>
              </w:rPr>
              <w:t>P1</w:t>
            </w:r>
          </w:p>
        </w:tc>
      </w:tr>
      <w:tr>
        <w:tc>
          <w:tcPr>
            <w:tcW w:type="dxa" w:w="15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5"/>
              </w:rPr>
              <w:t>Entrada fiscal</w:t>
            </w:r>
          </w:p>
        </w:tc>
        <w:tc>
          <w:tcPr>
            <w:tcW w:type="dxa" w:w="29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5"/>
              </w:rPr>
              <w:t>XML e compras presentes</w:t>
            </w:r>
          </w:p>
        </w:tc>
        <w:tc>
          <w:tcPr>
            <w:tcW w:type="dxa" w:w="36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5"/>
              </w:rPr>
              <w:t>Captura, leitura, conferência e bloqueios automatizados</w:t>
            </w:r>
          </w:p>
        </w:tc>
        <w:tc>
          <w:tcPr>
            <w:tcW w:type="dxa" w:w="13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5"/>
              </w:rPr>
              <w:t>P1</w:t>
            </w:r>
          </w:p>
        </w:tc>
      </w:tr>
      <w:tr>
        <w:tc>
          <w:tcPr>
            <w:tcW w:type="dxa" w:w="15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5"/>
              </w:rPr>
              <w:t>Multi-loja</w:t>
            </w:r>
          </w:p>
        </w:tc>
        <w:tc>
          <w:tcPr>
            <w:tcW w:type="dxa" w:w="29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5"/>
              </w:rPr>
              <w:t>Empresas e mecanismos de sincronização</w:t>
            </w:r>
          </w:p>
        </w:tc>
        <w:tc>
          <w:tcPr>
            <w:tcW w:type="dxa" w:w="36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5"/>
              </w:rPr>
              <w:t>Transferência e gestão central orientadas por demanda</w:t>
            </w:r>
          </w:p>
        </w:tc>
        <w:tc>
          <w:tcPr>
            <w:tcW w:type="dxa" w:w="13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5"/>
              </w:rPr>
              <w:t>P1</w:t>
            </w:r>
          </w:p>
        </w:tc>
      </w:tr>
      <w:tr>
        <w:tc>
          <w:tcPr>
            <w:tcW w:type="dxa" w:w="15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5"/>
              </w:rPr>
              <w:t>Ecossistema</w:t>
            </w:r>
          </w:p>
        </w:tc>
        <w:tc>
          <w:tcPr>
            <w:tcW w:type="dxa" w:w="29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5"/>
              </w:rPr>
              <w:t>Marketplace e integrações pontuais</w:t>
            </w:r>
          </w:p>
        </w:tc>
        <w:tc>
          <w:tcPr>
            <w:tcW w:type="dxa" w:w="36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5"/>
              </w:rPr>
              <w:t>Adapters para bancos, adquirentes, balanças, etiquetas e CRM</w:t>
            </w:r>
          </w:p>
        </w:tc>
        <w:tc>
          <w:tcPr>
            <w:tcW w:type="dxa" w:w="13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5"/>
              </w:rPr>
              <w:t>P1</w:t>
            </w:r>
          </w:p>
        </w:tc>
      </w:tr>
      <w:tr>
        <w:tc>
          <w:tcPr>
            <w:tcW w:type="dxa" w:w="15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5"/>
              </w:rPr>
              <w:t>IA</w:t>
            </w:r>
          </w:p>
        </w:tc>
        <w:tc>
          <w:tcPr>
            <w:tcW w:type="dxa" w:w="29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5"/>
              </w:rPr>
              <w:t>Não identificada como produto operacional</w:t>
            </w:r>
          </w:p>
        </w:tc>
        <w:tc>
          <w:tcPr>
            <w:tcW w:type="dxa" w:w="36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5"/>
              </w:rPr>
              <w:t>Assistente WhatsApp/ERP com respostas e insights</w:t>
            </w:r>
          </w:p>
        </w:tc>
        <w:tc>
          <w:tcPr>
            <w:tcW w:type="dxa" w:w="13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5"/>
              </w:rPr>
              <w:t>P2</w:t>
            </w:r>
          </w:p>
        </w:tc>
      </w:tr>
    </w:tbl>
    <w:p>
      <w:pPr>
        <w:spacing w:after="0"/>
        <w:widowControl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blHeader w:val="true"/>
        </w:trPr>
        <w:tc>
          <w:tcPr>
            <w:tcW w:type="dxa" w:w="9400"/>
            <w:shd w:fill="F4F6F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b/>
                <w:color w:val="17365D"/>
              </w:rPr>
              <w:t xml:space="preserve">Leitura correta: </w:t>
            </w:r>
            <w:r>
              <w:t>Uma lacuna não significa ausência total do módulo. Em vários casos já existe boa fundação; a evolução é adicionar automação, governança, indicadores e integração ponta a ponta.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  <w:keepNext/>
      </w:pPr>
      <w:r>
        <w:t>3. Nota técnica — automação financeira</w:t>
      </w:r>
    </w:p>
    <w:p>
      <w:pPr>
        <w:widowControl/>
      </w:pPr>
      <w:r>
        <w:t>A Intersolid declara integração financeira com Hubly, conciliação bancária automática, conciliação de cartões, importação OFX, geração CNAB e acompanhamento em tempo real. No DeTecServer há base financeira útil, mas é necessário industrializar a integração externa.</w:t>
      </w:r>
    </w:p>
    <w:p>
      <w:pPr>
        <w:pStyle w:val="Heading2"/>
        <w:widowControl/>
        <w:keepNext/>
      </w:pPr>
      <w:r>
        <w:t>3.1 Componentes propostos</w:t>
      </w:r>
    </w:p>
    <w:p>
      <w:pPr>
        <w:pStyle w:val="ListBullet"/>
        <w:widowControl/>
      </w:pPr>
      <w:r>
        <w:t>Adapter bancário por instituição: OFX, CNAB remessa/retorno e, quando disponível, API/Open Finance autorizada.</w:t>
      </w:r>
    </w:p>
    <w:p>
      <w:pPr>
        <w:pStyle w:val="ListBullet"/>
        <w:widowControl/>
      </w:pPr>
      <w:r>
        <w:t>Agenda de recebíveis por adquirente, bandeira, parcela, taxa, MDR, antecipação e liquidação.</w:t>
      </w:r>
    </w:p>
    <w:p>
      <w:pPr>
        <w:pStyle w:val="ListBullet"/>
        <w:widowControl/>
      </w:pPr>
      <w:r>
        <w:t>Motor de matching por valor, data, documento, NSU, identificador bancário e tolerância configurável.</w:t>
      </w:r>
    </w:p>
    <w:p>
      <w:pPr>
        <w:pStyle w:val="ListBullet"/>
        <w:widowControl/>
      </w:pPr>
      <w:r>
        <w:t>Fila de divergências: faltante, duplicado, taxa divergente, chargeback, liquidação parcial e atraso.</w:t>
      </w:r>
    </w:p>
    <w:p>
      <w:pPr>
        <w:pStyle w:val="ListBullet"/>
        <w:widowControl/>
      </w:pPr>
      <w:r>
        <w:t>Conciliação imutável, reversível e auditada; nunca alterar silenciosamente o lançamento original.</w:t>
      </w:r>
    </w:p>
    <w:p>
      <w:pPr>
        <w:pStyle w:val="ListBullet"/>
        <w:widowControl/>
      </w:pPr>
      <w:r>
        <w:t>Painel por conta, banco, adquirente, loja e competência, com SLA e valor pendente.</w:t>
      </w:r>
    </w:p>
    <w:p>
      <w:pPr>
        <w:pStyle w:val="Heading2"/>
        <w:widowControl/>
        <w:keepNext/>
      </w:pPr>
      <w:r>
        <w:t>3.2 Critérios de aceite</w:t>
      </w:r>
    </w:p>
    <w:p>
      <w:pPr>
        <w:pStyle w:val="ListBullet"/>
        <w:widowControl/>
      </w:pPr>
      <w:r>
        <w:t>[ ] Importar o mesmo arquivo duas vezes não duplica movimentos.</w:t>
      </w:r>
    </w:p>
    <w:p>
      <w:pPr>
        <w:pStyle w:val="ListBullet"/>
        <w:widowControl/>
      </w:pPr>
      <w:r>
        <w:t>[ ] Todo match automático informa regra, confiança e evidência.</w:t>
      </w:r>
    </w:p>
    <w:p>
      <w:pPr>
        <w:pStyle w:val="ListBullet"/>
        <w:widowControl/>
      </w:pPr>
      <w:r>
        <w:t>[ ] Usuário pode desfazer conciliação com motivo e auditoria.</w:t>
      </w:r>
    </w:p>
    <w:p>
      <w:pPr>
        <w:pStyle w:val="ListBullet"/>
        <w:widowControl/>
      </w:pPr>
      <w:r>
        <w:t>[ ] CNAB é versionado por banco/layout e homologado antes da produção.</w:t>
      </w:r>
    </w:p>
    <w:p>
      <w:pPr>
        <w:pStyle w:val="ListBullet"/>
        <w:widowControl/>
      </w:pPr>
      <w:r>
        <w:t>[ ] Taxa, antecipação e chargeback geram movimentos separados.</w:t>
      </w:r>
    </w:p>
    <w:p>
      <w:pPr>
        <w:pStyle w:val="Heading1"/>
        <w:widowControl/>
        <w:keepNext/>
      </w:pPr>
      <w:r>
        <w:t>4. Nota técnica — compras inteligentes e acordos</w:t>
      </w:r>
    </w:p>
    <w:p>
      <w:pPr>
        <w:widowControl/>
      </w:pPr>
      <w:r>
        <w:t>O diferencial declarado do iSOLIDUS é transformar estoque, venda, sazonalidade e compromissos do fornecedor em decisão de compra. O DeTecServer já possui pedidos, cotações e entrada; portanto, a evolução pode ser incremental.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850"/>
            <w:shd w:fill="E8EEF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b/>
                <w:color w:val="17365D"/>
                <w:sz w:val="16"/>
              </w:rPr>
              <w:t>Capacidade</w:t>
            </w:r>
          </w:p>
        </w:tc>
        <w:tc>
          <w:tcPr>
            <w:tcW w:type="dxa" w:w="4650"/>
            <w:shd w:fill="E8EEF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b/>
                <w:color w:val="17365D"/>
                <w:sz w:val="16"/>
              </w:rPr>
              <w:t>Regra recomendada</w:t>
            </w:r>
          </w:p>
        </w:tc>
        <w:tc>
          <w:tcPr>
            <w:tcW w:type="dxa" w:w="2900"/>
            <w:shd w:fill="E8EEF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b/>
                <w:color w:val="17365D"/>
                <w:sz w:val="16"/>
              </w:rPr>
              <w:t>Saída</w:t>
            </w:r>
          </w:p>
        </w:tc>
      </w:tr>
      <w:tr>
        <w:tc>
          <w:tcPr>
            <w:tcW w:type="dxa" w:w="18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Sugestão de compra</w:t>
            </w:r>
          </w:p>
        </w:tc>
        <w:tc>
          <w:tcPr>
            <w:tcW w:type="dxa" w:w="46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Estoque disponível + pedidos + demanda + cobertura + lead time + lote mínimo</w:t>
            </w:r>
          </w:p>
        </w:tc>
        <w:tc>
          <w:tcPr>
            <w:tcW w:type="dxa" w:w="29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Quantidade sugerida explicável</w:t>
            </w:r>
          </w:p>
        </w:tc>
      </w:tr>
      <w:tr>
        <w:tc>
          <w:tcPr>
            <w:tcW w:type="dxa" w:w="18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Sazonalidade</w:t>
            </w:r>
          </w:p>
        </w:tc>
        <w:tc>
          <w:tcPr>
            <w:tcW w:type="dxa" w:w="46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Histórico comparável, calendário, promoção e ruptura</w:t>
            </w:r>
          </w:p>
        </w:tc>
        <w:tc>
          <w:tcPr>
            <w:tcW w:type="dxa" w:w="29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Previsão com faixa de confiança</w:t>
            </w:r>
          </w:p>
        </w:tc>
      </w:tr>
      <w:tr>
        <w:tc>
          <w:tcPr>
            <w:tcW w:type="dxa" w:w="18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Pedido x nota</w:t>
            </w:r>
          </w:p>
        </w:tc>
        <w:tc>
          <w:tcPr>
            <w:tcW w:type="dxa" w:w="46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Preço, quantidade, unidade, desconto, prazo, produto e tributos</w:t>
            </w:r>
          </w:p>
        </w:tc>
        <w:tc>
          <w:tcPr>
            <w:tcW w:type="dxa" w:w="29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Aceitar, alertar ou bloquear</w:t>
            </w:r>
          </w:p>
        </w:tc>
      </w:tr>
      <w:tr>
        <w:tc>
          <w:tcPr>
            <w:tcW w:type="dxa" w:w="18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Cotação web</w:t>
            </w:r>
          </w:p>
        </w:tc>
        <w:tc>
          <w:tcPr>
            <w:tcW w:type="dxa" w:w="46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Convite, prazo, proposta, frete, impostos e condições</w:t>
            </w:r>
          </w:p>
        </w:tc>
        <w:tc>
          <w:tcPr>
            <w:tcW w:type="dxa" w:w="29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Mapa comparativo auditável</w:t>
            </w:r>
          </w:p>
        </w:tc>
      </w:tr>
      <w:tr>
        <w:tc>
          <w:tcPr>
            <w:tcW w:type="dxa" w:w="18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Acordos</w:t>
            </w:r>
          </w:p>
        </w:tc>
        <w:tc>
          <w:tcPr>
            <w:tcW w:type="dxa" w:w="46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Verba, bonificação, enxoval, encarte, meta e vigência</w:t>
            </w:r>
          </w:p>
        </w:tc>
        <w:tc>
          <w:tcPr>
            <w:tcW w:type="dxa" w:w="29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Previsto x realizado x saldo</w:t>
            </w:r>
          </w:p>
        </w:tc>
      </w:tr>
      <w:tr>
        <w:tc>
          <w:tcPr>
            <w:tcW w:type="dxa" w:w="18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Passivo do fornecedor</w:t>
            </w:r>
          </w:p>
        </w:tc>
        <w:tc>
          <w:tcPr>
            <w:tcW w:type="dxa" w:w="46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Trocas, devoluções, verbas e títulos</w:t>
            </w:r>
          </w:p>
        </w:tc>
        <w:tc>
          <w:tcPr>
            <w:tcW w:type="dxa" w:w="29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Posição líquida na negociação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  <w:keepNext/>
      </w:pPr>
      <w:r>
        <w:t>4.1 Controles indispensáveis</w:t>
      </w:r>
    </w:p>
    <w:p>
      <w:pPr>
        <w:pStyle w:val="ListBullet"/>
        <w:widowControl/>
      </w:pPr>
      <w:r>
        <w:t>Parâmetros por loja/produto/fornecedor e justificativa para aceitar ou rejeitar sugestão.</w:t>
      </w:r>
    </w:p>
    <w:p>
      <w:pPr>
        <w:pStyle w:val="ListBullet"/>
        <w:widowControl/>
      </w:pPr>
      <w:r>
        <w:t>Bloqueio configurável por tolerância; exceção exige perfil, motivo e aprovação.</w:t>
      </w:r>
    </w:p>
    <w:p>
      <w:pPr>
        <w:pStyle w:val="ListBullet"/>
        <w:widowControl/>
      </w:pPr>
      <w:r>
        <w:t>Versão do pedido preservada para comparar exatamente com a nota recebida.</w:t>
      </w:r>
    </w:p>
    <w:p>
      <w:pPr>
        <w:pStyle w:val="ListBullet"/>
        <w:widowControl/>
      </w:pPr>
      <w:r>
        <w:t>Acordos reconhecidos separadamente de desconto comercial e custo do item.</w:t>
      </w:r>
    </w:p>
    <w:p>
      <w:pPr>
        <w:pStyle w:val="ListBullet"/>
        <w:widowControl/>
      </w:pPr>
      <w:r>
        <w:t>Métrica de ruptura, excesso, cobertura, aderência da previsão e economia negociada.</w:t>
      </w:r>
    </w:p>
    <w:p>
      <w:pPr>
        <w:pStyle w:val="Heading1"/>
        <w:widowControl/>
        <w:keepNext/>
      </w:pPr>
      <w:r>
        <w:t>5. Nota técnica — precificação e promoções</w:t>
      </w:r>
    </w:p>
    <w:p>
      <w:pPr>
        <w:widowControl/>
      </w:pPr>
      <w:r>
        <w:t>A Intersolid divulga precificação automatizada por regras, comportamento de consumo, margem desejada, itens sensíveis e compensação de ofertas. O nosso módulo de promoções deve evoluir para um motor de preço com simulação e proteção econômica.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350"/>
            <w:shd w:fill="E8EEF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b/>
                <w:color w:val="17365D"/>
                <w:sz w:val="17"/>
              </w:rPr>
              <w:t>Elemento</w:t>
            </w:r>
          </w:p>
        </w:tc>
        <w:tc>
          <w:tcPr>
            <w:tcW w:type="dxa" w:w="7050"/>
            <w:shd w:fill="E8EEF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b/>
                <w:color w:val="17365D"/>
                <w:sz w:val="17"/>
              </w:rPr>
              <w:t>Requisito</w:t>
            </w:r>
          </w:p>
        </w:tc>
      </w:tr>
      <w:tr>
        <w:tc>
          <w:tcPr>
            <w:tcW w:type="dxa" w:w="23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7"/>
              </w:rPr>
              <w:t>Custo-base</w:t>
            </w:r>
          </w:p>
        </w:tc>
        <w:tc>
          <w:tcPr>
            <w:tcW w:type="dxa" w:w="70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7"/>
              </w:rPr>
              <w:t>Última entrada, custo médio, impostos, frete, bonificação e verbas, com política explícita</w:t>
            </w:r>
          </w:p>
        </w:tc>
      </w:tr>
      <w:tr>
        <w:tc>
          <w:tcPr>
            <w:tcW w:type="dxa" w:w="23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7"/>
              </w:rPr>
              <w:t>Regra</w:t>
            </w:r>
          </w:p>
        </w:tc>
        <w:tc>
          <w:tcPr>
            <w:tcW w:type="dxa" w:w="70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7"/>
              </w:rPr>
              <w:t>Margem alvo/mínima, markup, arredondamento, concorrência, elasticidade e perfil da loja</w:t>
            </w:r>
          </w:p>
        </w:tc>
      </w:tr>
      <w:tr>
        <w:tc>
          <w:tcPr>
            <w:tcW w:type="dxa" w:w="23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7"/>
              </w:rPr>
              <w:t>Promoção</w:t>
            </w:r>
          </w:p>
        </w:tc>
        <w:tc>
          <w:tcPr>
            <w:tcW w:type="dxa" w:w="70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7"/>
              </w:rPr>
              <w:t>Período, público/canal, leve-pague, quantidade, combo, limite e estoque reservado</w:t>
            </w:r>
          </w:p>
        </w:tc>
      </w:tr>
      <w:tr>
        <w:tc>
          <w:tcPr>
            <w:tcW w:type="dxa" w:w="23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7"/>
              </w:rPr>
              <w:t>Compensação</w:t>
            </w:r>
          </w:p>
        </w:tc>
        <w:tc>
          <w:tcPr>
            <w:tcW w:type="dxa" w:w="70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7"/>
              </w:rPr>
              <w:t>Avaliar margem da cesta/categoria, sem esconder prejuízo por item</w:t>
            </w:r>
          </w:p>
        </w:tc>
      </w:tr>
      <w:tr>
        <w:tc>
          <w:tcPr>
            <w:tcW w:type="dxa" w:w="23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7"/>
              </w:rPr>
              <w:t>Aprovação</w:t>
            </w:r>
          </w:p>
        </w:tc>
        <w:tc>
          <w:tcPr>
            <w:tcW w:type="dxa" w:w="70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7"/>
              </w:rPr>
              <w:t>Simular impacto em receita, margem, estoque e ruptura antes de publicar</w:t>
            </w:r>
          </w:p>
        </w:tc>
      </w:tr>
      <w:tr>
        <w:tc>
          <w:tcPr>
            <w:tcW w:type="dxa" w:w="23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7"/>
              </w:rPr>
              <w:t>Execução</w:t>
            </w:r>
          </w:p>
        </w:tc>
        <w:tc>
          <w:tcPr>
            <w:tcW w:type="dxa" w:w="70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7"/>
              </w:rPr>
              <w:t>Publicar com vigência e sincronizar ERP, PDV, etiquetas e canais digitais</w:t>
            </w:r>
          </w:p>
        </w:tc>
      </w:tr>
      <w:tr>
        <w:tc>
          <w:tcPr>
            <w:tcW w:type="dxa" w:w="23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7"/>
              </w:rPr>
              <w:t>Auditoria</w:t>
            </w:r>
          </w:p>
        </w:tc>
        <w:tc>
          <w:tcPr>
            <w:tcW w:type="dxa" w:w="70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7"/>
              </w:rPr>
              <w:t>Quem propôs, aprovou, publicou, reverteu e qual regra/custo foi usado</w:t>
            </w:r>
          </w:p>
        </w:tc>
      </w:tr>
    </w:tbl>
    <w:p>
      <w:pPr>
        <w:spacing w:after="0"/>
        <w:widowControl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blHeader w:val="true"/>
        </w:trPr>
        <w:tc>
          <w:tcPr>
            <w:tcW w:type="dxa" w:w="9400"/>
            <w:shd w:fill="FFF4D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b/>
                <w:color w:val="8A5A00"/>
              </w:rPr>
              <w:t xml:space="preserve">Regra de segurança: </w:t>
            </w:r>
            <w:r>
              <w:t>Preço abaixo do custo ou da margem mínima deve bloquear ou exigir aprovação reforçada. A lógica deve respeitar legislação, oferta publicada e políticas comerciais.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  <w:keepNext/>
      </w:pPr>
      <w:r>
        <w:t>6. Nota técnica — estoque, validade, perdas e produção</w:t>
      </w:r>
    </w:p>
    <w:p>
      <w:pPr>
        <w:widowControl/>
      </w:pPr>
      <w:r>
        <w:t>O DeTecServer possui uma base forte: inventário, perdas, lotes, custo médio, composição/decomposição e ordens de produção. A prioridade é fechar o ciclo operacional e tornar divergências visíveis rapidamente.</w:t>
      </w:r>
    </w:p>
    <w:p>
      <w:pPr>
        <w:pStyle w:val="ListBullet"/>
        <w:widowControl/>
      </w:pPr>
      <w:r>
        <w:t>Inventário rotativo por curva, setor, risco e histórico de divergência.</w:t>
      </w:r>
    </w:p>
    <w:p>
      <w:pPr>
        <w:pStyle w:val="ListBullet"/>
        <w:widowControl/>
      </w:pPr>
      <w:r>
        <w:t>Contagem cega e múltiplas contagens quando físico e virtual divergirem.</w:t>
      </w:r>
    </w:p>
    <w:p>
      <w:pPr>
        <w:pStyle w:val="ListBullet"/>
        <w:widowControl/>
      </w:pPr>
      <w:r>
        <w:t>Aplicativo/coletor com operação offline, identificação do operador e sincronização idempotente.</w:t>
      </w:r>
    </w:p>
    <w:p>
      <w:pPr>
        <w:pStyle w:val="ListBullet"/>
        <w:widowControl/>
      </w:pPr>
      <w:r>
        <w:t>FEFO para validade; alertas de vencimento, quarentena, descarte, doação e remarcação autorizada.</w:t>
      </w:r>
    </w:p>
    <w:p>
      <w:pPr>
        <w:pStyle w:val="ListBullet"/>
        <w:widowControl/>
      </w:pPr>
      <w:r>
        <w:t>Perdas classificadas por causa, setor, produto, lote e responsável; integração financeira/contábil posterior.</w:t>
      </w:r>
    </w:p>
    <w:p>
      <w:pPr>
        <w:pStyle w:val="ListBullet"/>
        <w:widowControl/>
      </w:pPr>
      <w:r>
        <w:t>Composição e decomposição com rendimento esperado, rendimento real, aparas, subprodutos e custo distribuído.</w:t>
      </w:r>
    </w:p>
    <w:p>
      <w:pPr>
        <w:pStyle w:val="ListBullet"/>
        <w:widowControl/>
      </w:pPr>
      <w:r>
        <w:t>Transferência entre lojas com reserva, expedição, trânsito, recebimento e divergência.</w:t>
      </w:r>
    </w:p>
    <w:p>
      <w:pPr>
        <w:pStyle w:val="Heading2"/>
        <w:widowControl/>
        <w:keepNext/>
      </w:pPr>
      <w:r>
        <w:t>6.1 Indicadores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600"/>
            <w:shd w:fill="E8EEF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b/>
                <w:color w:val="17365D"/>
                <w:sz w:val="17"/>
              </w:rPr>
              <w:t>Indicador</w:t>
            </w:r>
          </w:p>
        </w:tc>
        <w:tc>
          <w:tcPr>
            <w:tcW w:type="dxa" w:w="6800"/>
            <w:shd w:fill="E8EEF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b/>
                <w:color w:val="17365D"/>
                <w:sz w:val="17"/>
              </w:rPr>
              <w:t>Definição</w:t>
            </w:r>
          </w:p>
        </w:tc>
      </w:tr>
      <w:tr>
        <w:tc>
          <w:tcPr>
            <w:tcW w:type="dxa" w:w="26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7"/>
              </w:rPr>
              <w:t>Acuracidade</w:t>
            </w:r>
          </w:p>
        </w:tc>
        <w:tc>
          <w:tcPr>
            <w:tcW w:type="dxa" w:w="68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7"/>
              </w:rPr>
              <w:t>Itens/quantidades conferidos sem divergência</w:t>
            </w:r>
          </w:p>
        </w:tc>
      </w:tr>
      <w:tr>
        <w:tc>
          <w:tcPr>
            <w:tcW w:type="dxa" w:w="26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7"/>
              </w:rPr>
              <w:t>Ruptura</w:t>
            </w:r>
          </w:p>
        </w:tc>
        <w:tc>
          <w:tcPr>
            <w:tcW w:type="dxa" w:w="68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7"/>
              </w:rPr>
              <w:t>Demanda não atendida por falta de disponibilidade</w:t>
            </w:r>
          </w:p>
        </w:tc>
      </w:tr>
      <w:tr>
        <w:tc>
          <w:tcPr>
            <w:tcW w:type="dxa" w:w="26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7"/>
              </w:rPr>
              <w:t>Cobertura</w:t>
            </w:r>
          </w:p>
        </w:tc>
        <w:tc>
          <w:tcPr>
            <w:tcW w:type="dxa" w:w="68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7"/>
              </w:rPr>
              <w:t>Estoque disponível dividido pela demanda prevista</w:t>
            </w:r>
          </w:p>
        </w:tc>
      </w:tr>
      <w:tr>
        <w:tc>
          <w:tcPr>
            <w:tcW w:type="dxa" w:w="26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7"/>
              </w:rPr>
              <w:t>Perda</w:t>
            </w:r>
          </w:p>
        </w:tc>
        <w:tc>
          <w:tcPr>
            <w:tcW w:type="dxa" w:w="68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7"/>
              </w:rPr>
              <w:t>Valor e percentual por causa/setor</w:t>
            </w:r>
          </w:p>
        </w:tc>
      </w:tr>
      <w:tr>
        <w:tc>
          <w:tcPr>
            <w:tcW w:type="dxa" w:w="26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7"/>
              </w:rPr>
              <w:t>Validade em risco</w:t>
            </w:r>
          </w:p>
        </w:tc>
        <w:tc>
          <w:tcPr>
            <w:tcW w:type="dxa" w:w="68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7"/>
              </w:rPr>
              <w:t>Valor por faixa de dias até vencimento</w:t>
            </w:r>
          </w:p>
        </w:tc>
      </w:tr>
      <w:tr>
        <w:tc>
          <w:tcPr>
            <w:tcW w:type="dxa" w:w="26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7"/>
              </w:rPr>
              <w:t>Rendimento</w:t>
            </w:r>
          </w:p>
        </w:tc>
        <w:tc>
          <w:tcPr>
            <w:tcW w:type="dxa" w:w="68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7"/>
              </w:rPr>
              <w:t>Produção real versus ficha técnica</w:t>
            </w:r>
          </w:p>
        </w:tc>
      </w:tr>
      <w:tr>
        <w:tc>
          <w:tcPr>
            <w:tcW w:type="dxa" w:w="26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7"/>
              </w:rPr>
              <w:t>Estoque em trânsito</w:t>
            </w:r>
          </w:p>
        </w:tc>
        <w:tc>
          <w:tcPr>
            <w:tcW w:type="dxa" w:w="68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7"/>
              </w:rPr>
              <w:t>Valor expedido e ainda não recebido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  <w:keepNext/>
      </w:pPr>
      <w:r>
        <w:t>7. Nota técnica — entrada inteligente de notas</w:t>
      </w:r>
    </w:p>
    <w:p>
      <w:pPr>
        <w:widowControl/>
      </w:pPr>
      <w:r>
        <w:t>A Intersolid apresentou a solução Nota Fácil para automatizar a entrada. No DeTecServer, a evolução natural é uma esteira de captura, leitura, validação e lançamento assistido, integrada à nota fiscal já detalhada no documento SEFAZ.</w:t>
      </w:r>
    </w:p>
    <w:p>
      <w:pPr>
        <w:pStyle w:val="ListBullet"/>
        <w:widowControl/>
      </w:pPr>
      <w:r>
        <w:t>Capturar XML por upload, pasta monitorada, e-mail autorizado ou serviço de distribuição fiscal quando aplicável.</w:t>
      </w:r>
    </w:p>
    <w:p>
      <w:pPr>
        <w:pStyle w:val="ListBullet"/>
        <w:widowControl/>
      </w:pPr>
      <w:r>
        <w:t>Validar assinatura, autorização, emitente/destinatário, chave, duplicidade e integridade.</w:t>
      </w:r>
    </w:p>
    <w:p>
      <w:pPr>
        <w:pStyle w:val="ListBullet"/>
        <w:widowControl/>
      </w:pPr>
      <w:r>
        <w:t>Vincular produto do fornecedor ao cadastro interno, unidade e fator de conversão.</w:t>
      </w:r>
    </w:p>
    <w:p>
      <w:pPr>
        <w:pStyle w:val="ListBullet"/>
        <w:widowControl/>
      </w:pPr>
      <w:r>
        <w:t>Comparar pedido, recebimento físico e documento fiscal em três vias.</w:t>
      </w:r>
    </w:p>
    <w:p>
      <w:pPr>
        <w:pStyle w:val="ListBullet"/>
        <w:widowControl/>
      </w:pPr>
      <w:r>
        <w:t>Bloquear divergências acima da tolerância e abrir tarefa de resolução.</w:t>
      </w:r>
    </w:p>
    <w:p>
      <w:pPr>
        <w:pStyle w:val="ListBullet"/>
        <w:widowControl/>
      </w:pPr>
      <w:r>
        <w:t>Somente confirmar estoque, custo, financeiro e fiscal em transação coordenada e auditada.</w:t>
      </w:r>
    </w:p>
    <w:p>
      <w:pPr>
        <w:pStyle w:val="ListBullet"/>
        <w:widowControl/>
      </w:pPr>
      <w:r>
        <w:t>Usar OCR apenas como apoio para documento sem XML; exigir conferência humana em baixa confiança.</w:t>
      </w:r>
    </w:p>
    <w:p>
      <w:pPr>
        <w:pStyle w:val="Heading1"/>
        <w:widowControl/>
        <w:keepNext/>
      </w:pPr>
      <w:r>
        <w:t>8. Nota técnica — BI e gestão inteligente</w:t>
      </w:r>
    </w:p>
    <w:p>
      <w:pPr>
        <w:widowControl/>
      </w:pPr>
      <w:r>
        <w:t>O iSOLIDUS declara painéis de venda, margem, finanças, estoque, despesas e resultado por loja, setor, PDV, produto e fornecedor. O DeTecServer deve criar uma camada de métricas comum antes de multiplicar dashboards.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350"/>
            <w:shd w:fill="E8EEF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b/>
                <w:color w:val="17365D"/>
                <w:sz w:val="16"/>
              </w:rPr>
              <w:t>Camada</w:t>
            </w:r>
          </w:p>
        </w:tc>
        <w:tc>
          <w:tcPr>
            <w:tcW w:type="dxa" w:w="7050"/>
            <w:shd w:fill="E8EEF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b/>
                <w:color w:val="17365D"/>
                <w:sz w:val="16"/>
              </w:rPr>
              <w:t>Responsabilidade</w:t>
            </w:r>
          </w:p>
        </w:tc>
      </w:tr>
      <w:tr>
        <w:tc>
          <w:tcPr>
            <w:tcW w:type="dxa" w:w="23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Eventos/fontes</w:t>
            </w:r>
          </w:p>
        </w:tc>
        <w:tc>
          <w:tcPr>
            <w:tcW w:type="dxa" w:w="70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Vendas, itens, pagamentos, compras, estoque, fiscal, financeiro e PDV</w:t>
            </w:r>
          </w:p>
        </w:tc>
      </w:tr>
      <w:tr>
        <w:tc>
          <w:tcPr>
            <w:tcW w:type="dxa" w:w="23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Modelo analítico</w:t>
            </w:r>
          </w:p>
        </w:tc>
        <w:tc>
          <w:tcPr>
            <w:tcW w:type="dxa" w:w="70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Dimensões de tempo, loja, produto, categoria, fornecedor, cliente e canal</w:t>
            </w:r>
          </w:p>
        </w:tc>
      </w:tr>
      <w:tr>
        <w:tc>
          <w:tcPr>
            <w:tcW w:type="dxa" w:w="23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Camada semântica</w:t>
            </w:r>
          </w:p>
        </w:tc>
        <w:tc>
          <w:tcPr>
            <w:tcW w:type="dxa" w:w="70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Definição única de venda líquida, margem, ruptura, perda, ticket e resultado</w:t>
            </w:r>
          </w:p>
        </w:tc>
      </w:tr>
      <w:tr>
        <w:tc>
          <w:tcPr>
            <w:tcW w:type="dxa" w:w="23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Qualidade</w:t>
            </w:r>
          </w:p>
        </w:tc>
        <w:tc>
          <w:tcPr>
            <w:tcW w:type="dxa" w:w="70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Completude, atraso, duplicidade e reconciliação com módulos de origem</w:t>
            </w:r>
          </w:p>
        </w:tc>
      </w:tr>
      <w:tr>
        <w:tc>
          <w:tcPr>
            <w:tcW w:type="dxa" w:w="23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Painéis</w:t>
            </w:r>
          </w:p>
        </w:tc>
        <w:tc>
          <w:tcPr>
            <w:tcW w:type="dxa" w:w="70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Executivo, comercial, compras, estoque, financeiro, fiscal e operação de caixa</w:t>
            </w:r>
          </w:p>
        </w:tc>
      </w:tr>
      <w:tr>
        <w:tc>
          <w:tcPr>
            <w:tcW w:type="dxa" w:w="23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Alertas</w:t>
            </w:r>
          </w:p>
        </w:tc>
        <w:tc>
          <w:tcPr>
            <w:tcW w:type="dxa" w:w="70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Meta, tendência, anomalia e prazo de ação, com responsável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  <w:keepNext/>
      </w:pPr>
      <w:r>
        <w:t>8.1 Painéis prioritários</w:t>
      </w:r>
    </w:p>
    <w:p>
      <w:pPr>
        <w:pStyle w:val="ListBullet"/>
        <w:widowControl/>
      </w:pPr>
      <w:r>
        <w:t>Venda, margem e ticket por loja/setor/produto/canal, com comparação e tendência.</w:t>
      </w:r>
    </w:p>
    <w:p>
      <w:pPr>
        <w:pStyle w:val="ListBullet"/>
        <w:widowControl/>
      </w:pPr>
      <w:r>
        <w:t>Ruptura, cobertura, excesso, validade e perdas.</w:t>
      </w:r>
    </w:p>
    <w:p>
      <w:pPr>
        <w:pStyle w:val="ListBullet"/>
        <w:widowControl/>
      </w:pPr>
      <w:r>
        <w:t>Compras versus vendas, aderência à sugestão e desempenho do fornecedor.</w:t>
      </w:r>
    </w:p>
    <w:p>
      <w:pPr>
        <w:pStyle w:val="ListBullet"/>
        <w:widowControl/>
      </w:pPr>
      <w:r>
        <w:t>Conciliação bancária/cartões e fluxo de caixa projetado.</w:t>
      </w:r>
    </w:p>
    <w:p>
      <w:pPr>
        <w:pStyle w:val="ListBullet"/>
        <w:widowControl/>
      </w:pPr>
      <w:r>
        <w:t>Desempenho do PDV: fila, cancelamento, intervenção, indisponibilidade e modo offline.</w:t>
      </w:r>
    </w:p>
    <w:p>
      <w:pPr>
        <w:pStyle w:val="ListBullet"/>
        <w:widowControl/>
      </w:pPr>
      <w:r>
        <w:t>Qualidade fiscal: rejeições, contingência, documentos pendentes e divergências tributárias.</w:t>
      </w:r>
    </w:p>
    <w:p>
      <w:pPr>
        <w:pStyle w:val="Heading1"/>
        <w:widowControl/>
        <w:keepNext/>
      </w:pPr>
      <w:r>
        <w:t>9. Nota técnica — PDV resiliente e seguro</w:t>
      </w:r>
    </w:p>
    <w:p>
      <w:pPr>
        <w:widowControl/>
      </w:pPr>
      <w:r>
        <w:t>As referências comerciais do ecossistema iSOLIDUS destacam PDV banco-a-banco e offline. A instalação observada também contém componentes de carga e supervisão, mas isso é apenas indício técnico. Para o nosso sistema, o objetivo é manter a venda segura durante falhas e reconciliar tudo depois.</w:t>
      </w:r>
    </w:p>
    <w:p>
      <w:pPr>
        <w:pStyle w:val="ListBullet"/>
        <w:widowControl/>
      </w:pPr>
      <w:r>
        <w:t>Base local mínima, fila de eventos e identificadores globais para operar sem servidor central.</w:t>
      </w:r>
    </w:p>
    <w:p>
      <w:pPr>
        <w:pStyle w:val="ListBullet"/>
        <w:widowControl/>
      </w:pPr>
      <w:r>
        <w:t>Políticas offline de preço, promoção, limite, cliente, fiscal e forma de pagamento, com validade do cache.</w:t>
      </w:r>
    </w:p>
    <w:p>
      <w:pPr>
        <w:pStyle w:val="ListBullet"/>
        <w:widowControl/>
      </w:pPr>
      <w:r>
        <w:t>Sincronização idempotente, ordenada e com resolução explícita de conflitos.</w:t>
      </w:r>
    </w:p>
    <w:p>
      <w:pPr>
        <w:pStyle w:val="ListBullet"/>
        <w:widowControl/>
      </w:pPr>
      <w:r>
        <w:t>Recuperação após queda de energia sem duplicar venda, pagamento, estoque ou documento fiscal.</w:t>
      </w:r>
    </w:p>
    <w:p>
      <w:pPr>
        <w:pStyle w:val="ListBullet"/>
        <w:widowControl/>
      </w:pPr>
      <w:r>
        <w:t>Autorização reforçada para cancelamento, desconto, sangria e reabertura; biometria é opcional, não única prova.</w:t>
      </w:r>
    </w:p>
    <w:p>
      <w:pPr>
        <w:pStyle w:val="ListBullet"/>
        <w:widowControl/>
      </w:pPr>
      <w:r>
        <w:t>Monitor de saúde por caixa: versão, última carga, fila pendente, conectividade, periféricos e erros.</w:t>
      </w:r>
    </w:p>
    <w:p>
      <w:pPr>
        <w:pStyle w:val="ListBullet"/>
        <w:widowControl/>
      </w:pPr>
      <w:r>
        <w:t>Atualização assinada, rollout gradual e rollback seguro.</w:t>
      </w:r>
    </w:p>
    <w:p>
      <w:pPr>
        <w:pStyle w:val="Heading1"/>
        <w:widowControl/>
        <w:keepNext/>
      </w:pPr>
      <w:r>
        <w:t>10. Nota técnica — multi-loja e ecossistema</w:t>
      </w:r>
    </w:p>
    <w:p>
      <w:pPr>
        <w:widowControl/>
      </w:pPr>
      <w:r>
        <w:t>A base por empresas e o marketplace são pontos positivos do DeTecServer. O próximo passo é padronizar integrações como adapters e tratar a loja como nó operacional controlado.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200"/>
            <w:shd w:fill="E8EEF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b/>
                <w:color w:val="17365D"/>
                <w:sz w:val="16"/>
              </w:rPr>
              <w:t>Integração</w:t>
            </w:r>
          </w:p>
        </w:tc>
        <w:tc>
          <w:tcPr>
            <w:tcW w:type="dxa" w:w="7200"/>
            <w:shd w:fill="E8EEF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b/>
                <w:color w:val="17365D"/>
                <w:sz w:val="16"/>
              </w:rPr>
              <w:t>Contrato mínimo</w:t>
            </w:r>
          </w:p>
        </w:tc>
      </w:tr>
      <w:tr>
        <w:tc>
          <w:tcPr>
            <w:tcW w:type="dxa" w:w="22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Bancos</w:t>
            </w:r>
          </w:p>
        </w:tc>
        <w:tc>
          <w:tcPr>
            <w:tcW w:type="dxa" w:w="72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Conta, arquivo/API, movimento, retorno, protocolo e idempotência</w:t>
            </w:r>
          </w:p>
        </w:tc>
      </w:tr>
      <w:tr>
        <w:tc>
          <w:tcPr>
            <w:tcW w:type="dxa" w:w="22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Adquirentes/TEF</w:t>
            </w:r>
          </w:p>
        </w:tc>
        <w:tc>
          <w:tcPr>
            <w:tcW w:type="dxa" w:w="72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NSU, autorização, parcela, taxa, agenda, liquidação e chargeback</w:t>
            </w:r>
          </w:p>
        </w:tc>
      </w:tr>
      <w:tr>
        <w:tc>
          <w:tcPr>
            <w:tcW w:type="dxa" w:w="22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Balanças</w:t>
            </w:r>
          </w:p>
        </w:tc>
        <w:tc>
          <w:tcPr>
            <w:tcW w:type="dxa" w:w="72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Produto, PLU, preço, validade, tara, versão e confirmação de carga</w:t>
            </w:r>
          </w:p>
        </w:tc>
      </w:tr>
      <w:tr>
        <w:tc>
          <w:tcPr>
            <w:tcW w:type="dxa" w:w="22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Etiquetas/cartazes</w:t>
            </w:r>
          </w:p>
        </w:tc>
        <w:tc>
          <w:tcPr>
            <w:tcW w:type="dxa" w:w="72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Layout, vigência, preço anterior/novo, lote de impressão e auditoria</w:t>
            </w:r>
          </w:p>
        </w:tc>
      </w:tr>
      <w:tr>
        <w:tc>
          <w:tcPr>
            <w:tcW w:type="dxa" w:w="22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Coletores</w:t>
            </w:r>
          </w:p>
        </w:tc>
        <w:tc>
          <w:tcPr>
            <w:tcW w:type="dxa" w:w="72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Tarefa, item, lote, quantidade, operador, horário e modo offline</w:t>
            </w:r>
          </w:p>
        </w:tc>
      </w:tr>
      <w:tr>
        <w:tc>
          <w:tcPr>
            <w:tcW w:type="dxa" w:w="22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E-commerce/marketplace</w:t>
            </w:r>
          </w:p>
        </w:tc>
        <w:tc>
          <w:tcPr>
            <w:tcW w:type="dxa" w:w="72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Pedido, reserva, preço, pagamento, separação, entrega e cancelamento</w:t>
            </w:r>
          </w:p>
        </w:tc>
      </w:tr>
      <w:tr>
        <w:tc>
          <w:tcPr>
            <w:tcW w:type="dxa" w:w="22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CRM/fidelidade</w:t>
            </w:r>
          </w:p>
        </w:tc>
        <w:tc>
          <w:tcPr>
            <w:tcW w:type="dxa" w:w="72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Consentimento, identificação, benefício, saldo e expiração</w:t>
            </w:r>
          </w:p>
        </w:tc>
      </w:tr>
      <w:tr>
        <w:tc>
          <w:tcPr>
            <w:tcW w:type="dxa" w:w="22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Contabilidade/fiscal</w:t>
            </w:r>
          </w:p>
        </w:tc>
        <w:tc>
          <w:tcPr>
            <w:tcW w:type="dxa" w:w="72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Eventos, pacotes, protocolos, retorno e evidências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  <w:keepNext/>
      </w:pPr>
      <w:r>
        <w:t>10.1 Transferência entre lojas</w:t>
      </w:r>
    </w:p>
    <w:p>
      <w:pPr>
        <w:pStyle w:val="ListBullet"/>
        <w:widowControl/>
      </w:pPr>
      <w:r>
        <w:t>Sugestão por excesso, ruptura prevista, cobertura e custo logístico.</w:t>
      </w:r>
    </w:p>
    <w:p>
      <w:pPr>
        <w:pStyle w:val="ListBullet"/>
        <w:widowControl/>
      </w:pPr>
      <w:r>
        <w:t>Fluxo solicitação → aprovação → separação → expedição → trânsito → recebimento → divergência.</w:t>
      </w:r>
    </w:p>
    <w:p>
      <w:pPr>
        <w:pStyle w:val="ListBullet"/>
        <w:widowControl/>
      </w:pPr>
      <w:r>
        <w:t>Documento e regra fiscal definidos por UF/operação com validação especializada.</w:t>
      </w:r>
    </w:p>
    <w:p>
      <w:pPr>
        <w:pStyle w:val="ListBullet"/>
        <w:widowControl/>
      </w:pPr>
      <w:r>
        <w:t>Estoque não deve aparecer simultaneamente disponível na origem e no destino.</w:t>
      </w:r>
    </w:p>
    <w:p>
      <w:pPr>
        <w:pStyle w:val="Heading1"/>
        <w:widowControl/>
        <w:keepNext/>
      </w:pPr>
      <w:r>
        <w:t>11. Nota técnica — assistente com IA</w:t>
      </w:r>
    </w:p>
    <w:p>
      <w:pPr>
        <w:widowControl/>
      </w:pPr>
      <w:r>
        <w:t>A Intersolid divulga a ISA, assistente via WhatsApp conectada ao ERP para consultas e insights. Podemos oferecer recurso semelhante, mas a primeira versão deve ser somente leitura e operar sobre métricas aprovadas, nunca diretamente sobre tabelas de produção.</w:t>
      </w:r>
    </w:p>
    <w:p>
      <w:pPr>
        <w:pStyle w:val="ListBullet"/>
        <w:widowControl/>
      </w:pPr>
      <w:r>
        <w:t>Autenticação corporativa e vínculo entre telefone, usuário, empresa, loja e permissões.</w:t>
      </w:r>
    </w:p>
    <w:p>
      <w:pPr>
        <w:pStyle w:val="ListBullet"/>
        <w:widowControl/>
      </w:pPr>
      <w:r>
        <w:t>Camada semântica com perguntas permitidas, métricas, filtros e período padrão.</w:t>
      </w:r>
    </w:p>
    <w:p>
      <w:pPr>
        <w:pStyle w:val="ListBullet"/>
        <w:widowControl/>
      </w:pPr>
      <w:r>
        <w:t>Consultas parametrizadas/read-only; sem SQL livre gerado contra o banco operacional.</w:t>
      </w:r>
    </w:p>
    <w:p>
      <w:pPr>
        <w:pStyle w:val="ListBullet"/>
        <w:widowControl/>
      </w:pPr>
      <w:r>
        <w:t>Resposta sempre informa período, loja, unidade, horário de atualização e fonte.</w:t>
      </w:r>
    </w:p>
    <w:p>
      <w:pPr>
        <w:pStyle w:val="ListBullet"/>
        <w:widowControl/>
      </w:pPr>
      <w:r>
        <w:t>Proteção de dados pessoais e financeiros; mascaramento conforme perfil.</w:t>
      </w:r>
    </w:p>
    <w:p>
      <w:pPr>
        <w:pStyle w:val="ListBullet"/>
        <w:widowControl/>
      </w:pPr>
      <w:r>
        <w:t>Auditoria de pergunta, intenção, fontes consultadas e resposta entregue.</w:t>
      </w:r>
    </w:p>
    <w:p>
      <w:pPr>
        <w:pStyle w:val="ListBullet"/>
        <w:widowControl/>
      </w:pPr>
      <w:r>
        <w:t>Confirmação forte para qualquer ação futura; começar sem escrita ou comando operacional.</w:t>
      </w:r>
    </w:p>
    <w:p>
      <w:pPr>
        <w:pStyle w:val="ListBullet"/>
        <w:widowControl/>
      </w:pPr>
      <w:r>
        <w:t>Avaliação contínua de exatidão, autorização, vazamento, latência e custo.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blHeader w:val="true"/>
        </w:trPr>
        <w:tc>
          <w:tcPr>
            <w:tcW w:type="dxa" w:w="9400"/>
            <w:shd w:fill="FFF4D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b/>
                <w:color w:val="8A5A00"/>
              </w:rPr>
              <w:t xml:space="preserve">Ordem recomendada: </w:t>
            </w:r>
            <w:r>
              <w:t>Primeiro consolidar BI, métricas e permissões; depois oferecer IA. Um chatbot sobre dados inconsistentes apenas acelera respostas erradas.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  <w:keepNext/>
      </w:pPr>
      <w:r>
        <w:t>12. Arquitetura transversal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350"/>
            <w:shd w:fill="E8EEF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b/>
                <w:color w:val="17365D"/>
                <w:sz w:val="16"/>
              </w:rPr>
              <w:t>Princípio</w:t>
            </w:r>
          </w:p>
        </w:tc>
        <w:tc>
          <w:tcPr>
            <w:tcW w:type="dxa" w:w="7050"/>
            <w:shd w:fill="E8EEF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b/>
                <w:color w:val="17365D"/>
                <w:sz w:val="16"/>
              </w:rPr>
              <w:t>Aplicação</w:t>
            </w:r>
          </w:p>
        </w:tc>
      </w:tr>
      <w:tr>
        <w:tc>
          <w:tcPr>
            <w:tcW w:type="dxa" w:w="23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Eventos de domínio</w:t>
            </w:r>
          </w:p>
        </w:tc>
        <w:tc>
          <w:tcPr>
            <w:tcW w:type="dxa" w:w="70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Publicar venda, compra, entrada, ajuste, pagamento e cancelamento com chave idempotente</w:t>
            </w:r>
          </w:p>
        </w:tc>
      </w:tr>
      <w:tr>
        <w:tc>
          <w:tcPr>
            <w:tcW w:type="dxa" w:w="23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Adapters</w:t>
            </w:r>
          </w:p>
        </w:tc>
        <w:tc>
          <w:tcPr>
            <w:tcW w:type="dxa" w:w="70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Isolar fornecedor externo e permitir substituição/homologação</w:t>
            </w:r>
          </w:p>
        </w:tc>
      </w:tr>
      <w:tr>
        <w:tc>
          <w:tcPr>
            <w:tcW w:type="dxa" w:w="23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Auditabilidade</w:t>
            </w:r>
          </w:p>
        </w:tc>
        <w:tc>
          <w:tcPr>
            <w:tcW w:type="dxa" w:w="70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Antes/depois, regra, versão, usuário, motivo e evidência</w:t>
            </w:r>
          </w:p>
        </w:tc>
      </w:tr>
      <w:tr>
        <w:tc>
          <w:tcPr>
            <w:tcW w:type="dxa" w:w="23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Feature flags</w:t>
            </w:r>
          </w:p>
        </w:tc>
        <w:tc>
          <w:tcPr>
            <w:tcW w:type="dxa" w:w="70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Ativar por empresa/loja, com piloto e rollback</w:t>
            </w:r>
          </w:p>
        </w:tc>
      </w:tr>
      <w:tr>
        <w:tc>
          <w:tcPr>
            <w:tcW w:type="dxa" w:w="23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Observabilidade</w:t>
            </w:r>
          </w:p>
        </w:tc>
        <w:tc>
          <w:tcPr>
            <w:tcW w:type="dxa" w:w="70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Métricas, logs estruturados, rastreamento e alertas por SLA</w:t>
            </w:r>
          </w:p>
        </w:tc>
      </w:tr>
      <w:tr>
        <w:tc>
          <w:tcPr>
            <w:tcW w:type="dxa" w:w="23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Segurança</w:t>
            </w:r>
          </w:p>
        </w:tc>
        <w:tc>
          <w:tcPr>
            <w:tcW w:type="dxa" w:w="70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Menor privilégio, segredos protegidos, TLS, rotação e segregação</w:t>
            </w:r>
          </w:p>
        </w:tc>
      </w:tr>
      <w:tr>
        <w:tc>
          <w:tcPr>
            <w:tcW w:type="dxa" w:w="23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Resiliência</w:t>
            </w:r>
          </w:p>
        </w:tc>
        <w:tc>
          <w:tcPr>
            <w:tcW w:type="dxa" w:w="70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Fila, retry com backoff, dead-letter, reconciliação e reprocessamento seguro</w:t>
            </w:r>
          </w:p>
        </w:tc>
      </w:tr>
      <w:tr>
        <w:tc>
          <w:tcPr>
            <w:tcW w:type="dxa" w:w="23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Governança de dados</w:t>
            </w:r>
          </w:p>
        </w:tc>
        <w:tc>
          <w:tcPr>
            <w:tcW w:type="dxa" w:w="70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Dicionário, dono da métrica, qualidade, retenção e LGPD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  <w:keepNext/>
      </w:pPr>
      <w:r>
        <w:t>12.1 Estados padronizados de integração</w:t>
      </w:r>
    </w:p>
    <w:p>
      <w:pPr>
        <w:widowControl/>
      </w:pPr>
      <w:r>
        <w:t>CRIADO → VALIDANDO → PRONTO → ENVIANDO → CONFIRMADO. Falhas devem ir para PENDENTE_DE_AÇÃO ou ERRO_REPROCESSÁVEL, mantendo tentativa, causa, próxima ação e correlação. Estados finais não podem ser alterados sem evento compensatório.</w:t>
      </w:r>
    </w:p>
    <w:p>
      <w:pPr>
        <w:pStyle w:val="Heading1"/>
        <w:widowControl/>
        <w:keepNext/>
      </w:pPr>
      <w:r>
        <w:t>13. Roadmap priorizado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550"/>
            <w:shd w:fill="E8EEF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b/>
                <w:color w:val="17365D"/>
                <w:sz w:val="16"/>
              </w:rPr>
              <w:t>Onda</w:t>
            </w:r>
          </w:p>
        </w:tc>
        <w:tc>
          <w:tcPr>
            <w:tcW w:type="dxa" w:w="4850"/>
            <w:shd w:fill="E8EEF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b/>
                <w:color w:val="17365D"/>
                <w:sz w:val="16"/>
              </w:rPr>
              <w:t>Entregas</w:t>
            </w:r>
          </w:p>
        </w:tc>
        <w:tc>
          <w:tcPr>
            <w:tcW w:type="dxa" w:w="3000"/>
            <w:shd w:fill="E8EEF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b/>
                <w:color w:val="17365D"/>
                <w:sz w:val="16"/>
              </w:rPr>
              <w:t>Resultado esperado</w:t>
            </w:r>
          </w:p>
        </w:tc>
      </w:tr>
      <w:tr>
        <w:tc>
          <w:tcPr>
            <w:tcW w:type="dxa" w:w="15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P0 — Fundamentos</w:t>
            </w:r>
          </w:p>
        </w:tc>
        <w:tc>
          <w:tcPr>
            <w:tcW w:type="dxa" w:w="48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Conciliação bancos/cartões; pedido x nota; compras sugeridas; motor de preço; inventário/validade; PDV resiliente</w:t>
            </w:r>
          </w:p>
        </w:tc>
        <w:tc>
          <w:tcPr>
            <w:tcW w:type="dxa" w:w="30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Reduz perdas, divergências e interrupções</w:t>
            </w:r>
          </w:p>
        </w:tc>
      </w:tr>
      <w:tr>
        <w:tc>
          <w:tcPr>
            <w:tcW w:type="dxa" w:w="15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P1 — Escala</w:t>
            </w:r>
          </w:p>
        </w:tc>
        <w:tc>
          <w:tcPr>
            <w:tcW w:type="dxa" w:w="48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Acordos; Nota Fácil; BI semântico; transferência multi-loja; adapters de balança/etiqueta/coletor</w:t>
            </w:r>
          </w:p>
        </w:tc>
        <w:tc>
          <w:tcPr>
            <w:tcW w:type="dxa" w:w="30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Automação ponta a ponta e gestão central</w:t>
            </w:r>
          </w:p>
        </w:tc>
      </w:tr>
      <w:tr>
        <w:tc>
          <w:tcPr>
            <w:tcW w:type="dxa" w:w="15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P2 — Inteligência</w:t>
            </w:r>
          </w:p>
        </w:tc>
        <w:tc>
          <w:tcPr>
            <w:tcW w:type="dxa" w:w="485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Assistente IA; previsão avançada; anomalias; recomendações</w:t>
            </w:r>
          </w:p>
        </w:tc>
        <w:tc>
          <w:tcPr>
            <w:tcW w:type="dxa" w:w="30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Decisão mais rápida sobre dados governados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  <w:keepNext/>
      </w:pPr>
      <w:r>
        <w:t>13.1 Sequência dos próximos 90 dias</w:t>
      </w:r>
    </w:p>
    <w:p>
      <w:pPr>
        <w:pStyle w:val="ListNumber"/>
        <w:widowControl/>
      </w:pPr>
      <w:r>
        <w:t>Mapear fluxos reais de uma loja piloto e medir ruptura, perda, divergência de nota, conciliação e indisponibilidade do PDV.</w:t>
      </w:r>
    </w:p>
    <w:p>
      <w:pPr>
        <w:pStyle w:val="ListNumber"/>
        <w:widowControl/>
      </w:pPr>
      <w:r>
        <w:t>Definir dicionário de métricas e contratos de eventos/adapters.</w:t>
      </w:r>
    </w:p>
    <w:p>
      <w:pPr>
        <w:pStyle w:val="ListNumber"/>
        <w:widowControl/>
      </w:pPr>
      <w:r>
        <w:t>Entregar conciliação bancária/cartão e comparação pedido x nota como primeiros pilotos.</w:t>
      </w:r>
    </w:p>
    <w:p>
      <w:pPr>
        <w:pStyle w:val="ListNumber"/>
        <w:widowControl/>
      </w:pPr>
      <w:r>
        <w:t>Adicionar contagem cega/múltipla, validade e fila de divergências de estoque.</w:t>
      </w:r>
    </w:p>
    <w:p>
      <w:pPr>
        <w:pStyle w:val="ListNumber"/>
        <w:widowControl/>
      </w:pPr>
      <w:r>
        <w:t>Criar simulador de preço/margem antes da publicação.</w:t>
      </w:r>
    </w:p>
    <w:p>
      <w:pPr>
        <w:pStyle w:val="ListNumber"/>
        <w:widowControl/>
      </w:pPr>
      <w:r>
        <w:t>Implantar observabilidade e painel operacional do PDV.</w:t>
      </w:r>
    </w:p>
    <w:p>
      <w:pPr>
        <w:pStyle w:val="ListNumber"/>
        <w:widowControl/>
      </w:pPr>
      <w:r>
        <w:t>Homologar, medir ganho e só então ampliar para outras lojas.</w:t>
      </w:r>
    </w:p>
    <w:p>
      <w:pPr>
        <w:pStyle w:val="Heading1"/>
        <w:widowControl/>
        <w:keepNext/>
      </w:pPr>
      <w:r>
        <w:t>14. Critérios gerais de aceite</w:t>
      </w:r>
    </w:p>
    <w:p>
      <w:pPr>
        <w:pStyle w:val="ListBullet"/>
        <w:widowControl/>
      </w:pPr>
      <w:r>
        <w:t>[ ] Nenhuma integração duplica evento após repetição, timeout ou reinício.</w:t>
      </w:r>
    </w:p>
    <w:p>
      <w:pPr>
        <w:pStyle w:val="ListBullet"/>
        <w:widowControl/>
      </w:pPr>
      <w:r>
        <w:t>[ ] Toda decisão automática é explicável por regra, versão e dados de entrada.</w:t>
      </w:r>
    </w:p>
    <w:p>
      <w:pPr>
        <w:pStyle w:val="ListBullet"/>
        <w:widowControl/>
      </w:pPr>
      <w:r>
        <w:t>[ ] Exceção e desbloqueio exigem permissão, motivo e auditoria.</w:t>
      </w:r>
    </w:p>
    <w:p>
      <w:pPr>
        <w:pStyle w:val="ListBullet"/>
        <w:widowControl/>
      </w:pPr>
      <w:r>
        <w:t>[ ] Indicadores reconciliam com a origem e informam atualização/escopo.</w:t>
      </w:r>
    </w:p>
    <w:p>
      <w:pPr>
        <w:pStyle w:val="ListBullet"/>
        <w:widowControl/>
      </w:pPr>
      <w:r>
        <w:t>[ ] Operação offline preserva venda, pagamento, estoque e fiscal sem duplicidade.</w:t>
      </w:r>
    </w:p>
    <w:p>
      <w:pPr>
        <w:pStyle w:val="ListBullet"/>
        <w:widowControl/>
      </w:pPr>
      <w:r>
        <w:t>[ ] Segredos e dados sensíveis não aparecem em logs, arquivos ou mensagens de erro.</w:t>
      </w:r>
    </w:p>
    <w:p>
      <w:pPr>
        <w:pStyle w:val="ListBullet"/>
        <w:widowControl/>
      </w:pPr>
      <w:r>
        <w:t>[ ] Cada adapter possui ambiente de homologação, monitoramento, SLA e plano de contingência.</w:t>
      </w:r>
    </w:p>
    <w:p>
      <w:pPr>
        <w:pStyle w:val="ListBullet"/>
        <w:widowControl/>
      </w:pPr>
      <w:r>
        <w:t>[ ] Mudança crítica tem piloto, feature flag, rollback e aceite do responsável de negócio.</w:t>
      </w:r>
    </w:p>
    <w:p>
      <w:pPr>
        <w:pStyle w:val="Heading1"/>
        <w:widowControl/>
        <w:keepNext/>
      </w:pPr>
      <w:r>
        <w:t>15. Riscos e decisões de produto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3000"/>
            <w:shd w:fill="E8EEF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b/>
                <w:color w:val="17365D"/>
                <w:sz w:val="16"/>
              </w:rPr>
              <w:t>Risco</w:t>
            </w:r>
          </w:p>
        </w:tc>
        <w:tc>
          <w:tcPr>
            <w:tcW w:type="dxa" w:w="6400"/>
            <w:shd w:fill="E8EEF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b/>
                <w:color w:val="17365D"/>
                <w:sz w:val="16"/>
              </w:rPr>
              <w:t>Tratamento</w:t>
            </w:r>
          </w:p>
        </w:tc>
      </w:tr>
      <w:tr>
        <w:tc>
          <w:tcPr>
            <w:tcW w:type="dxa" w:w="30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Copiar marketing sem validar operação</w:t>
            </w:r>
          </w:p>
        </w:tc>
        <w:tc>
          <w:tcPr>
            <w:tcW w:type="dxa" w:w="64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Prototipar com usuários, medir e homologar</w:t>
            </w:r>
          </w:p>
        </w:tc>
      </w:tr>
      <w:tr>
        <w:tc>
          <w:tcPr>
            <w:tcW w:type="dxa" w:w="30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Automação sobre cadastro ruim</w:t>
            </w:r>
          </w:p>
        </w:tc>
        <w:tc>
          <w:tcPr>
            <w:tcW w:type="dxa" w:w="64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Bloquear por qualidade e criar saneamento assistido</w:t>
            </w:r>
          </w:p>
        </w:tc>
      </w:tr>
      <w:tr>
        <w:tc>
          <w:tcPr>
            <w:tcW w:type="dxa" w:w="30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Previsão sem explicação</w:t>
            </w:r>
          </w:p>
        </w:tc>
        <w:tc>
          <w:tcPr>
            <w:tcW w:type="dxa" w:w="64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Exibir fatores, confiança e permitir correção</w:t>
            </w:r>
          </w:p>
        </w:tc>
      </w:tr>
      <w:tr>
        <w:tc>
          <w:tcPr>
            <w:tcW w:type="dxa" w:w="30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Dependência de fornecedor</w:t>
            </w:r>
          </w:p>
        </w:tc>
        <w:tc>
          <w:tcPr>
            <w:tcW w:type="dxa" w:w="64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Adapters, contratos versionados e exportação de dados</w:t>
            </w:r>
          </w:p>
        </w:tc>
      </w:tr>
      <w:tr>
        <w:tc>
          <w:tcPr>
            <w:tcW w:type="dxa" w:w="30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PDV offline inconsistente</w:t>
            </w:r>
          </w:p>
        </w:tc>
        <w:tc>
          <w:tcPr>
            <w:tcW w:type="dxa" w:w="64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Fila local, idempotência e reconciliação obrigatória</w:t>
            </w:r>
          </w:p>
        </w:tc>
      </w:tr>
      <w:tr>
        <w:tc>
          <w:tcPr>
            <w:tcW w:type="dxa" w:w="30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IA expor informações</w:t>
            </w:r>
          </w:p>
        </w:tc>
        <w:tc>
          <w:tcPr>
            <w:tcW w:type="dxa" w:w="64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RBAC, camada semântica, mascaramento e auditoria</w:t>
            </w:r>
          </w:p>
        </w:tc>
      </w:tr>
      <w:tr>
        <w:tc>
          <w:tcPr>
            <w:tcW w:type="dxa" w:w="30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Escopo fiscal/contábil indevido</w:t>
            </w:r>
          </w:p>
        </w:tc>
        <w:tc>
          <w:tcPr>
            <w:tcW w:type="dxa" w:w="64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sz w:val="16"/>
              </w:rPr>
              <w:t>Validação com profissionais responsáveis e documentação específica</w:t>
            </w:r>
          </w:p>
        </w:tc>
      </w:tr>
    </w:tbl>
    <w:p>
      <w:pPr>
        <w:spacing w:after="0"/>
        <w:widowControl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blHeader w:val="true"/>
        </w:trPr>
        <w:tc>
          <w:tcPr>
            <w:tcW w:type="dxa" w:w="9400"/>
            <w:shd w:fill="F4F6F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b/>
                <w:color w:val="17365D"/>
              </w:rPr>
              <w:t xml:space="preserve">Decisão de escopo: </w:t>
            </w:r>
            <w:r>
              <w:t>Não foi possível confirmar configuração, licença ou uso real de todos os módulos iSOLIDUS no ambiente do usuário. Executáveis e pastas são indícios; capacidades competitivas deste documento foram tratadas como declarações públicas do fornecedor.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  <w:keepNext/>
      </w:pPr>
      <w:r>
        <w:t>16. Fontes e rastreabilidade</w:t>
      </w:r>
    </w:p>
    <w:p>
      <w:pPr>
        <w:pStyle w:val="ListBullet"/>
        <w:widowControl/>
      </w:pPr>
      <w:hyperlink r:id="rId11">
        <w:r>
          <w:rPr>
            <w:color w:val="2E74B5"/>
            <w:u w:val="single"/>
          </w:rPr>
          <w:t>Intersolid — Inteligência Artificial</w:t>
        </w:r>
      </w:hyperlink>
    </w:p>
    <w:p>
      <w:pPr>
        <w:pStyle w:val="ListBullet"/>
        <w:widowControl/>
      </w:pPr>
      <w:hyperlink r:id="rId12">
        <w:r>
          <w:rPr>
            <w:color w:val="2E74B5"/>
            <w:u w:val="single"/>
          </w:rPr>
          <w:t>Intersolid — Financeiro</w:t>
        </w:r>
      </w:hyperlink>
    </w:p>
    <w:p>
      <w:pPr>
        <w:pStyle w:val="ListBullet"/>
        <w:widowControl/>
      </w:pPr>
      <w:hyperlink r:id="rId13">
        <w:r>
          <w:rPr>
            <w:color w:val="2E74B5"/>
            <w:u w:val="single"/>
          </w:rPr>
          <w:t>Intersolid — Compras e Acordos</w:t>
        </w:r>
      </w:hyperlink>
    </w:p>
    <w:p>
      <w:pPr>
        <w:pStyle w:val="ListBullet"/>
        <w:widowControl/>
      </w:pPr>
      <w:hyperlink r:id="rId14">
        <w:r>
          <w:rPr>
            <w:color w:val="2E74B5"/>
            <w:u w:val="single"/>
          </w:rPr>
          <w:t>Intersolid — Base e Movimento</w:t>
        </w:r>
      </w:hyperlink>
    </w:p>
    <w:p>
      <w:pPr>
        <w:pStyle w:val="ListBullet"/>
        <w:widowControl/>
      </w:pPr>
      <w:hyperlink r:id="rId15">
        <w:r>
          <w:rPr>
            <w:color w:val="2E74B5"/>
            <w:u w:val="single"/>
          </w:rPr>
          <w:t>Intersolid — Gestão Inteligente</w:t>
        </w:r>
      </w:hyperlink>
    </w:p>
    <w:p>
      <w:pPr>
        <w:pStyle w:val="ListBullet"/>
        <w:widowControl/>
      </w:pPr>
      <w:hyperlink r:id="rId16">
        <w:r>
          <w:rPr>
            <w:color w:val="2E74B5"/>
            <w:u w:val="single"/>
          </w:rPr>
          <w:t>Intersolid — Sistema para supermercado</w:t>
        </w:r>
      </w:hyperlink>
    </w:p>
    <w:p>
      <w:pPr>
        <w:pStyle w:val="ListBullet"/>
        <w:widowControl/>
      </w:pPr>
      <w:hyperlink r:id="rId17">
        <w:r>
          <w:rPr>
            <w:color w:val="2E74B5"/>
            <w:u w:val="single"/>
          </w:rPr>
          <w:t>Intersolid — Fiscal e Contábil</w:t>
        </w:r>
      </w:hyperlink>
    </w:p>
    <w:p>
      <w:pPr>
        <w:pStyle w:val="ListBullet"/>
        <w:widowControl/>
      </w:pPr>
      <w:hyperlink r:id="rId18">
        <w:r>
          <w:rPr>
            <w:color w:val="2E74B5"/>
            <w:u w:val="single"/>
          </w:rPr>
          <w:t>Intersolid na APAS Show 2026</w:t>
        </w:r>
      </w:hyperlink>
    </w:p>
    <w:p>
      <w:pPr>
        <w:pStyle w:val="Heading2"/>
        <w:widowControl/>
        <w:keepNext/>
      </w:pPr>
      <w:r>
        <w:t>16.1 Evidência interna</w:t>
      </w:r>
    </w:p>
    <w:p>
      <w:pPr>
        <w:widowControl/>
      </w:pPr>
      <w:r>
        <w:t>Revisão do pacote DeTecServer 0.1.16, especialmente os módulos accounts, auditoria, clientes, compras, configurações, empresas, estoque, financeiro, fiscal, fornecedores, licenciamento, marketplace, PDV, produtos, promoções, relatórios e vendas. A análise considera estrutura e código disponível, não dados reais da empresa.</w:t>
      </w:r>
    </w:p>
    <w:p>
      <w:pPr>
        <w:widowControl/>
      </w:pPr>
      <w:r>
        <w:t>Artefatos locais anteriormente observados na instalação iSOLIDUS incluem executáveis relacionados a ERP, PDV/carga, supervisão, integração, análises, NF-e e canais digitais. Esses nomes foram usados apenas para orientar investigação, não para afirmar funcionamento ou licença.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123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3"/>
        <w:sz w:val="15"/>
      </w:rPr>
      <w:t>Comparativo técnico interno — confirmar regras fiscais, financeiras e operacionais com especialistas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b/>
        <w:color w:val="5B6573"/>
        <w:sz w:val="16"/>
      </w:rPr>
      <w:t>DETEC | PLANO MESTRE DE EVOLUÇÃO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1F1F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Calibri" w:hAnsi="Calibri"/>
      <w:b w:val="0"/>
      <w:i/>
      <w:iCs/>
      <w:color w:val="5B65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18" w:hanging="259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18" w:hanging="259"/>
      <w:contextualSpacing/>
    </w:pPr>
    <w:rPr>
      <w:rFonts w:ascii="Calibri" w:hAnsi="Calibr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intersolid.com.br/inteligencia-artificial/" TargetMode="External"/><Relationship Id="rId12" Type="http://schemas.openxmlformats.org/officeDocument/2006/relationships/hyperlink" Target="https://intersolid.com.br/financeiro/" TargetMode="External"/><Relationship Id="rId13" Type="http://schemas.openxmlformats.org/officeDocument/2006/relationships/hyperlink" Target="https://intersolid.com.br/compras-e-acordos/" TargetMode="External"/><Relationship Id="rId14" Type="http://schemas.openxmlformats.org/officeDocument/2006/relationships/hyperlink" Target="https://intersolid.com.br/base-e-movimento/" TargetMode="External"/><Relationship Id="rId15" Type="http://schemas.openxmlformats.org/officeDocument/2006/relationships/hyperlink" Target="https://intersolid.com.br/gestao-inteligente/" TargetMode="External"/><Relationship Id="rId16" Type="http://schemas.openxmlformats.org/officeDocument/2006/relationships/hyperlink" Target="https://intersolid.com.br/solucoes/sistema-supermercado/" TargetMode="External"/><Relationship Id="rId17" Type="http://schemas.openxmlformats.org/officeDocument/2006/relationships/hyperlink" Target="https://intersolid.com.br/fiscal-e-contabil/" TargetMode="External"/><Relationship Id="rId18" Type="http://schemas.openxmlformats.org/officeDocument/2006/relationships/hyperlink" Target="https://intersolid.com.br/2026/05/intersolid-na-apas-show-202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Mestre de Evolução do DeTecServer</dc:title>
  <dc:subject>Comparativo técnico com iSOLIDUS/Intersolid</dc:subject>
  <dc:creator>Equipe DeTec</dc:creator>
  <cp:keywords>DeTecServer, iSOLIDUS, varejo, ERP, PDV, compras, estoque, financeiro, BI, IA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