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80"/>
      </w:pPr>
      <w:r>
        <w:rPr>
          <w:b/>
          <w:color w:val="464646"/>
          <w:sz w:val="24"/>
        </w:rPr>
        <w:t>SOFTWARE II</w:t>
      </w:r>
    </w:p>
    <w:p>
      <w:pPr>
        <w:pStyle w:val="Title"/>
      </w:pPr>
      <w:r>
        <w:t>Entregable final de refactorización de F 02</w:t>
      </w:r>
    </w:p>
    <w:p>
      <w:pPr>
        <w:spacing w:after="560"/>
      </w:pPr>
      <w:r>
        <w:rPr>
          <w:b/>
          <w:color w:val="000000"/>
          <w:sz w:val="34"/>
        </w:rPr>
        <w:t>Registrar pedidos digitales por mesa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70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Proyecto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Arepas Lulú</w:t>
            </w:r>
          </w:p>
        </w:tc>
      </w:tr>
      <w:tr>
        <w:tc>
          <w:tcPr>
            <w:tcW w:type="dxa" w:w="244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Actividad</w:t>
            </w:r>
          </w:p>
        </w:tc>
        <w:tc>
          <w:tcPr>
            <w:tcW w:type="dxa" w:w="7056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Taller de Refactorización y Cierre de Arquitectura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Alcance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Diagnóstico, intervención, verificación y cierre</w:t>
            </w:r>
          </w:p>
        </w:tc>
      </w:tr>
      <w:tr>
        <w:tc>
          <w:tcPr>
            <w:tcW w:type="dxa" w:w="244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Repositorio</w:t>
            </w:r>
          </w:p>
        </w:tc>
        <w:tc>
          <w:tcPr>
            <w:tcW w:type="dxa" w:w="7056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Deim05x/arepas-lulu-prototype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Fecha de verificación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20"/>
              </w:rPr>
              <w:t>29 de octubre de 2026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b/>
          <w:sz w:val="24"/>
        </w:rPr>
        <w:t>Conclusión principal</w:t>
      </w:r>
    </w:p>
    <w:p>
      <w:r>
        <w:t>La refactorización corrigió el riesgo de sobreventa de inventario bajo concurrencia, redujo el acoplamiento del agregado Pedido y amplió la cobertura del contrato REST. Los diez tests del backend finalizaron sin fallos. Queda una decisión de negocio pendiente sobre la creación automática de mesas inexistentes.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100"/>
        <w:ind w:left="288"/>
      </w:pPr>
      <w:r>
        <w:t>1 Objetivo y alcance</w:t>
      </w:r>
    </w:p>
    <w:p>
      <w:pPr>
        <w:spacing w:after="100"/>
        <w:ind w:left="288"/>
      </w:pPr>
      <w:r>
        <w:t>2 Arquitectura real de F 02</w:t>
      </w:r>
    </w:p>
    <w:p>
      <w:pPr>
        <w:spacing w:after="100"/>
        <w:ind w:left="288"/>
      </w:pPr>
      <w:r>
        <w:t>3 Diagnóstico y hallazgos verificables</w:t>
      </w:r>
    </w:p>
    <w:p>
      <w:pPr>
        <w:spacing w:after="100"/>
        <w:ind w:left="288"/>
      </w:pPr>
      <w:r>
        <w:t>4 Priorización de la intervención</w:t>
      </w:r>
    </w:p>
    <w:p>
      <w:pPr>
        <w:spacing w:after="100"/>
        <w:ind w:left="288"/>
      </w:pPr>
      <w:r>
        <w:t>5 Refactorización implementada</w:t>
      </w:r>
    </w:p>
    <w:p>
      <w:pPr>
        <w:spacing w:after="100"/>
        <w:ind w:left="288"/>
      </w:pPr>
      <w:r>
        <w:t>6 Evidencia de pruebas</w:t>
      </w:r>
    </w:p>
    <w:p>
      <w:pPr>
        <w:spacing w:after="100"/>
        <w:ind w:left="288"/>
      </w:pPr>
      <w:r>
        <w:t>7 Trazabilidad de requisitos y archivos</w:t>
      </w:r>
    </w:p>
    <w:p>
      <w:pPr>
        <w:spacing w:after="100"/>
        <w:ind w:left="288"/>
      </w:pPr>
      <w:r>
        <w:t>8 Cierre de arquitectura</w:t>
      </w:r>
    </w:p>
    <w:p>
      <w:pPr>
        <w:spacing w:after="100"/>
        <w:ind w:left="288"/>
      </w:pPr>
      <w:r>
        <w:t>9 Evidencia de Git y guía de entrega</w:t>
      </w:r>
    </w:p>
    <w:p>
      <w:pPr>
        <w:pStyle w:val="Heading1"/>
      </w:pPr>
      <w:r>
        <w:t>Resumen ejecutivo</w:t>
      </w:r>
    </w:p>
    <w:p>
      <w:r>
        <w:t>Este informe consolida los entregables del taller aplicado a F-02. La revisión cubrió el controlador, la coordinación transaccional, el dominio, la persistencia, el inventario, las mesas y las pruebas. Se identificaron cuatro hallazgos; tres fueron intervenidos y verificados, mientras que uno permanece abierto porque depende de una regla de negocio que el código y los requisitos disponibles no resuelven por sí solos.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63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Consistencia concurrente</w:t>
            </w:r>
          </w:p>
        </w:tc>
        <w:tc>
          <w:tcPr>
            <w:tcW w:type="dxa" w:w="63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Un solo pedido consume la última unidad disponible</w:t>
            </w:r>
          </w:p>
        </w:tc>
      </w:tr>
      <w:tr>
        <w:tc>
          <w:tcPr>
            <w:tcW w:type="dxa" w:w="316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Menor acoplamiento</w:t>
            </w:r>
          </w:p>
        </w:tc>
        <w:tc>
          <w:tcPr>
            <w:tcW w:type="dxa" w:w="6336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LineaPedido separa transporte, catálogo y construcción del agregado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Contrato protegido</w:t>
            </w:r>
          </w:p>
        </w:tc>
        <w:tc>
          <w:tcPr>
            <w:tcW w:type="dxa" w:w="63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Pruebas HTTP cubren creación, consultas y errores 400 y 409</w:t>
            </w:r>
          </w:p>
        </w:tc>
      </w:tr>
      <w:tr>
        <w:tc>
          <w:tcPr>
            <w:tcW w:type="dxa" w:w="316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Suite verificada</w:t>
            </w:r>
          </w:p>
        </w:tc>
        <w:tc>
          <w:tcPr>
            <w:tcW w:type="dxa" w:w="6336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10 tests, 0 fallos, 0 errores y 0 omitidos</w:t>
            </w:r>
          </w:p>
        </w:tc>
      </w:tr>
    </w:tbl>
    <w:p>
      <w:pPr>
        <w:spacing w:after="0"/>
      </w:pPr>
    </w:p>
    <w:p>
      <w:pPr>
        <w:pStyle w:val="Heading1"/>
      </w:pPr>
      <w:r>
        <w:t>1 Objetivo y alcance</w:t>
      </w:r>
    </w:p>
    <w:p>
      <w:r>
        <w:t>El objetivo fue revisar y refactorizar F-02 sin alterar su comportamiento observable. La funcionalidad permite registrar pedidos asociados a una mesa, validar productos y precios, calcular totales, descontar ingredientes y marcar la mesa como ocupada dentro de una misma transacción.</w:t>
      </w:r>
    </w:p>
    <w:p>
      <w:pPr>
        <w:pStyle w:val="Heading2"/>
      </w:pPr>
      <w:r>
        <w:t>1.1 Componentes inspeccionados</w:t>
      </w:r>
    </w:p>
    <w:p>
      <w:pPr>
        <w:pStyle w:val="ListBullet"/>
      </w:pPr>
      <w:r>
        <w:t>Controlador y DTO: recepción del pedido y códigos HTTP.</w:t>
      </w:r>
    </w:p>
    <w:p>
      <w:pPr>
        <w:pStyle w:val="ListBullet"/>
      </w:pPr>
      <w:r>
        <w:t>Servicio de aplicación: orquestación y límite transaccional.</w:t>
      </w:r>
    </w:p>
    <w:p>
      <w:pPr>
        <w:pStyle w:val="ListBullet"/>
      </w:pPr>
      <w:r>
        <w:t>Fábrica y dominio: construcción de Pedido y PedidoItem.</w:t>
      </w:r>
    </w:p>
    <w:p>
      <w:pPr>
        <w:pStyle w:val="ListBullet"/>
      </w:pPr>
      <w:r>
        <w:t>Persistencia: repositorios de pedidos e inventario.</w:t>
      </w:r>
    </w:p>
    <w:p>
      <w:pPr>
        <w:pStyle w:val="ListBullet"/>
      </w:pPr>
      <w:r>
        <w:t>Servicios relacionados: catálogo, recetas, stock y mesas.</w:t>
      </w:r>
    </w:p>
    <w:p>
      <w:pPr>
        <w:pStyle w:val="ListBullet"/>
      </w:pPr>
      <w:r>
        <w:t>Pruebas: fábrica, integración de flujo, contrato HTTP y concurrencia.</w:t>
      </w:r>
    </w:p>
    <w:p>
      <w:pPr>
        <w:pStyle w:val="Heading2"/>
      </w:pPr>
      <w:r>
        <w:t>1.2 Restricciones de la intervención</w:t>
      </w:r>
    </w:p>
    <w:p>
      <w:r>
        <w:t>Se conservaron los endpoints, los DTO de respuesta y el esquema de base de datos. No fue necesaria una migración Flyway. El cambio se limitó a F-02 y a los servicios que participan directamente en su transacción.</w:t>
      </w:r>
    </w:p>
    <w:p>
      <w:pPr>
        <w:pStyle w:val="Heading1"/>
      </w:pPr>
      <w:r>
        <w:t>2 Arquitectura real de F 02</w:t>
      </w:r>
    </w:p>
    <w:p>
      <w:r>
        <w:t>La solución es una SPA React conectada por REST a una API Spring Boot organizada como monolito modular. Para F-02, PedidoService actúa como servicio de aplicación y delimita la transacción que une catálogo, inventario, persistencia de pedidos y estado de la mesa.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Borders>
              <w:top w:val="single" w:sz="6" w:color="C7CDD4"/>
              <w:left w:val="single" w:sz="6" w:color="C7CDD4"/>
              <w:bottom w:val="single" w:sz="6" w:color="C7CDD4"/>
              <w:right w:val="single" w:sz="6" w:color="C7CDD4"/>
              <w:insideH w:val="single" w:sz="6" w:color="C7CDD4"/>
              <w:insideV w:val="single" w:sz="6" w:color="C7CDD4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OrderPage</w:t>
              <w:br/>
            </w:r>
            <w:r>
              <w:rPr>
                <w:rFonts w:ascii="Consolas" w:hAnsi="Consolas"/>
                <w:sz w:val="17"/>
              </w:rPr>
              <w:t xml:space="preserve">  -&gt; POST /api/pedidos</w:t>
              <w:br/>
            </w:r>
            <w:r>
              <w:rPr>
                <w:rFonts w:ascii="Consolas" w:hAnsi="Consolas"/>
                <w:sz w:val="17"/>
              </w:rPr>
              <w:t xml:space="preserve">  -&gt; PedidoController</w:t>
              <w:br/>
            </w:r>
            <w:r>
              <w:rPr>
                <w:rFonts w:ascii="Consolas" w:hAnsi="Consolas"/>
                <w:sz w:val="17"/>
              </w:rPr>
              <w:t xml:space="preserve">  -&gt; PedidoService  @Transactional</w:t>
              <w:br/>
            </w:r>
            <w:r>
              <w:rPr>
                <w:rFonts w:ascii="Consolas" w:hAnsi="Consolas"/>
                <w:sz w:val="17"/>
              </w:rPr>
              <w:t xml:space="preserve">      -&gt; ProductoRepository</w:t>
              <w:br/>
            </w:r>
            <w:r>
              <w:rPr>
                <w:rFonts w:ascii="Consolas" w:hAnsi="Consolas"/>
                <w:sz w:val="17"/>
              </w:rPr>
              <w:t xml:space="preserve">      -&gt; InventoryService</w:t>
              <w:br/>
            </w:r>
            <w:r>
              <w:rPr>
                <w:rFonts w:ascii="Consolas" w:hAnsi="Consolas"/>
                <w:sz w:val="17"/>
              </w:rPr>
              <w:t xml:space="preserve">      -&gt; PedidoFactory</w:t>
              <w:br/>
            </w:r>
            <w:r>
              <w:rPr>
                <w:rFonts w:ascii="Consolas" w:hAnsi="Consolas"/>
                <w:sz w:val="17"/>
              </w:rPr>
              <w:t xml:space="preserve">      -&gt; PedidoRepository</w:t>
              <w:br/>
            </w:r>
            <w:r>
              <w:rPr>
                <w:rFonts w:ascii="Consolas" w:hAnsi="Consolas"/>
                <w:sz w:val="17"/>
              </w:rPr>
              <w:t xml:space="preserve">      -&gt; MesaService</w:t>
            </w:r>
          </w:p>
        </w:tc>
      </w:tr>
    </w:tbl>
    <w:p>
      <w:pPr>
        <w:spacing w:after="0"/>
      </w:pPr>
    </w:p>
    <w:p>
      <w:pPr>
        <w:pStyle w:val="Heading2"/>
      </w:pPr>
      <w:r>
        <w:t>2.1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9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 en F 02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PedidoController</w:t>
            </w:r>
          </w:p>
        </w:tc>
        <w:tc>
          <w:tcPr>
            <w:tcW w:type="dxa" w:w="6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Validar la entrada, delegar y traducir el resultado a HTTP 201</w:t>
            </w:r>
          </w:p>
        </w:tc>
      </w:tr>
      <w:tr>
        <w:tc>
          <w:tcPr>
            <w:tcW w:type="dxa" w:w="2592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PedidoService</w:t>
            </w:r>
          </w:p>
        </w:tc>
        <w:tc>
          <w:tcPr>
            <w:tcW w:type="dxa" w:w="6912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Coordinar reglas, adaptación de datos y transacción completa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PedidoFactory</w:t>
            </w:r>
          </w:p>
        </w:tc>
        <w:tc>
          <w:tcPr>
            <w:tcW w:type="dxa" w:w="6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Construir el agregado Pedido y sus ítems</w:t>
            </w:r>
          </w:p>
        </w:tc>
      </w:tr>
      <w:tr>
        <w:tc>
          <w:tcPr>
            <w:tcW w:type="dxa" w:w="2592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InventoryService</w:t>
            </w:r>
          </w:p>
        </w:tc>
        <w:tc>
          <w:tcPr>
            <w:tcW w:type="dxa" w:w="6912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Calcular consumo por receta y exigir stock suficiente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InventoryRepository</w:t>
            </w:r>
          </w:p>
        </w:tc>
        <w:tc>
          <w:tcPr>
            <w:tcW w:type="dxa" w:w="6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Ejecutar el descuento atómico sobre ingredientes</w:t>
            </w:r>
          </w:p>
        </w:tc>
      </w:tr>
      <w:tr>
        <w:tc>
          <w:tcPr>
            <w:tcW w:type="dxa" w:w="2592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MesaService</w:t>
            </w:r>
          </w:p>
        </w:tc>
        <w:tc>
          <w:tcPr>
            <w:tcW w:type="dxa" w:w="6912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Asegurar y ocupar la mesa asociada al pedido</w:t>
            </w:r>
          </w:p>
        </w:tc>
      </w:tr>
    </w:tbl>
    <w:p>
      <w:pPr>
        <w:spacing w:after="0"/>
      </w:pPr>
    </w:p>
    <w:p>
      <w:pPr>
        <w:pStyle w:val="Heading1"/>
      </w:pPr>
      <w:r>
        <w:t>3 Diagnóstico y hallazgos verificables</w:t>
      </w:r>
    </w:p>
    <w:p>
      <w:r>
        <w:t>Cada hallazgo se documentó con evidencia observable en el código, clasificación, impacto, prioridad y acción propuesta. La prioridad 1 representa la intervención más urgente.</w:t>
      </w:r>
    </w:p>
    <w:p>
      <w:pPr>
        <w:pStyle w:val="Heading2"/>
      </w:pPr>
      <w:r>
        <w:t>H-01 Actualización perdida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5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Clasificación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Riesgo arquitectónico y defecto concurrente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Evidencia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La secuencia inicial leía stock, validaba en memoria y escribía un valor absoluto.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Impacto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Dos pedidos podían aprobar el mismo stock y vender más unidades de las disponibles.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Prioridad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Propuesta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Descuento SQL condicionado y atómico.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Estado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Implementado y verificado</w:t>
            </w:r>
          </w:p>
        </w:tc>
      </w:tr>
    </w:tbl>
    <w:p>
      <w:pPr>
        <w:spacing w:after="0"/>
      </w:pPr>
    </w:p>
    <w:p>
      <w:pPr>
        <w:pStyle w:val="Heading2"/>
      </w:pPr>
      <w:r>
        <w:t>H-02 Creación implícita de mesas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5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Clasificación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Riesgo de regla de negocio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Evidencia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MesaService.asegurarMesa crea una mesa inexistente con capacidad 4.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Impacto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Un error de digitación puede crear una mesa y asociar un pedido.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Prioridad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Propuesta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Confirmar la regla y luego rechazar con 404 o 409 si corresponde.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Estado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Pendiente de decisión</w:t>
            </w:r>
          </w:p>
        </w:tc>
      </w:tr>
    </w:tbl>
    <w:p>
      <w:pPr>
        <w:spacing w:after="0"/>
      </w:pPr>
    </w:p>
    <w:p>
      <w:pPr>
        <w:pStyle w:val="Heading2"/>
      </w:pPr>
      <w:r>
        <w:t>H-03 Acoplamiento entre módulos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5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Clasificación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Deuda técnica de arquitectura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Evidencia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La fábrica conocía PedidoItemRequest y Producto; PedidoItem navegaba a Producto.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Impacto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Cambios HTTP o de catálogo se propagaban al agregado.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Prioridad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Propuesta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Introducir LineaPedido y persistir productoId como escalar.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Estado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Implementado y verificado</w:t>
            </w:r>
          </w:p>
        </w:tc>
      </w:tr>
    </w:tbl>
    <w:p>
      <w:pPr>
        <w:spacing w:after="0"/>
      </w:pPr>
    </w:p>
    <w:p>
      <w:pPr>
        <w:pStyle w:val="Heading2"/>
      </w:pPr>
      <w:r>
        <w:t>H-04 Cobertura incompleta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5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Clasificación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Deuda técnica de calidad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Evidencia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Las pruebas no recorrían el controlador ni las consultas HTTP declaradas en SWR-11.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Impacto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Una regresión del contrato REST podía pasar inadvertida.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Prioridad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Propuesta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Agregar integración HTTP y concurrencia.</w:t>
            </w:r>
          </w:p>
        </w:tc>
      </w:tr>
      <w:tr>
        <w:tc>
          <w:tcPr>
            <w:tcW w:type="dxa" w:w="194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Estado</w:t>
            </w:r>
          </w:p>
        </w:tc>
        <w:tc>
          <w:tcPr>
            <w:tcW w:type="dxa" w:w="756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Implementado y verificado</w:t>
            </w:r>
          </w:p>
        </w:tc>
      </w:tr>
    </w:tbl>
    <w:p>
      <w:pPr>
        <w:spacing w:after="0"/>
      </w:pPr>
    </w:p>
    <w:p>
      <w:pPr>
        <w:pStyle w:val="Heading1"/>
      </w:pPr>
      <w:r>
        <w:t>4 Priorización de la intervención</w:t>
      </w:r>
    </w:p>
    <w:p>
      <w:r>
        <w:t>La priorización combinó impacto funcional, riesgo de fallo y esfuerzo estimado. H-01 se atendió primero porque afectaba la integridad del inventario. H-04 se abordó inmediatamente después para crear una red de seguridad antes de profundizar los cambios estructurales.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9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Esfuerzo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final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H-01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Verificado</w:t>
            </w:r>
          </w:p>
        </w:tc>
      </w:tr>
      <w:tr>
        <w:tc>
          <w:tcPr>
            <w:tcW w:type="dxa" w:w="936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H-04</w:t>
            </w:r>
          </w:p>
        </w:tc>
        <w:tc>
          <w:tcPr>
            <w:tcW w:type="dxa" w:w="122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88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Verificado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H-02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936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H-03</w:t>
            </w:r>
          </w:p>
        </w:tc>
        <w:tc>
          <w:tcPr>
            <w:tcW w:type="dxa" w:w="122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88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Verificado</w:t>
            </w:r>
          </w:p>
        </w:tc>
      </w:tr>
    </w:tbl>
    <w:p>
      <w:pPr>
        <w:spacing w:after="0"/>
      </w:pPr>
    </w:p>
    <w:p>
      <w:pPr>
        <w:pStyle w:val="Heading1"/>
      </w:pPr>
      <w:r>
        <w:t>5 Refactorización implementada</w:t>
      </w:r>
    </w:p>
    <w:p>
      <w:pPr>
        <w:pStyle w:val="Heading2"/>
      </w:pPr>
      <w:r>
        <w:t>5.1 Inventario atómico</w:t>
      </w:r>
    </w:p>
    <w:p>
      <w:r>
        <w:t>La validación y el descuento de stock se trasladaron a una única sentencia UPDATE. La base de datos solo modifica la fila cuando el stock actual cubre la cantidad requerida. InventoryService comprueba el número de filas afectadas; si es cero, lanza BusinessRuleException y la transacción completa se revierte.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Borders>
              <w:top w:val="single" w:sz="6" w:color="C7CDD4"/>
              <w:left w:val="single" w:sz="6" w:color="C7CDD4"/>
              <w:bottom w:val="single" w:sz="6" w:color="C7CDD4"/>
              <w:right w:val="single" w:sz="6" w:color="C7CDD4"/>
              <w:insideH w:val="single" w:sz="6" w:color="C7CDD4"/>
              <w:insideV w:val="single" w:sz="6" w:color="C7CDD4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UPDATE ingredientes</w:t>
              <w:br/>
            </w:r>
            <w:r>
              <w:rPr>
                <w:rFonts w:ascii="Consolas" w:hAnsi="Consolas"/>
                <w:sz w:val="17"/>
              </w:rPr>
              <w:t>SET stock_actual = stock_actual - :cantidad</w:t>
              <w:br/>
            </w:r>
            <w:r>
              <w:rPr>
                <w:rFonts w:ascii="Consolas" w:hAnsi="Consolas"/>
                <w:sz w:val="17"/>
              </w:rPr>
              <w:t>WHERE id = :ingredienteId</w:t>
              <w:br/>
            </w:r>
            <w:r>
              <w:rPr>
                <w:rFonts w:ascii="Consolas" w:hAnsi="Consolas"/>
                <w:sz w:val="17"/>
              </w:rPr>
              <w:t xml:space="preserve">  AND stock_actual &gt;= :cantidad</w:t>
            </w:r>
          </w:p>
        </w:tc>
      </w:tr>
    </w:tbl>
    <w:p>
      <w:pPr>
        <w:spacing w:after="0"/>
      </w:pPr>
    </w:p>
    <w:p>
      <w:r>
        <w:t>Esta decisión elimina la ventana entre lectura y escritura. Con stock inicial igual a uno, dos transacciones concurrentes ya no pueden confirmar el mismo consumo.</w:t>
      </w:r>
    </w:p>
    <w:p>
      <w:pPr>
        <w:pStyle w:val="Heading2"/>
      </w:pPr>
      <w:r>
        <w:t>5.2 Desacoplamiento del agregado</w:t>
      </w:r>
    </w:p>
    <w:p>
      <w:r>
        <w:t>Se incorporó LineaPedido como valor interno. PedidoService adapta el DTO y el producto del catálogo a ese valor; PedidoFactory recibe únicamente la información necesaria y PedidoItem conserva productoId como dato escalar junto con la fotografía comercial del momento de compra.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Borders>
              <w:top w:val="single" w:sz="6" w:color="C7CDD4"/>
              <w:left w:val="single" w:sz="6" w:color="C7CDD4"/>
              <w:bottom w:val="single" w:sz="6" w:color="C7CDD4"/>
              <w:right w:val="single" w:sz="6" w:color="C7CDD4"/>
              <w:insideH w:val="single" w:sz="6" w:color="C7CDD4"/>
              <w:insideV w:val="single" w:sz="6" w:color="C7CDD4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PedidoRequest + Producto</w:t>
              <w:br/>
            </w:r>
            <w:r>
              <w:rPr>
                <w:rFonts w:ascii="Consolas" w:hAnsi="Consolas"/>
                <w:sz w:val="17"/>
              </w:rPr>
              <w:t xml:space="preserve">  -&gt; PedidoService adapta</w:t>
              <w:br/>
            </w:r>
            <w:r>
              <w:rPr>
                <w:rFonts w:ascii="Consolas" w:hAnsi="Consolas"/>
                <w:sz w:val="17"/>
              </w:rPr>
              <w:t xml:space="preserve">  -&gt; LineaPedido</w:t>
              <w:br/>
            </w:r>
            <w:r>
              <w:rPr>
                <w:rFonts w:ascii="Consolas" w:hAnsi="Consolas"/>
                <w:sz w:val="17"/>
              </w:rPr>
              <w:t xml:space="preserve">  -&gt; PedidoFactory</w:t>
              <w:br/>
            </w:r>
            <w:r>
              <w:rPr>
                <w:rFonts w:ascii="Consolas" w:hAnsi="Consolas"/>
                <w:sz w:val="17"/>
              </w:rPr>
              <w:t xml:space="preserve">  -&gt; PedidoItem { productoId, nombre, precio, cantidad, subtotal }</w:t>
            </w:r>
          </w:p>
        </w:tc>
      </w:tr>
    </w:tbl>
    <w:p>
      <w:pPr>
        <w:spacing w:after="0"/>
      </w:pPr>
    </w:p>
    <w:p>
      <w:pPr>
        <w:pStyle w:val="Heading2"/>
      </w:pPr>
      <w:r>
        <w:t>5.3 Contrato y persistencia conservados</w:t>
      </w:r>
    </w:p>
    <w:p>
      <w:pPr>
        <w:pStyle w:val="ListBullet"/>
      </w:pPr>
      <w:r>
        <w:t>POST /api/pedidos continúa respondiendo HTTP 201.</w:t>
      </w:r>
    </w:p>
    <w:p>
      <w:pPr>
        <w:pStyle w:val="ListBullet"/>
      </w:pPr>
      <w:r>
        <w:t>GET /api/pedidos/{id} y GET /api/pedidos?mesa=N conservan sus respuestas.</w:t>
      </w:r>
    </w:p>
    <w:p>
      <w:pPr>
        <w:pStyle w:val="ListBullet"/>
      </w:pPr>
      <w:r>
        <w:t>El backend sigue tomando el precio vigente del catálogo.</w:t>
      </w:r>
    </w:p>
    <w:p>
      <w:pPr>
        <w:pStyle w:val="ListBullet"/>
      </w:pPr>
      <w:r>
        <w:t>Los productos inactivos o no disponibles siguen siendo rechazados.</w:t>
      </w:r>
    </w:p>
    <w:p>
      <w:pPr>
        <w:pStyle w:val="ListBullet"/>
      </w:pPr>
      <w:r>
        <w:t>pedido_items.producto_id conserva nombre, tipo y restricción referencial.</w:t>
      </w:r>
    </w:p>
    <w:p>
      <w:pPr>
        <w:pStyle w:val="ListBullet"/>
      </w:pPr>
      <w:r>
        <w:t>Pedido, consumo de inventario y ocupación de mesa continúan en una sola transacción.</w:t>
      </w:r>
    </w:p>
    <w:p>
      <w:pPr>
        <w:pStyle w:val="Heading1"/>
      </w:pPr>
      <w:r>
        <w:t>6 Evidencia de pruebas</w:t>
      </w:r>
    </w:p>
    <w:p>
      <w:r>
        <w:t>La verificación se ejecutó desde el módulo backend mediante Maven. El resultado confirma que las pruebas existentes y las nuevas pruebas de F-02 finalizaron correctamente.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Borders>
              <w:top w:val="single" w:sz="6" w:color="C7CDD4"/>
              <w:left w:val="single" w:sz="6" w:color="C7CDD4"/>
              <w:bottom w:val="single" w:sz="6" w:color="C7CDD4"/>
              <w:right w:val="single" w:sz="6" w:color="C7CDD4"/>
              <w:insideH w:val="single" w:sz="6" w:color="C7CDD4"/>
              <w:insideV w:val="single" w:sz="6" w:color="C7CDD4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mvn test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Tests run: 10, Failures: 0, Errors: 0, Skipped: 0</w:t>
              <w:br/>
            </w:r>
            <w:r>
              <w:rPr>
                <w:rFonts w:ascii="Consolas" w:hAnsi="Consolas"/>
                <w:sz w:val="17"/>
              </w:rPr>
              <w:t>BUILD SUCCESS</w:t>
            </w:r>
          </w:p>
        </w:tc>
      </w:tr>
    </w:tbl>
    <w:p>
      <w:pPr>
        <w:spacing w:after="0"/>
      </w:pPr>
    </w:p>
    <w:p>
      <w:pPr>
        <w:pStyle w:val="Heading2"/>
      </w:pPr>
      <w:r>
        <w:t>6.1 Pruebas agregadas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creaYConsultaPedidoPorIdYPorMesa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Crear por HTTP y consultar por ID y mesa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Aprobada</w:t>
            </w:r>
          </w:p>
        </w:tc>
      </w:tr>
      <w:tr>
        <w:tc>
          <w:tcPr>
            <w:tcW w:type="dxa" w:w="388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rechazaPayloadSinItemsConHttp400</w:t>
            </w:r>
          </w:p>
        </w:tc>
        <w:tc>
          <w:tcPr>
            <w:tcW w:type="dxa" w:w="460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Proteger validación del contrato de entrada</w:t>
            </w:r>
          </w:p>
        </w:tc>
        <w:tc>
          <w:tcPr>
            <w:tcW w:type="dxa" w:w="1152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Aprobada</w:t>
            </w:r>
          </w:p>
        </w:tc>
      </w:tr>
      <w:tr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rechazaProductoNoDisponibleConHttp409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Verificar traducción de regla de negocio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Aprobada</w:t>
            </w:r>
          </w:p>
        </w:tc>
      </w:tr>
      <w:tr>
        <w:tc>
          <w:tcPr>
            <w:tcW w:type="dxa" w:w="388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soloUnPedidoConsumeLaUltimaUnidadDisponible</w:t>
            </w:r>
          </w:p>
        </w:tc>
        <w:tc>
          <w:tcPr>
            <w:tcW w:type="dxa" w:w="460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Competir por stock inicial 1</w:t>
            </w:r>
          </w:p>
        </w:tc>
        <w:tc>
          <w:tcPr>
            <w:tcW w:type="dxa" w:w="1152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7"/>
              </w:rPr>
              <w:t>Aprobada</w:t>
            </w:r>
          </w:p>
        </w:tc>
      </w:tr>
    </w:tbl>
    <w:p>
      <w:pPr>
        <w:spacing w:after="0"/>
      </w:pPr>
    </w:p>
    <w:p>
      <w:pPr>
        <w:pStyle w:val="Heading2"/>
      </w:pPr>
      <w:r>
        <w:t>6.2 Escenario concurrente</w:t>
      </w:r>
    </w:p>
    <w:p>
      <w:pPr>
        <w:pStyle w:val="ListNumber"/>
      </w:pPr>
      <w:r>
        <w:t>Preparar un ingrediente con stock inicial 1 y una receta que consuma una unidad.</w:t>
      </w:r>
    </w:p>
    <w:p>
      <w:pPr>
        <w:pStyle w:val="ListNumber"/>
      </w:pPr>
      <w:r>
        <w:t>Lanzar dos registros de pedido de manera simultánea.</w:t>
      </w:r>
    </w:p>
    <w:p>
      <w:pPr>
        <w:pStyle w:val="ListNumber"/>
      </w:pPr>
      <w:r>
        <w:t>Confirmar que un pedido finaliza y el otro recibe BusinessRuleException.</w:t>
      </w:r>
    </w:p>
    <w:p>
      <w:pPr>
        <w:pStyle w:val="ListNumber"/>
      </w:pPr>
      <w:r>
        <w:t>Verificar stock final 0 y ausencia de persistencia parcial en la transacción rechazada.</w:t>
      </w:r>
    </w:p>
    <w:p>
      <w:pPr>
        <w:pStyle w:val="Heading1"/>
      </w:pPr>
      <w:r>
        <w:t>7 Trazabilidad de requisitos y archivos</w:t>
      </w:r>
    </w:p>
    <w:p>
      <w:r>
        <w:t>La funcionalidad mantiene la cadena F-02 → BR-02 → StR-02 → SyR-02 → SWR-06 a SWR-11. La siguiente matriz relaciona los principales cambios con su responsabilidad y evidencia.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Cambio</w:t>
            </w:r>
          </w:p>
        </w:tc>
        <w:tc>
          <w:tcPr>
            <w:tcW w:type="dxa" w:w="12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Hallazgo</w:t>
            </w:r>
          </w:p>
        </w:tc>
      </w:tr>
      <w:tr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inventory/repository/InventoryRepository.java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UPDATE condicionado por stock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H-01</w:t>
            </w:r>
          </w:p>
        </w:tc>
      </w:tr>
      <w:tr>
        <w:tc>
          <w:tcPr>
            <w:tcW w:type="dxa" w:w="446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inventory/service/InventoryService.java</w:t>
            </w:r>
          </w:p>
        </w:tc>
        <w:tc>
          <w:tcPr>
            <w:tcW w:type="dxa" w:w="388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Validación por filas afectadas</w:t>
            </w:r>
          </w:p>
        </w:tc>
        <w:tc>
          <w:tcPr>
            <w:tcW w:type="dxa" w:w="1296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H-01</w:t>
            </w:r>
          </w:p>
        </w:tc>
      </w:tr>
      <w:tr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order/factory/LineaPedido.java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Valor interno desacoplado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H-03</w:t>
            </w:r>
          </w:p>
        </w:tc>
      </w:tr>
      <w:tr>
        <w:tc>
          <w:tcPr>
            <w:tcW w:type="dxa" w:w="446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order/factory/PedidoFactory.java</w:t>
            </w:r>
          </w:p>
        </w:tc>
        <w:tc>
          <w:tcPr>
            <w:tcW w:type="dxa" w:w="388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Construcción desde LineaPedido</w:t>
            </w:r>
          </w:p>
        </w:tc>
        <w:tc>
          <w:tcPr>
            <w:tcW w:type="dxa" w:w="1296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H-03</w:t>
            </w:r>
          </w:p>
        </w:tc>
      </w:tr>
      <w:tr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order/domain/PedidoItem.java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productoId escalar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H-03</w:t>
            </w:r>
          </w:p>
        </w:tc>
      </w:tr>
      <w:tr>
        <w:tc>
          <w:tcPr>
            <w:tcW w:type="dxa" w:w="446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order/service/PedidoService.java</w:t>
            </w:r>
          </w:p>
        </w:tc>
        <w:tc>
          <w:tcPr>
            <w:tcW w:type="dxa" w:w="388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Adaptación y coordinación</w:t>
            </w:r>
          </w:p>
        </w:tc>
        <w:tc>
          <w:tcPr>
            <w:tcW w:type="dxa" w:w="1296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H-03</w:t>
            </w:r>
          </w:p>
        </w:tc>
      </w:tr>
      <w:tr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PedidoControllerIntegrationTest.java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Contrato HTTP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H-04</w:t>
            </w:r>
          </w:p>
        </w:tc>
      </w:tr>
      <w:tr>
        <w:tc>
          <w:tcPr>
            <w:tcW w:type="dxa" w:w="446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PedidoConcurrencyIntegrationTest.java</w:t>
            </w:r>
          </w:p>
        </w:tc>
        <w:tc>
          <w:tcPr>
            <w:tcW w:type="dxa" w:w="3888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Última unidad concurrente</w:t>
            </w:r>
          </w:p>
        </w:tc>
        <w:tc>
          <w:tcPr>
            <w:tcW w:type="dxa" w:w="1296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6"/>
              </w:rPr>
              <w:t>H-01 H-04</w:t>
            </w:r>
          </w:p>
        </w:tc>
      </w:tr>
    </w:tbl>
    <w:p>
      <w:pPr>
        <w:spacing w:after="0"/>
      </w:pPr>
    </w:p>
    <w:p>
      <w:pPr>
        <w:pStyle w:val="Heading1"/>
      </w:pPr>
      <w:r>
        <w:t>8 Cierre de arquitectura</w:t>
      </w:r>
    </w:p>
    <w:p>
      <w:pPr>
        <w:pStyle w:val="Heading2"/>
      </w:pPr>
      <w:r>
        <w:t>8.1 Resultado</w:t>
      </w:r>
    </w:p>
    <w:p>
      <w:r>
        <w:t>La intervención mejora la consistencia de datos y la modularidad sin cambiar el contrato observable de F-02. El control de concurrencia queda en la capa que puede garantizarlo de forma atómica, mientras que el agregado deja de depender de detalles de transporte y de la entidad JPA de otro módulo.</w:t>
      </w:r>
    </w:p>
    <w:p>
      <w:pPr>
        <w:pStyle w:val="Heading2"/>
      </w:pPr>
      <w:r>
        <w:t>8.2 Decisión pendiente</w:t>
      </w:r>
    </w:p>
    <w:p>
      <w:r>
        <w:t>MesaService.asegurarMesa todavía crea una mesa inexistente con capacidad 4. El comportamiento no se modificó porque requiere una decisión explícita: permitir autoaprovisionamiento o aceptar únicamente mesas previamente registradas. Si se elige la segunda opción, debe agregarse un rechazo 404 o 409 y una prueba que confirme el rollback del pedido y del inventario.</w:t>
      </w:r>
    </w:p>
    <w:p>
      <w:pPr>
        <w:pStyle w:val="Heading2"/>
      </w:pPr>
      <w:r>
        <w:t>8.3 Aprendizajes</w:t>
      </w:r>
    </w:p>
    <w:p>
      <w:pPr>
        <w:pStyle w:val="ListBullet"/>
      </w:pPr>
      <w:r>
        <w:t>Las invariantes de inventario deben verificarse en la misma operación que modifica el dato.</w:t>
      </w:r>
    </w:p>
    <w:p>
      <w:pPr>
        <w:pStyle w:val="ListBullet"/>
      </w:pPr>
      <w:r>
        <w:t>Una transacción de servicio no elimina por sí sola las carreras entre solicitudes concurrentes.</w:t>
      </w:r>
    </w:p>
    <w:p>
      <w:pPr>
        <w:pStyle w:val="ListBullet"/>
      </w:pPr>
      <w:r>
        <w:t>El dominio debe recibir valores propios y no DTO de transporte ni entidades externas.</w:t>
      </w:r>
    </w:p>
    <w:p>
      <w:pPr>
        <w:pStyle w:val="ListBullet"/>
      </w:pPr>
      <w:r>
        <w:t>Las pruebas de servicio no sustituyen las pruebas del contrato HTTP.</w:t>
      </w:r>
    </w:p>
    <w:p>
      <w:pPr>
        <w:pStyle w:val="ListBullet"/>
      </w:pPr>
      <w:r>
        <w:t>Las decisiones de negocio ambiguas deben registrarse como deuda explícita, no resolverse por suposición.</w:t>
      </w:r>
    </w:p>
    <w:p>
      <w:r>
        <w:br w:type="page"/>
      </w:r>
    </w:p>
    <w:p>
      <w:pPr>
        <w:pStyle w:val="Heading1"/>
      </w:pPr>
      <w:r>
        <w:t>9 Evidencia de Git y guía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Repositorio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https://github.com/Deim05x/arepas-lulu-prototype</w:t>
            </w:r>
          </w:p>
        </w:tc>
      </w:tr>
      <w:tr>
        <w:tc>
          <w:tcPr>
            <w:tcW w:type="dxa" w:w="302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Rama</w:t>
            </w:r>
          </w:p>
        </w:tc>
        <w:tc>
          <w:tcPr>
            <w:tcW w:type="dxa" w:w="648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Commit de implementación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5af173e35d517ba585e575ffd5d30576d01425ae</w:t>
            </w:r>
          </w:p>
        </w:tc>
      </w:tr>
      <w:tr>
        <w:tc>
          <w:tcPr>
            <w:tcW w:type="dxa" w:w="3024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Mensaje</w:t>
            </w:r>
          </w:p>
        </w:tc>
        <w:tc>
          <w:tcPr>
            <w:tcW w:type="dxa" w:w="6480"/>
            <w:shd w:fill="EAF0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refactor: asegurar pedidos F-02 y documentar cambios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Estado de pruebas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10 aprobadas, 0 fallos, 0 errores, 0 omitidas</w:t>
            </w:r>
          </w:p>
        </w:tc>
      </w:tr>
    </w:tbl>
    <w:p>
      <w:pPr>
        <w:spacing w:after="0"/>
      </w:pPr>
    </w:p>
    <w:p>
      <w:pPr>
        <w:pStyle w:val="Heading2"/>
      </w:pPr>
      <w:r>
        <w:t>9.1 Archivos para adjuntar</w:t>
      </w:r>
    </w:p>
    <w:p>
      <w:pPr>
        <w:pStyle w:val="ListBullet"/>
      </w:pPr>
      <w:r>
        <w:t>Entregable_Final_Refactorizacion_F02_Arepas_Lulu.docx: informe consolidado del taller.</w:t>
      </w:r>
    </w:p>
    <w:p>
      <w:pPr>
        <w:pStyle w:val="ListBullet"/>
      </w:pPr>
      <w:r>
        <w:t>README_REFACTORIZACION_F02.md: resumen técnico visible en la raíz del proyecto.</w:t>
      </w:r>
    </w:p>
    <w:p>
      <w:pPr>
        <w:pStyle w:val="ListBullet"/>
      </w:pPr>
      <w:r>
        <w:t>README_DIAGNOSTICO_F02.md: hallazgos, priorización, intervención y evidencia.</w:t>
      </w:r>
    </w:p>
    <w:p>
      <w:pPr>
        <w:pStyle w:val="Heading2"/>
      </w:pPr>
      <w:r>
        <w:t>9.2 Lista de comprobación</w:t>
      </w:r>
    </w:p>
    <w:p>
      <w:pPr>
        <w:pStyle w:val="ListBullet"/>
      </w:pPr>
      <w:r>
        <w:t>☐ Adjuntar este documento Word en la plataforma de entrega.</w:t>
      </w:r>
    </w:p>
    <w:p>
      <w:pPr>
        <w:pStyle w:val="ListBullet"/>
      </w:pPr>
      <w:r>
        <w:t>☐ Incluir el enlace al repositorio y al commit de implementación.</w:t>
      </w:r>
    </w:p>
    <w:p>
      <w:pPr>
        <w:pStyle w:val="ListBullet"/>
      </w:pPr>
      <w:r>
        <w:t>☐ Confirmar que el docente puede visualizar la rama main.</w:t>
      </w:r>
    </w:p>
    <w:p>
      <w:pPr>
        <w:pStyle w:val="ListBullet"/>
      </w:pPr>
      <w:r>
        <w:t>☐ Mencionar H-02 como decisión pendiente y no como defecto ya corregido.</w:t>
      </w:r>
    </w:p>
    <w:p>
      <w:pPr>
        <w:pStyle w:val="ListBullet"/>
      </w:pPr>
      <w:r>
        <w:t>☐ Durante la sustentación, demostrar la prueba concurrente y el resultado de Maven.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Arepas Lulú  |  Taller de Refactorización y Cierre de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final de refactorización de F 02</dc:title>
  <dc:subject>Taller de Refactorización y Cierre de Arquitectura</dc:subject>
  <dc:creator>Equipo Arepas Lulú</dc:creator>
  <cp:keywords>Arepas Lulú, F-02, refactorización, arquitectura, Spring Boot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