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B3845" w14:textId="2A244AF6" w:rsidR="00741848" w:rsidRPr="00355DBA" w:rsidRDefault="00355DBA" w:rsidP="00355DBA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55DBA">
        <w:rPr>
          <w:rFonts w:ascii="Arial" w:hAnsi="Arial" w:cs="Arial"/>
          <w:b/>
          <w:bCs/>
          <w:sz w:val="24"/>
          <w:szCs w:val="24"/>
        </w:rPr>
        <w:t>Documento Técnico de Justificación de Equipos y Servicios Tecnológicos</w:t>
      </w:r>
    </w:p>
    <w:p w14:paraId="258C70BA" w14:textId="4F8A9327" w:rsidR="00355DBA" w:rsidRPr="00355DBA" w:rsidRDefault="00355DBA" w:rsidP="00355DBA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55DBA">
        <w:rPr>
          <w:rFonts w:ascii="Arial" w:hAnsi="Arial" w:cs="Arial"/>
          <w:b/>
          <w:bCs/>
          <w:sz w:val="24"/>
          <w:szCs w:val="24"/>
        </w:rPr>
        <w:t>Proyecto Foam Wash – Lavados González</w:t>
      </w:r>
    </w:p>
    <w:p w14:paraId="2F7B3254" w14:textId="77777777" w:rsidR="00355DBA" w:rsidRDefault="00355DBA" w:rsidP="00355DBA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9CAAABB" w14:textId="77777777" w:rsidR="003728A1" w:rsidRPr="003728A1" w:rsidRDefault="003728A1" w:rsidP="003728A1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728A1">
        <w:rPr>
          <w:rFonts w:ascii="Arial" w:hAnsi="Arial" w:cs="Arial"/>
          <w:b/>
          <w:bCs/>
          <w:sz w:val="24"/>
          <w:szCs w:val="24"/>
        </w:rPr>
        <w:t>Introducción</w:t>
      </w:r>
    </w:p>
    <w:p w14:paraId="7F04A2AB" w14:textId="77777777" w:rsidR="003728A1" w:rsidRPr="003728A1" w:rsidRDefault="003728A1" w:rsidP="003728A1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3728A1">
        <w:rPr>
          <w:rFonts w:ascii="Arial" w:hAnsi="Arial" w:cs="Arial"/>
          <w:sz w:val="24"/>
          <w:szCs w:val="24"/>
        </w:rPr>
        <w:t>El presente documento técnico tiene como finalidad justificar la elección de los equipos de cómputo, periféricos, software y servicios tecnológicos que se recomiendan para la empresa Lavados González, en el marco del proyecto Foam Wash. La selección de los productos responde a criterios de desempeño, escalabilidad, costo–beneficio, soporte técnico y compatibilidad con los requerimientos de desarrollo, gestión administrativa y despliegue en entornos productivos.</w:t>
      </w:r>
    </w:p>
    <w:p w14:paraId="6FE1790C" w14:textId="7F62EFBF" w:rsidR="003728A1" w:rsidRPr="003728A1" w:rsidRDefault="003728A1" w:rsidP="003728A1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3728A1">
        <w:rPr>
          <w:rFonts w:ascii="Arial" w:hAnsi="Arial" w:cs="Arial"/>
          <w:sz w:val="24"/>
          <w:szCs w:val="24"/>
        </w:rPr>
        <w:t>Las recomendaciones se estructuran de acuerdo con tres escenarios principales: opciones para armar computadores de escritorio, equipos preensamblados (PC ya armados) y portátiles (laptops), considerando tanto las necesidades del administrador del sistema como de los desarrolladores de software.</w:t>
      </w:r>
    </w:p>
    <w:p w14:paraId="4E3B8654" w14:textId="36796010" w:rsidR="00355DBA" w:rsidRDefault="00290393" w:rsidP="00355DBA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A70B8">
        <w:rPr>
          <w:rFonts w:ascii="Arial" w:hAnsi="Arial" w:cs="Arial"/>
          <w:sz w:val="24"/>
          <w:szCs w:val="24"/>
        </w:rPr>
        <w:pict w14:anchorId="5C0B3EE9">
          <v:rect id="_x0000_i1059" style="width:0;height:1.5pt" o:hralign="center" o:hrstd="t" o:hr="t" fillcolor="#a0a0a0" stroked="f"/>
        </w:pict>
      </w:r>
    </w:p>
    <w:p w14:paraId="119EEF96" w14:textId="77777777" w:rsidR="005A70B8" w:rsidRPr="005A70B8" w:rsidRDefault="005A70B8" w:rsidP="005A70B8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A70B8">
        <w:rPr>
          <w:rFonts w:ascii="Arial" w:hAnsi="Arial" w:cs="Arial"/>
          <w:b/>
          <w:bCs/>
          <w:sz w:val="24"/>
          <w:szCs w:val="24"/>
        </w:rPr>
        <w:t>1. Justificación de Componentes para el Ensamblaje de PCs</w:t>
      </w:r>
    </w:p>
    <w:p w14:paraId="1959FA4D" w14:textId="77777777" w:rsidR="005A70B8" w:rsidRPr="005A70B8" w:rsidRDefault="005A70B8" w:rsidP="005A70B8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A70B8">
        <w:rPr>
          <w:rFonts w:ascii="Arial" w:hAnsi="Arial" w:cs="Arial"/>
          <w:sz w:val="24"/>
          <w:szCs w:val="24"/>
        </w:rPr>
        <w:t>El ensamblaje de computadores permite una mayor personalización de hardware, seleccionando cada componente en función de las necesidades del usuario final. Esta opción resulta óptima para organizaciones que buscan flexibilidad y proyección a largo plazo en la infraestructura tecnológica.</w:t>
      </w:r>
    </w:p>
    <w:p w14:paraId="2BE42747" w14:textId="77777777" w:rsidR="005A70B8" w:rsidRPr="005A70B8" w:rsidRDefault="005A70B8" w:rsidP="005A70B8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A70B8">
        <w:rPr>
          <w:rFonts w:ascii="Arial" w:hAnsi="Arial" w:cs="Arial"/>
          <w:b/>
          <w:bCs/>
          <w:sz w:val="24"/>
          <w:szCs w:val="24"/>
        </w:rPr>
        <w:lastRenderedPageBreak/>
        <w:t>1.1 Componentes del PC del Administrador del Sistema</w:t>
      </w:r>
    </w:p>
    <w:p w14:paraId="6AC39752" w14:textId="77777777" w:rsidR="005A70B8" w:rsidRPr="005A70B8" w:rsidRDefault="005A70B8" w:rsidP="005A70B8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A70B8">
        <w:rPr>
          <w:rFonts w:ascii="Arial" w:hAnsi="Arial" w:cs="Arial"/>
          <w:sz w:val="24"/>
          <w:szCs w:val="24"/>
        </w:rPr>
        <w:t>El administrador del sistema, al ser responsable de la gestión de servidores, monitoreo de aplicaciones y administración de bases de datos, requiere un equipo con altos niveles de procesamiento, almacenamiento híbrido y confiabilidad en el rendimiento.</w:t>
      </w:r>
    </w:p>
    <w:p w14:paraId="6C911E65" w14:textId="77777777" w:rsidR="005A70B8" w:rsidRPr="005A70B8" w:rsidRDefault="005A70B8" w:rsidP="005A70B8">
      <w:pPr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A70B8">
        <w:rPr>
          <w:rFonts w:ascii="Arial" w:hAnsi="Arial" w:cs="Arial"/>
          <w:sz w:val="24"/>
          <w:szCs w:val="24"/>
        </w:rPr>
        <w:t>Memoria RAM (Kingston DDR5 6400 MT/s, 8GB, código KVR64V52BS6-8). Su velocidad de transferencia asegura la ejecución fluida de múltiples tareas, incluyendo monitoreo en tiempo real y virtualización ligera.</w:t>
      </w:r>
    </w:p>
    <w:p w14:paraId="16480154" w14:textId="77777777" w:rsidR="005A70B8" w:rsidRPr="005A70B8" w:rsidRDefault="005A70B8" w:rsidP="005A70B8">
      <w:pPr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A70B8">
        <w:rPr>
          <w:rFonts w:ascii="Arial" w:hAnsi="Arial" w:cs="Arial"/>
          <w:sz w:val="24"/>
          <w:szCs w:val="24"/>
        </w:rPr>
        <w:t>Almacenamiento principal: combinación de SSD externo Kingston XS1000 (para respaldo y transferencia de datos con velocidades de hasta 1.050 MB/s) y un HDD Western Digital Blue 1TB SATA3 (para almacenamiento masivo de archivos históricos y registros).</w:t>
      </w:r>
    </w:p>
    <w:p w14:paraId="6367B813" w14:textId="77777777" w:rsidR="005A70B8" w:rsidRPr="005A70B8" w:rsidRDefault="005A70B8" w:rsidP="005A70B8">
      <w:pPr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A70B8">
        <w:rPr>
          <w:rFonts w:ascii="Arial" w:hAnsi="Arial" w:cs="Arial"/>
          <w:sz w:val="24"/>
          <w:szCs w:val="24"/>
        </w:rPr>
        <w:t xml:space="preserve">Periféricos ergonómicos: </w:t>
      </w:r>
      <w:proofErr w:type="gramStart"/>
      <w:r w:rsidRPr="005A70B8">
        <w:rPr>
          <w:rFonts w:ascii="Arial" w:hAnsi="Arial" w:cs="Arial"/>
          <w:sz w:val="24"/>
          <w:szCs w:val="24"/>
        </w:rPr>
        <w:t>mouse</w:t>
      </w:r>
      <w:proofErr w:type="gramEnd"/>
      <w:r w:rsidRPr="005A70B8">
        <w:rPr>
          <w:rFonts w:ascii="Arial" w:hAnsi="Arial" w:cs="Arial"/>
          <w:sz w:val="24"/>
          <w:szCs w:val="24"/>
        </w:rPr>
        <w:t xml:space="preserve"> recargable inalámbrico ergonómico (Innovapolar) y teclado USB (Steren) que garantizan comodidad en jornadas extensas de administración.</w:t>
      </w:r>
    </w:p>
    <w:p w14:paraId="1D0D9276" w14:textId="77777777" w:rsidR="005A70B8" w:rsidRPr="005A70B8" w:rsidRDefault="005A70B8" w:rsidP="005A70B8">
      <w:pPr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A70B8">
        <w:rPr>
          <w:rFonts w:ascii="Arial" w:hAnsi="Arial" w:cs="Arial"/>
          <w:sz w:val="24"/>
          <w:szCs w:val="24"/>
        </w:rPr>
        <w:t>Monitor Lenovo ThinkVision T22i-30 (21,5” FHD, IPS). Este dispositivo asegura resolución óptima y conectividad versátil para gestionar consolas de monitoreo, paneles de control y reportes en paralelo.</w:t>
      </w:r>
    </w:p>
    <w:p w14:paraId="2CB87F60" w14:textId="77777777" w:rsidR="005A70B8" w:rsidRPr="005A70B8" w:rsidRDefault="005A70B8" w:rsidP="005A70B8">
      <w:pPr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A70B8">
        <w:rPr>
          <w:rFonts w:ascii="Arial" w:hAnsi="Arial" w:cs="Arial"/>
          <w:sz w:val="24"/>
          <w:szCs w:val="24"/>
        </w:rPr>
        <w:t>Unidad de procesamiento principal (HP Pavilion TG01-1160). Incluye procesador Intel Core i5-10400F, 8 GB DDR4, GPU NVIDIA GTX 1650 y almacenamiento híbrido (SSD + HDD). Esta configuración permite ejecutar software de gestión, entornos de pruebas y aplicaciones de alto rendimiento.</w:t>
      </w:r>
    </w:p>
    <w:p w14:paraId="3CFB5CCB" w14:textId="77777777" w:rsidR="005A70B8" w:rsidRPr="005A70B8" w:rsidRDefault="005A70B8" w:rsidP="005A70B8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A70B8">
        <w:rPr>
          <w:rFonts w:ascii="Arial" w:hAnsi="Arial" w:cs="Arial"/>
          <w:b/>
          <w:bCs/>
          <w:sz w:val="24"/>
          <w:szCs w:val="24"/>
        </w:rPr>
        <w:lastRenderedPageBreak/>
        <w:t>1.2 Componentes del PC para Desarrolladores</w:t>
      </w:r>
    </w:p>
    <w:p w14:paraId="1223A633" w14:textId="77777777" w:rsidR="005A70B8" w:rsidRPr="005A70B8" w:rsidRDefault="005A70B8" w:rsidP="005A70B8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A70B8">
        <w:rPr>
          <w:rFonts w:ascii="Arial" w:hAnsi="Arial" w:cs="Arial"/>
          <w:sz w:val="24"/>
          <w:szCs w:val="24"/>
        </w:rPr>
        <w:t>El perfil del desarrollador requiere un balance entre potencia de cómputo, almacenamiento rápido y ergonomía. Los siguientes componentes ofrecen una solución costo–efectiva:</w:t>
      </w:r>
    </w:p>
    <w:p w14:paraId="7CABACD1" w14:textId="77777777" w:rsidR="005A70B8" w:rsidRPr="005A70B8" w:rsidRDefault="005A70B8" w:rsidP="005A70B8">
      <w:pPr>
        <w:numPr>
          <w:ilvl w:val="0"/>
          <w:numId w:val="2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A70B8">
        <w:rPr>
          <w:rFonts w:ascii="Arial" w:hAnsi="Arial" w:cs="Arial"/>
          <w:sz w:val="24"/>
          <w:szCs w:val="24"/>
        </w:rPr>
        <w:t>Procesador (HP Slim Desktop S01-pF2007la, Intel Core i3-12100). Una opción adecuada para entornos de desarrollo básico y pruebas locales, con 8 GB DDR4 y SSD de 256 GB.</w:t>
      </w:r>
    </w:p>
    <w:p w14:paraId="6111DA44" w14:textId="77777777" w:rsidR="005A70B8" w:rsidRPr="005A70B8" w:rsidRDefault="005A70B8" w:rsidP="005A70B8">
      <w:pPr>
        <w:numPr>
          <w:ilvl w:val="0"/>
          <w:numId w:val="2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A70B8">
        <w:rPr>
          <w:rFonts w:ascii="Arial" w:hAnsi="Arial" w:cs="Arial"/>
          <w:sz w:val="24"/>
          <w:szCs w:val="24"/>
        </w:rPr>
        <w:t>Monitores de gran formato (HP Serie 5, 31,5” FHD). Permiten dividir pantallas de trabajo, optimizando la productividad en actividades de programación y pruebas de interfaz.</w:t>
      </w:r>
    </w:p>
    <w:p w14:paraId="04EF44CA" w14:textId="77777777" w:rsidR="005A70B8" w:rsidRPr="005A70B8" w:rsidRDefault="005A70B8" w:rsidP="005A70B8">
      <w:pPr>
        <w:numPr>
          <w:ilvl w:val="0"/>
          <w:numId w:val="2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A70B8">
        <w:rPr>
          <w:rFonts w:ascii="Arial" w:hAnsi="Arial" w:cs="Arial"/>
          <w:sz w:val="24"/>
          <w:szCs w:val="24"/>
        </w:rPr>
        <w:t xml:space="preserve">Periféricos: teclado Dell USB de 104 teclas y </w:t>
      </w:r>
      <w:proofErr w:type="gramStart"/>
      <w:r w:rsidRPr="005A70B8">
        <w:rPr>
          <w:rFonts w:ascii="Arial" w:hAnsi="Arial" w:cs="Arial"/>
          <w:sz w:val="24"/>
          <w:szCs w:val="24"/>
        </w:rPr>
        <w:t>mouse</w:t>
      </w:r>
      <w:proofErr w:type="gramEnd"/>
      <w:r w:rsidRPr="005A70B8">
        <w:rPr>
          <w:rFonts w:ascii="Arial" w:hAnsi="Arial" w:cs="Arial"/>
          <w:sz w:val="24"/>
          <w:szCs w:val="24"/>
        </w:rPr>
        <w:t xml:space="preserve"> ergonómico vertical inalámbrico. Ambos priorizan comodidad y reducen riesgos de fatiga muscular en sesiones prolongadas de programación.</w:t>
      </w:r>
    </w:p>
    <w:p w14:paraId="6A2EA3F1" w14:textId="77777777" w:rsidR="005A70B8" w:rsidRPr="005A70B8" w:rsidRDefault="005A70B8" w:rsidP="005A70B8">
      <w:pPr>
        <w:numPr>
          <w:ilvl w:val="0"/>
          <w:numId w:val="2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A70B8">
        <w:rPr>
          <w:rFonts w:ascii="Arial" w:hAnsi="Arial" w:cs="Arial"/>
          <w:sz w:val="24"/>
          <w:szCs w:val="24"/>
        </w:rPr>
        <w:t>Memoria RAM adicional (Kingston DDR5 6400 MT/s, 8GB). Expansión recomendada para ejecutar entornos integrados de desarrollo (IDE) y máquinas virtuales.</w:t>
      </w:r>
    </w:p>
    <w:p w14:paraId="1A5434FC" w14:textId="77777777" w:rsidR="005A70B8" w:rsidRPr="005A70B8" w:rsidRDefault="005A70B8" w:rsidP="005A70B8">
      <w:pPr>
        <w:numPr>
          <w:ilvl w:val="0"/>
          <w:numId w:val="2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A70B8">
        <w:rPr>
          <w:rFonts w:ascii="Arial" w:hAnsi="Arial" w:cs="Arial"/>
          <w:sz w:val="24"/>
          <w:szCs w:val="24"/>
        </w:rPr>
        <w:t>Almacenamiento híbrido (SSD externo Kingston XS1000 + HDD Western Digital Blue 1TB). Este conjunto proporciona velocidad para proyectos en curso y capacidad para almacenamiento histórico de repositorios locales.</w:t>
      </w:r>
    </w:p>
    <w:p w14:paraId="2B81789F" w14:textId="77777777" w:rsidR="005A70B8" w:rsidRPr="005A70B8" w:rsidRDefault="005A70B8" w:rsidP="005A70B8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A70B8">
        <w:rPr>
          <w:rFonts w:ascii="Arial" w:hAnsi="Arial" w:cs="Arial"/>
          <w:sz w:val="24"/>
          <w:szCs w:val="24"/>
        </w:rPr>
        <w:pict w14:anchorId="3C757CFA">
          <v:rect id="_x0000_i1049" style="width:0;height:1.5pt" o:hralign="center" o:hrstd="t" o:hr="t" fillcolor="#a0a0a0" stroked="f"/>
        </w:pict>
      </w:r>
    </w:p>
    <w:p w14:paraId="20FD33C5" w14:textId="77777777" w:rsidR="005A70B8" w:rsidRPr="005A70B8" w:rsidRDefault="005A70B8" w:rsidP="005A70B8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A70B8">
        <w:rPr>
          <w:rFonts w:ascii="Arial" w:hAnsi="Arial" w:cs="Arial"/>
          <w:b/>
          <w:bCs/>
          <w:sz w:val="24"/>
          <w:szCs w:val="24"/>
        </w:rPr>
        <w:t>2. Alternativas de Equipos Preensamblados (PCs ya Armados)</w:t>
      </w:r>
    </w:p>
    <w:p w14:paraId="2CB7D566" w14:textId="77777777" w:rsidR="005A70B8" w:rsidRPr="005A70B8" w:rsidRDefault="005A70B8" w:rsidP="005A70B8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A70B8">
        <w:rPr>
          <w:rFonts w:ascii="Arial" w:hAnsi="Arial" w:cs="Arial"/>
          <w:sz w:val="24"/>
          <w:szCs w:val="24"/>
        </w:rPr>
        <w:lastRenderedPageBreak/>
        <w:t>La opción de adquirir computadores ya ensamblados resulta adecuada cuando se busca reducir tiempos de implementación, simplificar el proceso de soporte y disponer de garantía de fábrica.</w:t>
      </w:r>
    </w:p>
    <w:p w14:paraId="238272D0" w14:textId="77777777" w:rsidR="005A70B8" w:rsidRPr="005A70B8" w:rsidRDefault="005A70B8" w:rsidP="005A70B8">
      <w:pPr>
        <w:numPr>
          <w:ilvl w:val="0"/>
          <w:numId w:val="3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A70B8">
        <w:rPr>
          <w:rFonts w:ascii="Arial" w:hAnsi="Arial" w:cs="Arial"/>
          <w:b/>
          <w:bCs/>
          <w:sz w:val="24"/>
          <w:szCs w:val="24"/>
        </w:rPr>
        <w:t>Administradores:</w:t>
      </w:r>
    </w:p>
    <w:p w14:paraId="5E7B5759" w14:textId="77777777" w:rsidR="005A70B8" w:rsidRPr="005A70B8" w:rsidRDefault="005A70B8" w:rsidP="005A70B8">
      <w:pPr>
        <w:numPr>
          <w:ilvl w:val="1"/>
          <w:numId w:val="3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A70B8">
        <w:rPr>
          <w:rFonts w:ascii="Arial" w:hAnsi="Arial" w:cs="Arial"/>
          <w:sz w:val="24"/>
          <w:szCs w:val="24"/>
        </w:rPr>
        <w:t>HP AIO 22 DG0011LA (Intel N100, 16GB RAM, SSD 256 GB). Esta alternativa todo–en–uno integra unidad óptica, diseño compacto y adecuada capacidad de memoria, ideal para tareas administrativas y gestión de datos sin requerir alto consumo energético.</w:t>
      </w:r>
    </w:p>
    <w:p w14:paraId="3CD2DD9B" w14:textId="77777777" w:rsidR="005A70B8" w:rsidRPr="005A70B8" w:rsidRDefault="005A70B8" w:rsidP="005A70B8">
      <w:pPr>
        <w:numPr>
          <w:ilvl w:val="0"/>
          <w:numId w:val="3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A70B8">
        <w:rPr>
          <w:rFonts w:ascii="Arial" w:hAnsi="Arial" w:cs="Arial"/>
          <w:b/>
          <w:bCs/>
          <w:sz w:val="24"/>
          <w:szCs w:val="24"/>
        </w:rPr>
        <w:t>Desarrolladores:</w:t>
      </w:r>
    </w:p>
    <w:p w14:paraId="008C48D9" w14:textId="77777777" w:rsidR="005A70B8" w:rsidRPr="005A70B8" w:rsidRDefault="005A70B8" w:rsidP="005A70B8">
      <w:pPr>
        <w:numPr>
          <w:ilvl w:val="1"/>
          <w:numId w:val="3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A70B8">
        <w:rPr>
          <w:rFonts w:ascii="Arial" w:hAnsi="Arial" w:cs="Arial"/>
          <w:sz w:val="24"/>
          <w:szCs w:val="24"/>
        </w:rPr>
        <w:t>HP AIO 22 DG0011LA (especificaciones idénticas al del administrador). También puede ser considerado para entornos de desarrollo ligero y documentación, aunque se recomienda complementarlo con almacenamiento externo.</w:t>
      </w:r>
    </w:p>
    <w:p w14:paraId="20D34F87" w14:textId="77777777" w:rsidR="005A70B8" w:rsidRPr="005A70B8" w:rsidRDefault="005A70B8" w:rsidP="005A70B8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A70B8">
        <w:rPr>
          <w:rFonts w:ascii="Arial" w:hAnsi="Arial" w:cs="Arial"/>
          <w:sz w:val="24"/>
          <w:szCs w:val="24"/>
        </w:rPr>
        <w:pict w14:anchorId="02485EC3">
          <v:rect id="_x0000_i1050" style="width:0;height:1.5pt" o:hralign="center" o:hrstd="t" o:hr="t" fillcolor="#a0a0a0" stroked="f"/>
        </w:pict>
      </w:r>
    </w:p>
    <w:p w14:paraId="659EA557" w14:textId="77777777" w:rsidR="005A70B8" w:rsidRPr="005A70B8" w:rsidRDefault="005A70B8" w:rsidP="005A70B8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A70B8">
        <w:rPr>
          <w:rFonts w:ascii="Arial" w:hAnsi="Arial" w:cs="Arial"/>
          <w:b/>
          <w:bCs/>
          <w:sz w:val="24"/>
          <w:szCs w:val="24"/>
        </w:rPr>
        <w:t>3. Alternativas de Portátiles (Laptops)</w:t>
      </w:r>
    </w:p>
    <w:p w14:paraId="1239E1E6" w14:textId="77777777" w:rsidR="005A70B8" w:rsidRPr="005A70B8" w:rsidRDefault="005A70B8" w:rsidP="005A70B8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A70B8">
        <w:rPr>
          <w:rFonts w:ascii="Arial" w:hAnsi="Arial" w:cs="Arial"/>
          <w:sz w:val="24"/>
          <w:szCs w:val="24"/>
        </w:rPr>
        <w:t xml:space="preserve">Las laptops proporcionan </w:t>
      </w:r>
      <w:r w:rsidRPr="005A70B8">
        <w:rPr>
          <w:rFonts w:ascii="Arial" w:hAnsi="Arial" w:cs="Arial"/>
          <w:b/>
          <w:bCs/>
          <w:sz w:val="24"/>
          <w:szCs w:val="24"/>
        </w:rPr>
        <w:t>movilidad y flexibilidad</w:t>
      </w:r>
      <w:r w:rsidRPr="005A70B8">
        <w:rPr>
          <w:rFonts w:ascii="Arial" w:hAnsi="Arial" w:cs="Arial"/>
          <w:sz w:val="24"/>
          <w:szCs w:val="24"/>
        </w:rPr>
        <w:t>, facilitando el teletrabajo y la gestión remota de aplicaciones.</w:t>
      </w:r>
    </w:p>
    <w:p w14:paraId="519BE3E9" w14:textId="77777777" w:rsidR="005A70B8" w:rsidRPr="005A70B8" w:rsidRDefault="005A70B8" w:rsidP="005A70B8">
      <w:pPr>
        <w:numPr>
          <w:ilvl w:val="0"/>
          <w:numId w:val="4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A70B8">
        <w:rPr>
          <w:rFonts w:ascii="Arial" w:hAnsi="Arial" w:cs="Arial"/>
          <w:b/>
          <w:bCs/>
          <w:sz w:val="24"/>
          <w:szCs w:val="24"/>
        </w:rPr>
        <w:t>Administrador:</w:t>
      </w:r>
    </w:p>
    <w:p w14:paraId="648333B0" w14:textId="77777777" w:rsidR="005A70B8" w:rsidRPr="005A70B8" w:rsidRDefault="005A70B8" w:rsidP="005A70B8">
      <w:pPr>
        <w:numPr>
          <w:ilvl w:val="1"/>
          <w:numId w:val="4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A70B8">
        <w:rPr>
          <w:rFonts w:ascii="Arial" w:hAnsi="Arial" w:cs="Arial"/>
          <w:sz w:val="24"/>
          <w:szCs w:val="24"/>
        </w:rPr>
        <w:t>HP 15-fd0021la (Intel Core i5, 8 GB RAM, SSD 512 GB, Windows 11 Home). Adecuado para ejecutar simultáneamente aplicaciones de oficina, herramientas de monitoreo y software de desarrollo ligero.</w:t>
      </w:r>
    </w:p>
    <w:p w14:paraId="1862E32C" w14:textId="77777777" w:rsidR="005A70B8" w:rsidRPr="005A70B8" w:rsidRDefault="005A70B8" w:rsidP="005A70B8">
      <w:pPr>
        <w:numPr>
          <w:ilvl w:val="0"/>
          <w:numId w:val="4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A70B8">
        <w:rPr>
          <w:rFonts w:ascii="Arial" w:hAnsi="Arial" w:cs="Arial"/>
          <w:b/>
          <w:bCs/>
          <w:sz w:val="24"/>
          <w:szCs w:val="24"/>
        </w:rPr>
        <w:lastRenderedPageBreak/>
        <w:t>Desarrolladores:</w:t>
      </w:r>
    </w:p>
    <w:p w14:paraId="24B1C89B" w14:textId="77777777" w:rsidR="005A70B8" w:rsidRPr="005A70B8" w:rsidRDefault="005A70B8" w:rsidP="005A70B8">
      <w:pPr>
        <w:numPr>
          <w:ilvl w:val="1"/>
          <w:numId w:val="4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A70B8">
        <w:rPr>
          <w:rFonts w:ascii="Arial" w:hAnsi="Arial" w:cs="Arial"/>
          <w:sz w:val="24"/>
          <w:szCs w:val="24"/>
        </w:rPr>
        <w:t>HP 15-fd0021la (configuración similar a la del administrador). Su rendimiento balanceado y almacenamiento SSD lo convierten en una opción idónea para programar y probar aplicaciones sin depender completamente de los servidores de la empresa.</w:t>
      </w:r>
    </w:p>
    <w:p w14:paraId="5369AFEF" w14:textId="77777777" w:rsidR="005A70B8" w:rsidRPr="005A70B8" w:rsidRDefault="005A70B8" w:rsidP="005A70B8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A70B8">
        <w:rPr>
          <w:rFonts w:ascii="Arial" w:hAnsi="Arial" w:cs="Arial"/>
          <w:sz w:val="24"/>
          <w:szCs w:val="24"/>
        </w:rPr>
        <w:pict w14:anchorId="2D680D72">
          <v:rect id="_x0000_i1051" style="width:0;height:1.5pt" o:hralign="center" o:hrstd="t" o:hr="t" fillcolor="#a0a0a0" stroked="f"/>
        </w:pict>
      </w:r>
    </w:p>
    <w:p w14:paraId="188F448F" w14:textId="77777777" w:rsidR="005A70B8" w:rsidRPr="005A70B8" w:rsidRDefault="005A70B8" w:rsidP="005A70B8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A70B8">
        <w:rPr>
          <w:rFonts w:ascii="Arial" w:hAnsi="Arial" w:cs="Arial"/>
          <w:b/>
          <w:bCs/>
          <w:sz w:val="24"/>
          <w:szCs w:val="24"/>
        </w:rPr>
        <w:t>4. Servicios de Infraestructura y Software Complementario</w:t>
      </w:r>
    </w:p>
    <w:p w14:paraId="4B45E888" w14:textId="77777777" w:rsidR="005A70B8" w:rsidRPr="005A70B8" w:rsidRDefault="005A70B8" w:rsidP="005A70B8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A70B8">
        <w:rPr>
          <w:rFonts w:ascii="Arial" w:hAnsi="Arial" w:cs="Arial"/>
          <w:sz w:val="24"/>
          <w:szCs w:val="24"/>
        </w:rPr>
        <w:t>Además del hardware físico, se recomienda integrar servicios en la nube y software con licencias oficiales:</w:t>
      </w:r>
    </w:p>
    <w:p w14:paraId="53F6874A" w14:textId="77777777" w:rsidR="005A70B8" w:rsidRPr="005A70B8" w:rsidRDefault="005A70B8" w:rsidP="005A70B8">
      <w:pPr>
        <w:numPr>
          <w:ilvl w:val="0"/>
          <w:numId w:val="5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A70B8">
        <w:rPr>
          <w:rFonts w:ascii="Arial" w:hAnsi="Arial" w:cs="Arial"/>
          <w:sz w:val="24"/>
          <w:szCs w:val="24"/>
        </w:rPr>
        <w:t>Servidor físico (Dell PowerEdge T350). Ideal para alojar aplicaciones web y bases de datos, con procesador Xeon y memoria ECC para mayor confiabilidad.</w:t>
      </w:r>
    </w:p>
    <w:p w14:paraId="33B11293" w14:textId="77777777" w:rsidR="005A70B8" w:rsidRPr="005A70B8" w:rsidRDefault="005A70B8" w:rsidP="005A70B8">
      <w:pPr>
        <w:numPr>
          <w:ilvl w:val="0"/>
          <w:numId w:val="5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A70B8">
        <w:rPr>
          <w:rFonts w:ascii="Arial" w:hAnsi="Arial" w:cs="Arial"/>
          <w:sz w:val="24"/>
          <w:szCs w:val="24"/>
        </w:rPr>
        <w:t>Servicios en la nube: AWS (IaaS y FaaS con Lambda), Heroku (PaaS), Firebase (BaaS) y Google Workspace (SaaS). La combinación permite desplegar aplicaciones de manera escalable, segura y con redundancia.</w:t>
      </w:r>
    </w:p>
    <w:p w14:paraId="2B227270" w14:textId="77777777" w:rsidR="005A70B8" w:rsidRPr="005A70B8" w:rsidRDefault="005A70B8" w:rsidP="005A70B8">
      <w:pPr>
        <w:numPr>
          <w:ilvl w:val="0"/>
          <w:numId w:val="5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A70B8">
        <w:rPr>
          <w:rFonts w:ascii="Arial" w:hAnsi="Arial" w:cs="Arial"/>
          <w:sz w:val="24"/>
          <w:szCs w:val="24"/>
        </w:rPr>
        <w:t>Licencias de Windows 11 Professional: activación permanente para seis equipos, lo que asegura cumplimiento legal y estabilidad operativa.</w:t>
      </w:r>
    </w:p>
    <w:p w14:paraId="638CEEC7" w14:textId="77777777" w:rsidR="005A70B8" w:rsidRPr="005A70B8" w:rsidRDefault="005A70B8" w:rsidP="005A70B8">
      <w:pPr>
        <w:numPr>
          <w:ilvl w:val="0"/>
          <w:numId w:val="5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A70B8">
        <w:rPr>
          <w:rFonts w:ascii="Arial" w:hAnsi="Arial" w:cs="Arial"/>
          <w:sz w:val="24"/>
          <w:szCs w:val="24"/>
        </w:rPr>
        <w:t>Licencias de Microsoft Office 365: acceso a aplicaciones de productividad en la nube, mejorando la colaboración del equipo.</w:t>
      </w:r>
    </w:p>
    <w:p w14:paraId="30B13C0F" w14:textId="77777777" w:rsidR="005A70B8" w:rsidRPr="005A70B8" w:rsidRDefault="005A70B8" w:rsidP="005A70B8">
      <w:pPr>
        <w:numPr>
          <w:ilvl w:val="0"/>
          <w:numId w:val="5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A70B8">
        <w:rPr>
          <w:rFonts w:ascii="Arial" w:hAnsi="Arial" w:cs="Arial"/>
          <w:sz w:val="24"/>
          <w:szCs w:val="24"/>
        </w:rPr>
        <w:t>Antivirus McAfee Total Protection 2024: protección contra amenazas en seis dispositivos, incluyendo estaciones de trabajo y portátiles.</w:t>
      </w:r>
    </w:p>
    <w:p w14:paraId="1A59D747" w14:textId="77777777" w:rsidR="005A70B8" w:rsidRPr="005A70B8" w:rsidRDefault="005A70B8" w:rsidP="005A70B8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A70B8">
        <w:rPr>
          <w:rFonts w:ascii="Arial" w:hAnsi="Arial" w:cs="Arial"/>
          <w:sz w:val="24"/>
          <w:szCs w:val="24"/>
        </w:rPr>
        <w:lastRenderedPageBreak/>
        <w:pict w14:anchorId="0BD8A782">
          <v:rect id="_x0000_i1052" style="width:0;height:1.5pt" o:hralign="center" o:hrstd="t" o:hr="t" fillcolor="#a0a0a0" stroked="f"/>
        </w:pict>
      </w:r>
    </w:p>
    <w:p w14:paraId="03A491BE" w14:textId="77777777" w:rsidR="005A70B8" w:rsidRPr="005A70B8" w:rsidRDefault="005A70B8" w:rsidP="005A70B8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A70B8">
        <w:rPr>
          <w:rFonts w:ascii="Arial" w:hAnsi="Arial" w:cs="Arial"/>
          <w:b/>
          <w:bCs/>
          <w:sz w:val="24"/>
          <w:szCs w:val="24"/>
        </w:rPr>
        <w:t>Conclusiones</w:t>
      </w:r>
    </w:p>
    <w:p w14:paraId="5B77DC6C" w14:textId="77777777" w:rsidR="005A70B8" w:rsidRPr="005A70B8" w:rsidRDefault="005A70B8" w:rsidP="005A70B8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A70B8">
        <w:rPr>
          <w:rFonts w:ascii="Arial" w:hAnsi="Arial" w:cs="Arial"/>
          <w:sz w:val="24"/>
          <w:szCs w:val="24"/>
        </w:rPr>
        <w:t>La selección de equipos y servicios para el proyecto Foam Wash responde a una estrategia de robustez, escalabilidad y eficiencia de costos.</w:t>
      </w:r>
    </w:p>
    <w:p w14:paraId="204FF021" w14:textId="58A484B7" w:rsidR="005A70B8" w:rsidRPr="005A70B8" w:rsidRDefault="005A70B8" w:rsidP="005A70B8">
      <w:pPr>
        <w:numPr>
          <w:ilvl w:val="0"/>
          <w:numId w:val="6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A70B8">
        <w:rPr>
          <w:rFonts w:ascii="Arial" w:hAnsi="Arial" w:cs="Arial"/>
          <w:sz w:val="24"/>
          <w:szCs w:val="24"/>
        </w:rPr>
        <w:t>Las opciones de PCs</w:t>
      </w:r>
      <w:r w:rsidR="00D22E46">
        <w:rPr>
          <w:rFonts w:ascii="Arial" w:hAnsi="Arial" w:cs="Arial"/>
          <w:sz w:val="24"/>
          <w:szCs w:val="24"/>
        </w:rPr>
        <w:t xml:space="preserve"> para armar</w:t>
      </w:r>
      <w:r w:rsidRPr="005A70B8">
        <w:rPr>
          <w:rFonts w:ascii="Arial" w:hAnsi="Arial" w:cs="Arial"/>
          <w:sz w:val="24"/>
          <w:szCs w:val="24"/>
        </w:rPr>
        <w:t xml:space="preserve"> ofrecen flexibilidad para ajustarse a necesidades específicas.</w:t>
      </w:r>
    </w:p>
    <w:p w14:paraId="35BBF41C" w14:textId="77777777" w:rsidR="005A70B8" w:rsidRPr="005A70B8" w:rsidRDefault="005A70B8" w:rsidP="005A70B8">
      <w:pPr>
        <w:numPr>
          <w:ilvl w:val="0"/>
          <w:numId w:val="6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A70B8">
        <w:rPr>
          <w:rFonts w:ascii="Arial" w:hAnsi="Arial" w:cs="Arial"/>
          <w:sz w:val="24"/>
          <w:szCs w:val="24"/>
        </w:rPr>
        <w:t>Las alternativas de PCs ya ensamblados garantizan rapidez de implementación y soporte simplificado.</w:t>
      </w:r>
    </w:p>
    <w:p w14:paraId="0690B303" w14:textId="77777777" w:rsidR="005A70B8" w:rsidRPr="005A70B8" w:rsidRDefault="005A70B8" w:rsidP="005A70B8">
      <w:pPr>
        <w:numPr>
          <w:ilvl w:val="0"/>
          <w:numId w:val="6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A70B8">
        <w:rPr>
          <w:rFonts w:ascii="Arial" w:hAnsi="Arial" w:cs="Arial"/>
          <w:sz w:val="24"/>
          <w:szCs w:val="24"/>
        </w:rPr>
        <w:t>Las laptops brindan movilidad y soporte al trabajo remoto.</w:t>
      </w:r>
    </w:p>
    <w:p w14:paraId="78302F96" w14:textId="77777777" w:rsidR="005A70B8" w:rsidRPr="005A70B8" w:rsidRDefault="005A70B8" w:rsidP="005A70B8">
      <w:pPr>
        <w:numPr>
          <w:ilvl w:val="0"/>
          <w:numId w:val="6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5A70B8">
        <w:rPr>
          <w:rFonts w:ascii="Arial" w:hAnsi="Arial" w:cs="Arial"/>
          <w:sz w:val="24"/>
          <w:szCs w:val="24"/>
        </w:rPr>
        <w:t>Finalmente, los servidores y servicios en la nube aseguran un entorno seguro, escalable y preparado para la operación empresarial de Lavados González.</w:t>
      </w:r>
    </w:p>
    <w:p w14:paraId="72C7A6F1" w14:textId="77777777" w:rsidR="003728A1" w:rsidRPr="00355DBA" w:rsidRDefault="003728A1" w:rsidP="00355DBA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sectPr w:rsidR="003728A1" w:rsidRPr="00355DBA" w:rsidSect="00290393">
      <w:headerReference w:type="default" r:id="rId8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5AFEA" w14:textId="77777777" w:rsidR="00D912DF" w:rsidRDefault="00D912DF" w:rsidP="00290393">
      <w:pPr>
        <w:spacing w:after="0" w:line="240" w:lineRule="auto"/>
      </w:pPr>
      <w:r>
        <w:separator/>
      </w:r>
    </w:p>
  </w:endnote>
  <w:endnote w:type="continuationSeparator" w:id="0">
    <w:p w14:paraId="771E91FA" w14:textId="77777777" w:rsidR="00D912DF" w:rsidRDefault="00D912DF" w:rsidP="00290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AFD2F" w14:textId="77777777" w:rsidR="00D912DF" w:rsidRDefault="00D912DF" w:rsidP="00290393">
      <w:pPr>
        <w:spacing w:after="0" w:line="240" w:lineRule="auto"/>
      </w:pPr>
      <w:r>
        <w:separator/>
      </w:r>
    </w:p>
  </w:footnote>
  <w:footnote w:type="continuationSeparator" w:id="0">
    <w:p w14:paraId="3BE3F0E4" w14:textId="77777777" w:rsidR="00D912DF" w:rsidRDefault="00D912DF" w:rsidP="00290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7298364"/>
      <w:docPartObj>
        <w:docPartGallery w:val="Page Numbers (Top of Page)"/>
        <w:docPartUnique/>
      </w:docPartObj>
    </w:sdtPr>
    <w:sdtContent>
      <w:p w14:paraId="29D45FAB" w14:textId="00DDBDC3" w:rsidR="00290393" w:rsidRDefault="00290393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3040575" w14:textId="77777777" w:rsidR="00290393" w:rsidRDefault="0029039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64602"/>
    <w:multiLevelType w:val="multilevel"/>
    <w:tmpl w:val="ED10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D0D80"/>
    <w:multiLevelType w:val="multilevel"/>
    <w:tmpl w:val="2E7C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24652"/>
    <w:multiLevelType w:val="multilevel"/>
    <w:tmpl w:val="E5D8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582744"/>
    <w:multiLevelType w:val="multilevel"/>
    <w:tmpl w:val="2E34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7032FB"/>
    <w:multiLevelType w:val="multilevel"/>
    <w:tmpl w:val="2A02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1F19F6"/>
    <w:multiLevelType w:val="multilevel"/>
    <w:tmpl w:val="2E14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094007">
    <w:abstractNumId w:val="4"/>
  </w:num>
  <w:num w:numId="2" w16cid:durableId="333730747">
    <w:abstractNumId w:val="3"/>
  </w:num>
  <w:num w:numId="3" w16cid:durableId="234125447">
    <w:abstractNumId w:val="5"/>
  </w:num>
  <w:num w:numId="4" w16cid:durableId="1455824728">
    <w:abstractNumId w:val="0"/>
  </w:num>
  <w:num w:numId="5" w16cid:durableId="55861782">
    <w:abstractNumId w:val="1"/>
  </w:num>
  <w:num w:numId="6" w16cid:durableId="18174089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EED"/>
    <w:rsid w:val="001006F1"/>
    <w:rsid w:val="001C081B"/>
    <w:rsid w:val="00290393"/>
    <w:rsid w:val="00355DBA"/>
    <w:rsid w:val="003728A1"/>
    <w:rsid w:val="00444D40"/>
    <w:rsid w:val="004928EC"/>
    <w:rsid w:val="00494EED"/>
    <w:rsid w:val="005A0903"/>
    <w:rsid w:val="005A70B8"/>
    <w:rsid w:val="00741848"/>
    <w:rsid w:val="00D22E46"/>
    <w:rsid w:val="00D9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0C7A9"/>
  <w15:chartTrackingRefBased/>
  <w15:docId w15:val="{ECB701ED-FB5F-47B9-AA6A-AE7E7185E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4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4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4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4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4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4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4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4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4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4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4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4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4E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4E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4E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4E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4E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4E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4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4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4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4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4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4E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4E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4E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4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4E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4EE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903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0393"/>
  </w:style>
  <w:style w:type="paragraph" w:styleId="Piedepgina">
    <w:name w:val="footer"/>
    <w:basedOn w:val="Normal"/>
    <w:link w:val="PiedepginaCar"/>
    <w:uiPriority w:val="99"/>
    <w:unhideWhenUsed/>
    <w:rsid w:val="002903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03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CFAF4D-E492-4B8D-97C0-8F5866FB3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1017</Words>
  <Characters>5594</Characters>
  <Application>Microsoft Office Word</Application>
  <DocSecurity>0</DocSecurity>
  <Lines>46</Lines>
  <Paragraphs>13</Paragraphs>
  <ScaleCrop>false</ScaleCrop>
  <Company/>
  <LinksUpToDate>false</LinksUpToDate>
  <CharactersWithSpaces>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andres criollo tovar</dc:creator>
  <cp:keywords/>
  <dc:description/>
  <cp:lastModifiedBy>cristian andres criollo tovar</cp:lastModifiedBy>
  <cp:revision>9</cp:revision>
  <dcterms:created xsi:type="dcterms:W3CDTF">2025-09-21T15:59:00Z</dcterms:created>
  <dcterms:modified xsi:type="dcterms:W3CDTF">2025-09-21T16:07:00Z</dcterms:modified>
</cp:coreProperties>
</file>