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Informe Técnico: Desarrollo Web de Vanguardia para 2025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En un entorno digital en constante evolución, adoptar tecnologías y prácticas de desarrollo web de vanguardia es esencial para garantizar la competitividad, la eficiencia y la satisfacción del usuario. Este informe presenta un roadmap práctico para 2025, detallando los principales avances tecnológicos y las mejores prácticas, con un enfoque 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Experiencia de Usuario (UX)</w:t>
      </w:r>
      <w:r>
        <w:t xml:space="preserve">: Mejora del compromiso y la accesibilidad.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Rendimiento y Escalabilidad</w:t>
      </w:r>
      <w:r>
        <w:t xml:space="preserve">: Respuesta rápida, alta disponibilidad.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Productividad del Equipo</w:t>
      </w:r>
      <w:r>
        <w:t xml:space="preserve">: Herramientas que optimizan flujos de trabajo.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ROI y Ventaja Competitiva</w:t>
      </w:r>
      <w:r>
        <w:t xml:space="preserve">: Impacto comercial y preparación de futuro.</w:t>
      </w:r>
    </w:p>
    <w:p>
      <w:pPr>
        <w:pStyle w:val="FirstParagraph"/>
      </w:pPr>
      <w:r>
        <w:t xml:space="preserve">Cada sección incluye una descripción técnica, fundamentos de adopción, y guía práctica de implementación con ejemplos, bibliotecas recomendadas y consideraciones clave.</w:t>
      </w:r>
    </w:p>
    <w:p>
      <w:r>
        <w:pict>
          <v:rect style="width:0;height:1.5pt" o:hralign="center" o:hrstd="t" o:hr="t"/>
        </w:pict>
      </w:r>
    </w:p>
    <w:bookmarkEnd w:id="20"/>
    <w:bookmarkStart w:id="24" w:name="integración-de-iaml"/>
    <w:p>
      <w:pPr>
        <w:pStyle w:val="Heading2"/>
      </w:pPr>
      <w:r>
        <w:t xml:space="preserve">1. Integración de IA/ML</w:t>
      </w:r>
    </w:p>
    <w:bookmarkStart w:id="21" w:name="descripción-técnica"/>
    <w:p>
      <w:pPr>
        <w:pStyle w:val="Heading3"/>
      </w:pPr>
      <w:r>
        <w:t xml:space="preserve">1.1 Descripción Técnica</w:t>
      </w:r>
    </w:p>
    <w:p>
      <w:pPr>
        <w:pStyle w:val="FirstParagraph"/>
      </w:pPr>
      <w:r>
        <w:t xml:space="preserve">La integración de Inteligencia Artificial (IA) y Machine Learning (ML) en el frontend o backend permite:</w:t>
      </w:r>
    </w:p>
    <w:p>
      <w:pPr>
        <w:pStyle w:val="Compact"/>
        <w:numPr>
          <w:ilvl w:val="0"/>
          <w:numId w:val="1002"/>
        </w:numPr>
      </w:pPr>
      <w:r>
        <w:t xml:space="preserve">Personalizar contenido en tiempo real.</w:t>
      </w:r>
    </w:p>
    <w:p>
      <w:pPr>
        <w:pStyle w:val="Compact"/>
        <w:numPr>
          <w:ilvl w:val="0"/>
          <w:numId w:val="1002"/>
        </w:numPr>
      </w:pPr>
      <w:r>
        <w:t xml:space="preserve">Realizar análisis predictivos basados en datos de usuario.</w:t>
      </w:r>
    </w:p>
    <w:p>
      <w:pPr>
        <w:pStyle w:val="Compact"/>
        <w:numPr>
          <w:ilvl w:val="0"/>
          <w:numId w:val="1002"/>
        </w:numPr>
      </w:pPr>
      <w:r>
        <w:t xml:space="preserve">Implementar búsqueda inteligente con NLP.</w:t>
      </w:r>
    </w:p>
    <w:p>
      <w:pPr>
        <w:pStyle w:val="FirstParagraph"/>
      </w:pPr>
      <w:r>
        <w:t xml:space="preserve">Se fundamenta en modelos entrenados (TensorFlow.js, PyTorch, scikit‑learn) que se exponen vía APIs REST o se ejecutan en cliente con WebAssembly.</w:t>
      </w:r>
    </w:p>
    <w:bookmarkEnd w:id="21"/>
    <w:bookmarkStart w:id="22" w:name="por-qué-adoptar-ahora"/>
    <w:p>
      <w:pPr>
        <w:pStyle w:val="Heading3"/>
      </w:pPr>
      <w:r>
        <w:t xml:space="preserve">1.2 Por qué adoptar ahora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UX y Engagement</w:t>
      </w:r>
      <w:r>
        <w:t xml:space="preserve">: Recomienda productos, noticias o rutas de navegación personalizadas.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Rendimiento</w:t>
      </w:r>
      <w:r>
        <w:t xml:space="preserve">: Carga selectiva de modelos ligeros; mejora la relevancia y reduce tiempo de decisión.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Escalabilidad</w:t>
      </w:r>
      <w:r>
        <w:t xml:space="preserve">: Modelos en la nube o edge con auto‑scaling.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Eficiencia</w:t>
      </w:r>
      <w:r>
        <w:t xml:space="preserve">: Automatiza tareas rutinarias (chats, segmentación).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ROI</w:t>
      </w:r>
      <w:r>
        <w:t xml:space="preserve">: Aumento de conversión (+15 %) y retención de usuarios.</w:t>
      </w:r>
    </w:p>
    <w:bookmarkEnd w:id="22"/>
    <w:bookmarkStart w:id="23" w:name="cómo-implementar"/>
    <w:p>
      <w:pPr>
        <w:pStyle w:val="Heading3"/>
      </w:pPr>
      <w:r>
        <w:t xml:space="preserve">1.3 Cómo implementar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Frameworks/tools</w:t>
      </w:r>
      <w:r>
        <w:t xml:space="preserve">: TensorFlow.js, ONNX.js, Hugging Face Inference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Pasos clave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Definir casos de uso (recomendaciones, búsqueda).</w:t>
      </w:r>
    </w:p>
    <w:p>
      <w:pPr>
        <w:pStyle w:val="Compact"/>
        <w:numPr>
          <w:ilvl w:val="1"/>
          <w:numId w:val="1005"/>
        </w:numPr>
      </w:pPr>
      <w:r>
        <w:t xml:space="preserve">Entrenar o seleccionar modelo preentrenado.</w:t>
      </w:r>
    </w:p>
    <w:p>
      <w:pPr>
        <w:pStyle w:val="Compact"/>
        <w:numPr>
          <w:ilvl w:val="1"/>
          <w:numId w:val="1005"/>
        </w:numPr>
      </w:pPr>
      <w:r>
        <w:t xml:space="preserve">Desplegar en servidor (FastAPI, Node.js + tfjs-node) o en cliente.</w:t>
      </w:r>
    </w:p>
    <w:p>
      <w:pPr>
        <w:pStyle w:val="Compact"/>
        <w:numPr>
          <w:ilvl w:val="1"/>
          <w:numId w:val="1005"/>
        </w:numPr>
      </w:pPr>
      <w:r>
        <w:t xml:space="preserve">Integrar llamadas al API desde frontend.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Consideraciones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Latencia de inferencia.</w:t>
      </w:r>
    </w:p>
    <w:p>
      <w:pPr>
        <w:pStyle w:val="Compact"/>
        <w:numPr>
          <w:ilvl w:val="1"/>
          <w:numId w:val="1006"/>
        </w:numPr>
      </w:pPr>
      <w:r>
        <w:t xml:space="preserve">Privacidad de datos (GDPR).</w:t>
      </w:r>
    </w:p>
    <w:p>
      <w:pPr>
        <w:pStyle w:val="Compact"/>
        <w:numPr>
          <w:ilvl w:val="1"/>
          <w:numId w:val="1006"/>
        </w:numPr>
      </w:pPr>
      <w:r>
        <w:t xml:space="preserve">Curva de aprendizaje de ML.</w:t>
      </w:r>
    </w:p>
    <w:p>
      <w:pPr>
        <w:pStyle w:val="SourceCode"/>
      </w:pPr>
      <w:r>
        <w:rPr>
          <w:rStyle w:val="CommentTok"/>
        </w:rPr>
        <w:t xml:space="preserve">// Ejemplo: recomendación sencilla con TensorFlow.js en cliente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'@tensorflow/tfjs'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loadLayersModel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'/models/recommender/model.json'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tensor</w:t>
      </w:r>
      <w:r>
        <w:rPr>
          <w:rStyle w:val="NormalTok"/>
        </w:rPr>
        <w:t xml:space="preserve">([</w:t>
      </w:r>
      <w:r>
        <w:rPr>
          <w:rStyle w:val="CommentTok"/>
        </w:rPr>
        <w:t xml:space="preserve">/* vectores de características */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(userFeatures)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Mostrar recomendaciones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576fe0901bfbfd5241b65760a05c4814b0a0168"/>
    <w:p>
      <w:pPr>
        <w:pStyle w:val="Heading2"/>
      </w:pPr>
      <w:r>
        <w:t xml:space="preserve">2. Computación de Borde y Funciones Sin Servidor (Serverless)</w:t>
      </w:r>
    </w:p>
    <w:bookmarkStart w:id="25" w:name="descripción-técnica-1"/>
    <w:p>
      <w:pPr>
        <w:pStyle w:val="Heading3"/>
      </w:pPr>
      <w:r>
        <w:t xml:space="preserve">2.1 Descripción Técnica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Computing</w:t>
      </w:r>
      <w:r>
        <w:t xml:space="preserve">: Despliegue de funciones en nodos cercanos al usuario (Cloudflare Workers, AWS Lambda@Edge).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Serverless</w:t>
      </w:r>
      <w:r>
        <w:t xml:space="preserve">: Arquitectura basado en FaaS que escala automáticamente y cobra por ejecución.</w:t>
      </w:r>
    </w:p>
    <w:bookmarkEnd w:id="25"/>
    <w:bookmarkStart w:id="26" w:name="por-qué-adoptar-ahora-1"/>
    <w:p>
      <w:pPr>
        <w:pStyle w:val="Heading3"/>
      </w:pPr>
      <w:r>
        <w:t xml:space="preserve">2.2 Por qué adoptar ahora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Rendimiento</w:t>
      </w:r>
      <w:r>
        <w:t xml:space="preserve">: Latencias &lt; 50 ms al ejecutar lógica cerca del cliente.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Escalabilidad</w:t>
      </w:r>
      <w:r>
        <w:t xml:space="preserve">: Escala sin provisión previa de servidores.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Costo</w:t>
      </w:r>
      <w:r>
        <w:t xml:space="preserve">: Pago por uso.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Desarrollo</w:t>
      </w:r>
      <w:r>
        <w:t xml:space="preserve">: Elimina tareas de infraestructuras.</w:t>
      </w:r>
    </w:p>
    <w:bookmarkEnd w:id="26"/>
    <w:bookmarkStart w:id="27" w:name="cómo-implementar-1"/>
    <w:p>
      <w:pPr>
        <w:pStyle w:val="Heading3"/>
      </w:pPr>
      <w:r>
        <w:t xml:space="preserve">2.3 Cómo implementar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Plataformas recomendadas</w:t>
      </w:r>
      <w:r>
        <w:t xml:space="preserve">: Cloudflare Workers, AWS Lambda, Vercel Functions, Netlify Functions.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Identificar microservicios o endpoints ligeros.</w:t>
      </w:r>
    </w:p>
    <w:p>
      <w:pPr>
        <w:pStyle w:val="Compact"/>
        <w:numPr>
          <w:ilvl w:val="1"/>
          <w:numId w:val="1010"/>
        </w:numPr>
      </w:pPr>
      <w:r>
        <w:t xml:space="preserve">Escribir funciones (Javascript/Typescript/Python).</w:t>
      </w:r>
    </w:p>
    <w:p>
      <w:pPr>
        <w:pStyle w:val="Compact"/>
        <w:numPr>
          <w:ilvl w:val="1"/>
          <w:numId w:val="1010"/>
        </w:numPr>
      </w:pPr>
      <w:r>
        <w:t xml:space="preserve">Configurar en la plataforma (wrangler.toml, serverless.yml).</w:t>
      </w:r>
    </w:p>
    <w:p>
      <w:pPr>
        <w:pStyle w:val="Compact"/>
        <w:numPr>
          <w:ilvl w:val="1"/>
          <w:numId w:val="1010"/>
        </w:numPr>
      </w:pPr>
      <w:r>
        <w:t xml:space="preserve">Integrar con CDN y API Gateway.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Mejores prácticas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Mantén funciones &lt; 100 ms de ejecución.</w:t>
      </w:r>
    </w:p>
    <w:p>
      <w:pPr>
        <w:pStyle w:val="Compact"/>
        <w:numPr>
          <w:ilvl w:val="1"/>
          <w:numId w:val="1011"/>
        </w:numPr>
      </w:pPr>
      <w:r>
        <w:t xml:space="preserve">Usa marcos ligeros (Miniflare, Serverless Framework).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ebassembly-wasm"/>
    <w:p>
      <w:pPr>
        <w:pStyle w:val="Heading2"/>
      </w:pPr>
      <w:r>
        <w:t xml:space="preserve">3. WebAssembly (Wasm)</w:t>
      </w:r>
    </w:p>
    <w:bookmarkStart w:id="29" w:name="descripción-técnica-2"/>
    <w:p>
      <w:pPr>
        <w:pStyle w:val="Heading3"/>
      </w:pPr>
      <w:r>
        <w:t xml:space="preserve">3.1 Descripción Técnica</w:t>
      </w:r>
    </w:p>
    <w:p>
      <w:pPr>
        <w:pStyle w:val="FirstParagraph"/>
      </w:pPr>
      <w:r>
        <w:t xml:space="preserve">Wasm es un formato binario para código de bajo nivel que corre en el navegador con rendimiento cercano al nativo. Permite portar librerías de C/C++, Rust o Go al frontend.</w:t>
      </w:r>
    </w:p>
    <w:bookmarkEnd w:id="29"/>
    <w:bookmarkStart w:id="30" w:name="por-qué-adoptar-ahora-2"/>
    <w:p>
      <w:pPr>
        <w:pStyle w:val="Heading3"/>
      </w:pPr>
      <w:r>
        <w:t xml:space="preserve">3.2 Por qué adoptar ahora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Rendimiento</w:t>
      </w:r>
      <w:r>
        <w:t xml:space="preserve">: Cálculos intensivos (imágenes, criptografía) fuera de JavaScript.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UX</w:t>
      </w:r>
      <w:r>
        <w:t xml:space="preserve">: Animaciones y gráficos en tiempo real sin ralentizar la 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Eficiencia</w:t>
      </w:r>
      <w:r>
        <w:t xml:space="preserve">: Reutiliza código existente de backends.</w:t>
      </w:r>
    </w:p>
    <w:bookmarkEnd w:id="30"/>
    <w:bookmarkStart w:id="31" w:name="cómo-implementar-2"/>
    <w:p>
      <w:pPr>
        <w:pStyle w:val="Heading3"/>
      </w:pPr>
      <w:r>
        <w:t xml:space="preserve">3.3 Cómo implementar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Herramientas</w:t>
      </w:r>
      <w:r>
        <w:t xml:space="preserve">: Emscripten, AssemblyScript, wasm-pack (Rust).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Escribir módulo en Rust/C++.</w:t>
      </w:r>
    </w:p>
    <w:p>
      <w:pPr>
        <w:pStyle w:val="Compact"/>
        <w:numPr>
          <w:ilvl w:val="1"/>
          <w:numId w:val="1014"/>
        </w:numPr>
      </w:pPr>
      <w:r>
        <w:t xml:space="preserve">Compilar a Wasm con CLI.</w:t>
      </w:r>
    </w:p>
    <w:p>
      <w:pPr>
        <w:pStyle w:val="Compact"/>
        <w:numPr>
          <w:ilvl w:val="1"/>
          <w:numId w:val="1014"/>
        </w:numPr>
      </w:pPr>
      <w:r>
        <w:t xml:space="preserve">Importar en JS: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heavyCompute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'./pkg/my_wasm_module.js'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heavyCompute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Consideraciones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Tamaño del binario.</w:t>
      </w:r>
    </w:p>
    <w:p>
      <w:pPr>
        <w:pStyle w:val="Compact"/>
        <w:numPr>
          <w:ilvl w:val="1"/>
          <w:numId w:val="1016"/>
        </w:numPr>
      </w:pPr>
      <w:r>
        <w:t xml:space="preserve">Debugging más complejo.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rameworks-frontend-avanzados"/>
    <w:p>
      <w:pPr>
        <w:pStyle w:val="Heading2"/>
      </w:pPr>
      <w:r>
        <w:t xml:space="preserve">4. Frameworks Frontend Avanzados</w:t>
      </w:r>
    </w:p>
    <w:bookmarkStart w:id="33" w:name="descripción-técnica-3"/>
    <w:p>
      <w:pPr>
        <w:pStyle w:val="Heading3"/>
      </w:pPr>
      <w:r>
        <w:t xml:space="preserve">4.1 Descripción Técnica</w:t>
      </w:r>
    </w:p>
    <w:p>
      <w:pPr>
        <w:pStyle w:val="FirstParagraph"/>
      </w:pPr>
      <w:r>
        <w:t xml:space="preserve">Modernización continua de React (Concurrent Mode, Server Components), Vue 3 (Composition API), SvelteKit, y Angular v16+.</w:t>
      </w:r>
    </w:p>
    <w:bookmarkEnd w:id="33"/>
    <w:bookmarkStart w:id="34" w:name="por-qué-adoptar-ahora-3"/>
    <w:p>
      <w:pPr>
        <w:pStyle w:val="Heading3"/>
      </w:pPr>
      <w:r>
        <w:t xml:space="preserve">4.2 Por qué adoptar ahora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Productividad</w:t>
      </w:r>
      <w:r>
        <w:t xml:space="preserve">: Hooks y composición facilitan reuso.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Rendimiento</w:t>
      </w:r>
      <w:r>
        <w:t xml:space="preserve">: SSR, hydrations parciales y streaming.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Ecosistema</w:t>
      </w:r>
      <w:r>
        <w:t xml:space="preserve">: Ecosistemas maduros con plugins y herramientas.</w:t>
      </w:r>
    </w:p>
    <w:bookmarkEnd w:id="34"/>
    <w:bookmarkStart w:id="35" w:name="cómo-implementar-3"/>
    <w:p>
      <w:pPr>
        <w:pStyle w:val="Heading3"/>
      </w:pPr>
      <w:r>
        <w:t xml:space="preserve">4.3 Cómo implementar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Selección</w:t>
      </w:r>
      <w:r>
        <w:t xml:space="preserve">: Evalúa según requisitos (SSG, SSR, interactividad).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Ejemplos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React 18 con Next.js y Server Components.</w:t>
      </w:r>
    </w:p>
    <w:p>
      <w:pPr>
        <w:pStyle w:val="Compact"/>
        <w:numPr>
          <w:ilvl w:val="1"/>
          <w:numId w:val="1019"/>
        </w:numPr>
      </w:pPr>
      <w:r>
        <w:t xml:space="preserve">SvelteKit para apps ligeras con CSR/SSR híbrido.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Mejores prácticas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Code‑splitting.</w:t>
      </w:r>
    </w:p>
    <w:p>
      <w:pPr>
        <w:pStyle w:val="Compact"/>
        <w:numPr>
          <w:ilvl w:val="1"/>
          <w:numId w:val="1020"/>
        </w:numPr>
      </w:pPr>
      <w:r>
        <w:t xml:space="preserve">Pre‑fetching de rutas.</w:t>
      </w:r>
    </w:p>
    <w:p>
      <w:pPr>
        <w:pStyle w:val="Compact"/>
        <w:numPr>
          <w:ilvl w:val="1"/>
          <w:numId w:val="1020"/>
        </w:numPr>
      </w:pPr>
      <w:r>
        <w:t xml:space="preserve">Uso de Suspense para carga.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plicaciones-web-progresivas-pwa"/>
    <w:p>
      <w:pPr>
        <w:pStyle w:val="Heading2"/>
      </w:pPr>
      <w:r>
        <w:t xml:space="preserve">5. Aplicaciones Web Progresivas (PWA)</w:t>
      </w:r>
    </w:p>
    <w:bookmarkStart w:id="37" w:name="descripción-técnica-4"/>
    <w:p>
      <w:pPr>
        <w:pStyle w:val="Heading3"/>
      </w:pPr>
      <w:r>
        <w:t xml:space="preserve">5.1 Descripción Técnica</w:t>
      </w:r>
    </w:p>
    <w:p>
      <w:pPr>
        <w:pStyle w:val="FirstParagraph"/>
      </w:pPr>
      <w:r>
        <w:t xml:space="preserve">PWA combinan web y móvil: manifest.json, service workers, caching y notificaciones push.</w:t>
      </w:r>
    </w:p>
    <w:bookmarkEnd w:id="37"/>
    <w:bookmarkStart w:id="38" w:name="por-qué-adoptar-ahora-4"/>
    <w:p>
      <w:pPr>
        <w:pStyle w:val="Heading3"/>
      </w:pPr>
      <w:r>
        <w:t xml:space="preserve">5.2 Por qué adoptar ahora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Alcance</w:t>
      </w:r>
      <w:r>
        <w:t xml:space="preserve">: Instalables sin tienda, notificaciones.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Offline</w:t>
      </w:r>
      <w:r>
        <w:t xml:space="preserve">: Disponibilidad en zonas sin conexión.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Engagement</w:t>
      </w:r>
      <w:r>
        <w:t xml:space="preserve">: Push y homescreen.</w:t>
      </w:r>
    </w:p>
    <w:bookmarkEnd w:id="38"/>
    <w:bookmarkStart w:id="39" w:name="cómo-implementar-4"/>
    <w:p>
      <w:pPr>
        <w:pStyle w:val="Heading3"/>
      </w:pPr>
      <w:r>
        <w:t xml:space="preserve">5.3 Cómo implementar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Herramientas</w:t>
      </w:r>
      <w:r>
        <w:t xml:space="preserve">: Workbox, PWA plugin de frameworks.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Crear manifest.json.</w:t>
      </w:r>
    </w:p>
    <w:p>
      <w:pPr>
        <w:pStyle w:val="Compact"/>
        <w:numPr>
          <w:ilvl w:val="1"/>
          <w:numId w:val="1023"/>
        </w:numPr>
      </w:pPr>
      <w:r>
        <w:t xml:space="preserve">Registrar Service Worker para caching (Precaching y runtime).</w:t>
      </w:r>
    </w:p>
    <w:p>
      <w:pPr>
        <w:pStyle w:val="Compact"/>
        <w:numPr>
          <w:ilvl w:val="1"/>
          <w:numId w:val="1023"/>
        </w:numPr>
      </w:pPr>
      <w:r>
        <w:t xml:space="preserve">Configurar iconos y pantalla de inicio.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Mejores prácticas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Estrategia de caching (Stale‑while‑revalidate).</w:t>
      </w:r>
    </w:p>
    <w:p>
      <w:pPr>
        <w:pStyle w:val="Compact"/>
        <w:numPr>
          <w:ilvl w:val="1"/>
          <w:numId w:val="1024"/>
        </w:numPr>
      </w:pPr>
      <w:r>
        <w:t xml:space="preserve">Test en Lighthouse.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eadless-cms-y-api-first"/>
    <w:p>
      <w:pPr>
        <w:pStyle w:val="Heading2"/>
      </w:pPr>
      <w:r>
        <w:t xml:space="preserve">6. Headless CMS y API-First</w:t>
      </w:r>
    </w:p>
    <w:bookmarkStart w:id="41" w:name="descripción-técnica-5"/>
    <w:p>
      <w:pPr>
        <w:pStyle w:val="Heading3"/>
      </w:pPr>
      <w:r>
        <w:t xml:space="preserve">6.1 Descripción Técnica</w:t>
      </w:r>
    </w:p>
    <w:p>
      <w:pPr>
        <w:pStyle w:val="FirstParagraph"/>
      </w:pPr>
      <w:r>
        <w:t xml:space="preserve">CMS desacoplado (Strapi, Contentful, Sanity) que expone contenido vía REST/GraphQL.</w:t>
      </w:r>
    </w:p>
    <w:bookmarkEnd w:id="41"/>
    <w:bookmarkStart w:id="42" w:name="por-qué-adoptar-ahora-5"/>
    <w:p>
      <w:pPr>
        <w:pStyle w:val="Heading3"/>
      </w:pPr>
      <w:r>
        <w:t xml:space="preserve">6.2 Por qué adoptar ahora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Flexibilidad</w:t>
      </w:r>
      <w:r>
        <w:t xml:space="preserve">: Múltiples canales (web, mobile, IoT).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Escalabilidad</w:t>
      </w:r>
      <w:r>
        <w:t xml:space="preserve">: Escala solo la capa de contenido.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Desarrollo</w:t>
      </w:r>
      <w:r>
        <w:t xml:space="preserve">: Frontend independiente y veloz.</w:t>
      </w:r>
    </w:p>
    <w:bookmarkEnd w:id="42"/>
    <w:bookmarkStart w:id="43" w:name="cómo-implementar-5"/>
    <w:p>
      <w:pPr>
        <w:pStyle w:val="Heading3"/>
      </w:pPr>
      <w:r>
        <w:t xml:space="preserve">6.3 Cómo implementar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Selección</w:t>
      </w:r>
      <w:r>
        <w:t xml:space="preserve">: Strapi para Open‑Source; Contentful/Sanity para SaaS.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Integración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Modela esquemas de contenido.</w:t>
      </w:r>
    </w:p>
    <w:p>
      <w:pPr>
        <w:pStyle w:val="Compact"/>
        <w:numPr>
          <w:ilvl w:val="1"/>
          <w:numId w:val="1027"/>
        </w:numPr>
      </w:pPr>
      <w:r>
        <w:t xml:space="preserve">Consume API en frameworks frontend.</w:t>
      </w:r>
    </w:p>
    <w:p>
      <w:pPr>
        <w:pStyle w:val="Compact"/>
        <w:numPr>
          <w:ilvl w:val="1"/>
          <w:numId w:val="1027"/>
        </w:numPr>
      </w:pPr>
      <w:r>
        <w:t xml:space="preserve">Configura roles y permisos.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Mejores prácticas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Utiliza GraphQL para solicitar solo lo necesario.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écnicas-css-modernas"/>
    <w:p>
      <w:pPr>
        <w:pStyle w:val="Heading2"/>
      </w:pPr>
      <w:r>
        <w:t xml:space="preserve">7. Técnicas CSS Modernas</w:t>
      </w:r>
    </w:p>
    <w:bookmarkStart w:id="45" w:name="descripción-técnica-6"/>
    <w:p>
      <w:pPr>
        <w:pStyle w:val="Heading3"/>
      </w:pPr>
      <w:r>
        <w:t xml:space="preserve">7.1 Descripción Técnica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Utility-first</w:t>
      </w:r>
      <w:r>
        <w:t xml:space="preserve">: Tailwind CSS.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CSS-in-JS</w:t>
      </w:r>
      <w:r>
        <w:t xml:space="preserve">: Styled‑Components, Emotion.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Diseños Avanzados</w:t>
      </w:r>
      <w:r>
        <w:t xml:space="preserve">: Grid y Flexbox.</w:t>
      </w:r>
    </w:p>
    <w:bookmarkEnd w:id="45"/>
    <w:bookmarkStart w:id="46" w:name="por-qué-adoptar-ahora-6"/>
    <w:p>
      <w:pPr>
        <w:pStyle w:val="Heading3"/>
      </w:pPr>
      <w:r>
        <w:t xml:space="preserve">7.2 Por qué adoptar ahora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Velocidad de desarrollo</w:t>
      </w:r>
      <w:r>
        <w:t xml:space="preserve">: Clases reutilizables.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Mantenibilidad</w:t>
      </w:r>
      <w:r>
        <w:t xml:space="preserve">: Aislamiento de estilos.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Consistencia</w:t>
      </w:r>
      <w:r>
        <w:t xml:space="preserve">: Sistema de diseño escalable.</w:t>
      </w:r>
    </w:p>
    <w:bookmarkEnd w:id="46"/>
    <w:bookmarkStart w:id="47" w:name="cómo-implementar-6"/>
    <w:p>
      <w:pPr>
        <w:pStyle w:val="Heading3"/>
      </w:pPr>
      <w:r>
        <w:t xml:space="preserve">7.3 Cómo implementar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Instalación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tailwindcss postcss autoprefixer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Configurar tailwind.config.js.</w:t>
      </w:r>
    </w:p>
    <w:p>
      <w:pPr>
        <w:pStyle w:val="Compact"/>
        <w:numPr>
          <w:ilvl w:val="1"/>
          <w:numId w:val="1032"/>
        </w:numPr>
      </w:pPr>
      <w:r>
        <w:t xml:space="preserve">Usar directivas</w:t>
      </w:r>
      <w:r>
        <w:t xml:space="preserve"> </w:t>
      </w:r>
      <w:r>
        <w:rPr>
          <w:rStyle w:val="VerbatimChar"/>
        </w:rPr>
        <w:t xml:space="preserve">@apply</w:t>
      </w:r>
      <w:r>
        <w:t xml:space="preserve"> </w:t>
      </w:r>
      <w:r>
        <w:t xml:space="preserve">en componentes.</w:t>
      </w:r>
    </w:p>
    <w:p>
      <w:pPr>
        <w:pStyle w:val="Compact"/>
        <w:numPr>
          <w:ilvl w:val="1"/>
          <w:numId w:val="1032"/>
        </w:numPr>
      </w:pPr>
      <w:r>
        <w:t xml:space="preserve">Purga de clases no usadas en producción.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Mejores prácticas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Define tokens de diseño (colores, tipografías).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icro-frontends"/>
    <w:p>
      <w:pPr>
        <w:pStyle w:val="Heading2"/>
      </w:pPr>
      <w:r>
        <w:t xml:space="preserve">8. Micro-Frontends</w:t>
      </w:r>
    </w:p>
    <w:bookmarkStart w:id="49" w:name="descripción-técnica-7"/>
    <w:p>
      <w:pPr>
        <w:pStyle w:val="Heading3"/>
      </w:pPr>
      <w:r>
        <w:t xml:space="preserve">8.1 Descripción Técnica</w:t>
      </w:r>
    </w:p>
    <w:p>
      <w:pPr>
        <w:pStyle w:val="FirstParagraph"/>
      </w:pPr>
      <w:r>
        <w:t xml:space="preserve">Arquitectura que divide el frontend en aplicaciones pequeñas e independientes, desplegadas y mantenidas de forma aislada.</w:t>
      </w:r>
    </w:p>
    <w:bookmarkEnd w:id="49"/>
    <w:bookmarkStart w:id="50" w:name="por-qué-adoptar-ahora-7"/>
    <w:p>
      <w:pPr>
        <w:pStyle w:val="Heading3"/>
      </w:pPr>
      <w:r>
        <w:t xml:space="preserve">8.2 Por qué adoptar ahora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Escalabilidad del equipo</w:t>
      </w:r>
      <w:r>
        <w:t xml:space="preserve">: Múltiples squads trabajan sin interferencias.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Despliegues independientes</w:t>
      </w:r>
      <w:r>
        <w:t xml:space="preserve">: Sin riesgos globales.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Tecnologías mixtas</w:t>
      </w:r>
      <w:r>
        <w:t xml:space="preserve">: Cada micro‑frontend puede usar su pila.</w:t>
      </w:r>
    </w:p>
    <w:bookmarkEnd w:id="50"/>
    <w:bookmarkStart w:id="51" w:name="cómo-implementar-7"/>
    <w:p>
      <w:pPr>
        <w:pStyle w:val="Heading3"/>
      </w:pPr>
      <w:r>
        <w:t xml:space="preserve">8.3 Cómo implementar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Herramientas</w:t>
      </w:r>
      <w:r>
        <w:t xml:space="preserve">: Module Federation (Webpack 5), single-spa.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Definir contenedores y remotos.</w:t>
      </w:r>
    </w:p>
    <w:p>
      <w:pPr>
        <w:pStyle w:val="Compact"/>
        <w:numPr>
          <w:ilvl w:val="1"/>
          <w:numId w:val="1036"/>
        </w:numPr>
      </w:pPr>
      <w:r>
        <w:t xml:space="preserve">Configurar Module Federation.</w:t>
      </w:r>
    </w:p>
    <w:p>
      <w:pPr>
        <w:pStyle w:val="Compact"/>
        <w:numPr>
          <w:ilvl w:val="1"/>
          <w:numId w:val="1036"/>
        </w:numPr>
      </w:pPr>
      <w:r>
        <w:t xml:space="preserve">Orquestar en runtime.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Consideraciones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Versionado de dependencias compartidas.</w:t>
      </w:r>
    </w:p>
    <w:p>
      <w:pPr>
        <w:pStyle w:val="Compact"/>
        <w:numPr>
          <w:ilvl w:val="1"/>
          <w:numId w:val="1037"/>
        </w:numPr>
      </w:pPr>
      <w:r>
        <w:t xml:space="preserve">Latencia de carga de remotos.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optimización-del-rendimiento-web-wpo"/>
    <w:p>
      <w:pPr>
        <w:pStyle w:val="Heading2"/>
      </w:pPr>
      <w:r>
        <w:t xml:space="preserve">9. Optimización del Rendimiento Web (WPO)</w:t>
      </w:r>
    </w:p>
    <w:bookmarkStart w:id="53" w:name="descripción-técnica-8"/>
    <w:p>
      <w:pPr>
        <w:pStyle w:val="Heading3"/>
      </w:pPr>
      <w:r>
        <w:t xml:space="preserve">9.1 Descripción Técnica</w:t>
      </w:r>
    </w:p>
    <w:p>
      <w:pPr>
        <w:pStyle w:val="FirstParagraph"/>
      </w:pPr>
      <w:r>
        <w:t xml:space="preserve">Prácticas para mejorar TTFB, path de renderizado crítico, optimización de recursos estáticos.</w:t>
      </w:r>
    </w:p>
    <w:bookmarkEnd w:id="53"/>
    <w:bookmarkStart w:id="54" w:name="por-qué-adoptar-ahora-8"/>
    <w:p>
      <w:pPr>
        <w:pStyle w:val="Heading3"/>
      </w:pPr>
      <w:r>
        <w:t xml:space="preserve">9.2 Por qué adoptar ahora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SEO y conversiones</w:t>
      </w:r>
      <w:r>
        <w:t xml:space="preserve">: Cada 100 ms mejora el ret ención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Accesibilidad</w:t>
      </w:r>
      <w:r>
        <w:t xml:space="preserve">: Cargas rápidas para usuarios con conexiones lentas.</w:t>
      </w:r>
    </w:p>
    <w:bookmarkEnd w:id="54"/>
    <w:bookmarkStart w:id="55" w:name="cómo-implementar-8"/>
    <w:p>
      <w:pPr>
        <w:pStyle w:val="Heading3"/>
      </w:pPr>
      <w:r>
        <w:t xml:space="preserve">9.3 Cómo implementar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Herramientas</w:t>
      </w:r>
      <w:r>
        <w:t xml:space="preserve">: Lighthouse, WebPageTest, Bundlephobia.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Técnicas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Critical CSS inline.</w:t>
      </w:r>
    </w:p>
    <w:p>
      <w:pPr>
        <w:pStyle w:val="Compact"/>
        <w:numPr>
          <w:ilvl w:val="1"/>
          <w:numId w:val="1040"/>
        </w:numPr>
      </w:pPr>
      <w:r>
        <w:t xml:space="preserve">Preloading de recursos críticos (</w:t>
      </w:r>
      <w:r>
        <w:rPr>
          <w:rStyle w:val="VerbatimChar"/>
        </w:rPr>
        <w:t xml:space="preserve">&lt;link rel="preload"&gt;</w:t>
      </w:r>
      <w:r>
        <w:t xml:space="preserve">).</w:t>
      </w:r>
    </w:p>
    <w:p>
      <w:pPr>
        <w:pStyle w:val="Compact"/>
        <w:numPr>
          <w:ilvl w:val="1"/>
          <w:numId w:val="1040"/>
        </w:numPr>
      </w:pPr>
      <w:r>
        <w:t xml:space="preserve">Compresión Brotli/Gzip.</w:t>
      </w:r>
    </w:p>
    <w:p>
      <w:pPr>
        <w:pStyle w:val="Compact"/>
        <w:numPr>
          <w:ilvl w:val="1"/>
          <w:numId w:val="1040"/>
        </w:numPr>
      </w:pPr>
      <w:r>
        <w:t xml:space="preserve">Optimización de imágenes (WebP, AVIF).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ccesibilidad-a11y"/>
    <w:p>
      <w:pPr>
        <w:pStyle w:val="Heading2"/>
      </w:pPr>
      <w:r>
        <w:t xml:space="preserve">10. Accesibilidad (A11y)</w:t>
      </w:r>
    </w:p>
    <w:bookmarkStart w:id="57" w:name="descripción-técnica-9"/>
    <w:p>
      <w:pPr>
        <w:pStyle w:val="Heading3"/>
      </w:pPr>
      <w:r>
        <w:t xml:space="preserve">10.1 Descripción Técnica</w:t>
      </w:r>
    </w:p>
    <w:p>
      <w:pPr>
        <w:pStyle w:val="FirstParagraph"/>
      </w:pPr>
      <w:r>
        <w:t xml:space="preserve">Cumplimiento de estándares WCAG 2.1+, uso de ARIA, pruebas con lectores de pantalla.</w:t>
      </w:r>
    </w:p>
    <w:bookmarkEnd w:id="57"/>
    <w:bookmarkStart w:id="58" w:name="por-qué-adoptar-ahora-9"/>
    <w:p>
      <w:pPr>
        <w:pStyle w:val="Heading3"/>
      </w:pPr>
      <w:r>
        <w:t xml:space="preserve">10.2 Por qué adoptar ahora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Inclusión</w:t>
      </w:r>
      <w:r>
        <w:t xml:space="preserve">: Usuarios con discapacidades.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Legal</w:t>
      </w:r>
      <w:r>
        <w:t xml:space="preserve">: Cumplimiento normativo.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Mercado</w:t>
      </w:r>
      <w:r>
        <w:t xml:space="preserve">: Ampliar audiencia.</w:t>
      </w:r>
    </w:p>
    <w:bookmarkEnd w:id="58"/>
    <w:bookmarkStart w:id="59" w:name="cómo-implementar-9"/>
    <w:p>
      <w:pPr>
        <w:pStyle w:val="Heading3"/>
      </w:pPr>
      <w:r>
        <w:t xml:space="preserve">10.3 Cómo implementar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Herramientas</w:t>
      </w:r>
      <w:r>
        <w:t xml:space="preserve">: axe-core, Lighthouse, WAVE.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Mejores prácticas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Semántica HTML.</w:t>
      </w:r>
    </w:p>
    <w:p>
      <w:pPr>
        <w:pStyle w:val="Compact"/>
        <w:numPr>
          <w:ilvl w:val="1"/>
          <w:numId w:val="1043"/>
        </w:numPr>
      </w:pPr>
      <w:r>
        <w:t xml:space="preserve">Contraste de colores &gt;= 4.5:1.</w:t>
      </w:r>
    </w:p>
    <w:p>
      <w:pPr>
        <w:pStyle w:val="Compact"/>
        <w:numPr>
          <w:ilvl w:val="1"/>
          <w:numId w:val="1043"/>
        </w:numPr>
      </w:pPr>
      <w:r>
        <w:t xml:space="preserve">Etiquetas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bien asociadas.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eguridad-avanzada"/>
    <w:p>
      <w:pPr>
        <w:pStyle w:val="Heading2"/>
      </w:pPr>
      <w:r>
        <w:t xml:space="preserve">11. Seguridad Avanzada</w:t>
      </w:r>
    </w:p>
    <w:bookmarkStart w:id="61" w:name="descripción-técnica-10"/>
    <w:p>
      <w:pPr>
        <w:pStyle w:val="Heading3"/>
      </w:pPr>
      <w:r>
        <w:t xml:space="preserve">11.1 Descripción Técnica</w:t>
      </w:r>
    </w:p>
    <w:p>
      <w:pPr>
        <w:pStyle w:val="FirstParagraph"/>
      </w:pPr>
      <w:r>
        <w:t xml:space="preserve">Autenticación multifactor, OAuth 2.0, JWT, CSP, protección CSRF y XSS.</w:t>
      </w:r>
    </w:p>
    <w:bookmarkEnd w:id="61"/>
    <w:bookmarkStart w:id="62" w:name="por-qué-adoptar-ahora-10"/>
    <w:p>
      <w:pPr>
        <w:pStyle w:val="Heading3"/>
      </w:pPr>
      <w:r>
        <w:t xml:space="preserve">11.2 Por qué adoptar ahora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Confianza del usuario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Protección de datos</w:t>
      </w:r>
      <w:r>
        <w:t xml:space="preserve"> </w:t>
      </w:r>
      <w:r>
        <w:t xml:space="preserve">(GDPR, CCPA).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Prevención de brechas</w:t>
      </w:r>
      <w:r>
        <w:t xml:space="preserve">.</w:t>
      </w:r>
    </w:p>
    <w:bookmarkEnd w:id="62"/>
    <w:bookmarkStart w:id="63" w:name="cómo-implementar-10"/>
    <w:p>
      <w:pPr>
        <w:pStyle w:val="Heading3"/>
      </w:pPr>
      <w:r>
        <w:t xml:space="preserve">11.3 Cómo implementar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Herramientas</w:t>
      </w:r>
      <w:r>
        <w:t xml:space="preserve">: Auth0, Keycloak, Helmet.js.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Configurar autenticación y autorización centralizada.</w:t>
      </w:r>
    </w:p>
    <w:p>
      <w:pPr>
        <w:pStyle w:val="Compact"/>
        <w:numPr>
          <w:ilvl w:val="1"/>
          <w:numId w:val="1046"/>
        </w:numPr>
      </w:pPr>
      <w:r>
        <w:t xml:space="preserve">Definir políticas CSP y sanitizar input.</w:t>
      </w:r>
    </w:p>
    <w:p>
      <w:pPr>
        <w:pStyle w:val="Compact"/>
        <w:numPr>
          <w:ilvl w:val="1"/>
          <w:numId w:val="1046"/>
        </w:numPr>
      </w:pPr>
      <w:r>
        <w:t xml:space="preserve">Revisar dependencias con Snyk o Dependabot.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evops-y-cicd"/>
    <w:p>
      <w:pPr>
        <w:pStyle w:val="Heading2"/>
      </w:pPr>
      <w:r>
        <w:t xml:space="preserve">12. DevOps y CI/CD</w:t>
      </w:r>
    </w:p>
    <w:bookmarkStart w:id="65" w:name="descripción-técnica-11"/>
    <w:p>
      <w:pPr>
        <w:pStyle w:val="Heading3"/>
      </w:pPr>
      <w:r>
        <w:t xml:space="preserve">12.1 Descripción Técnica</w:t>
      </w:r>
    </w:p>
    <w:p>
      <w:pPr>
        <w:pStyle w:val="FirstParagraph"/>
      </w:pPr>
      <w:r>
        <w:t xml:space="preserve">Pipelines automatizadas para testing, build y despliegue continuo (GitHub Actions, GitLab CI, Jenkins).</w:t>
      </w:r>
    </w:p>
    <w:bookmarkEnd w:id="65"/>
    <w:bookmarkStart w:id="66" w:name="por-qué-adoptar-ahora-11"/>
    <w:p>
      <w:pPr>
        <w:pStyle w:val="Heading3"/>
      </w:pPr>
      <w:r>
        <w:t xml:space="preserve">12.2 Por qué adoptar ahora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Velocidad de entrega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Calidad</w:t>
      </w:r>
      <w:r>
        <w:t xml:space="preserve">: Pruebas automatizadas.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Trazabilidad</w:t>
      </w:r>
      <w:r>
        <w:t xml:space="preserve">: Rollbacks y audit trails.</w:t>
      </w:r>
    </w:p>
    <w:bookmarkEnd w:id="66"/>
    <w:bookmarkStart w:id="67" w:name="cómo-implementar-11"/>
    <w:p>
      <w:pPr>
        <w:pStyle w:val="Heading3"/>
      </w:pPr>
      <w:r>
        <w:t xml:space="preserve">12.3 Cómo implementar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Herramientas</w:t>
      </w:r>
      <w:r>
        <w:t xml:space="preserve">: GitHub Actions, CircleCI, Docker, Kubernetes.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Pasos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Definir workflow (build → test → deploy).</w:t>
      </w:r>
    </w:p>
    <w:p>
      <w:pPr>
        <w:pStyle w:val="Compact"/>
        <w:numPr>
          <w:ilvl w:val="1"/>
          <w:numId w:val="1049"/>
        </w:numPr>
      </w:pPr>
      <w:r>
        <w:t xml:space="preserve">Contenerización de aplicaciones.</w:t>
      </w:r>
    </w:p>
    <w:p>
      <w:pPr>
        <w:pStyle w:val="Compact"/>
        <w:numPr>
          <w:ilvl w:val="1"/>
          <w:numId w:val="1049"/>
        </w:numPr>
      </w:pPr>
      <w:r>
        <w:t xml:space="preserve">Despliegue blue/green o canary.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La adopción sincronizada de estas tecnologías y prácticas posiciona a nuestro equipo para enfrentar los retos de 2025, ofreciendo experiencias rápidas, seguras, accesibles y altamente personalizadas. La hoja de ruta aquí presentada facilita su integración en proyectos existentes y maximiza el retorno de inversión a través de mejoras medibles en rendimiento y satisfacción del usuario.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Informe Técnico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2025-07-24T15:19:11Z</dcterms:created>
  <dcterms:modified xsi:type="dcterms:W3CDTF">2025-07-24T15:19:11Z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