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155CC"/>
          <w:sz w:val="30"/>
          <w:szCs w:val="30"/>
        </w:rPr>
        <w:t xml:space="preserve">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6FC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 del Contenido</w:t>
            </w:r>
          </w:p>
        </w:tc>
        <w:tc>
          <w:tcPr>
            <w:tcW w:type="dxa" w:w="6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futuro de la tecnología en la gestión de riesgos: IA, automatización y decisiones en tiempo real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6FC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Contenido</w:t>
            </w:r>
          </w:p>
        </w:tc>
        <w:tc>
          <w:tcPr>
            <w:tcW w:type="dxa" w:w="6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Artículo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6FC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Concientizar sobre la brecha entre la velocidad de la transformación digital y la capacidad real de las organizaciones para gestionar el riesgo. Muchas empresas siguen dependiendo de procesos manuales y reactivos, lo que las deja expuestas ante amenazas que evolucionan en tiempo real. El objetivo es mostrar cómo las tecnologías emergentes —inteligencia artificial, automatización y análisis predictivo— permiten anticipar y controlar el riesgo de forma proactiva.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6FC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Buyer Persona</w:t>
            </w:r>
          </w:p>
        </w:tc>
        <w:tc>
          <w:tcPr>
            <w:tcW w:type="dxa" w:w="6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Responsable de continuidad (BCM), Gerente de riesgos (CRO), Responsable de seguridad de la información (CISO), Director de TI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6FC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 Principal</w:t>
            </w:r>
          </w:p>
        </w:tc>
        <w:tc>
          <w:tcPr>
            <w:tcW w:type="dxa" w:w="6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Sitio web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6FC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Innovación y Tecnología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6FC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6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 de agosto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F6FC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120" w:before="240"/>
      </w:pPr>
      <w:r>
        <w:rPr>
          <w:b/>
          <w:bCs/>
          <w:color w:val="1F6FC5"/>
          <w:sz w:val="26"/>
          <w:szCs w:val="26"/>
        </w:rPr>
        <w:t xml:space="preserve">Headline / Título Principal</w:t>
      </w:r>
    </w:p>
    <w:p>
      <w:pPr>
        <w:spacing w:after="120" w:line="276"/>
      </w:pPr>
      <w:r>
        <w:rPr>
          <w:b/>
          <w:bCs/>
          <w:sz w:val="24"/>
          <w:szCs w:val="24"/>
        </w:rPr>
        <w:t xml:space="preserve">El futuro de la tecnología en la gestión de riesgos: IA, automatización y decisiones en tiempo real</w:t>
      </w:r>
    </w:p>
    <w:p>
      <w:pPr>
        <w:spacing w:after="120" w:before="240"/>
      </w:pPr>
      <w:r>
        <w:rPr>
          <w:b/>
          <w:bCs/>
          <w:color w:val="1F6FC5"/>
          <w:sz w:val="26"/>
          <w:szCs w:val="26"/>
        </w:rPr>
        <w:t xml:space="preserve">Desarrollo del contenido</w:t>
      </w:r>
    </w:p>
    <w:p>
      <w:pPr>
        <w:spacing w:after="120" w:line="276"/>
      </w:pPr>
      <w:r>
        <w:t xml:space="preserve">¿Está su organización preparada para gestionar el riesgo a la velocidad de la tecnología? La transformación digital avanza más rápido que los marcos tradicionales de control, y las empresas que aún dependen de hojas de cálculo y reportes manuales quedan expuestas ante amenazas que evolucionan en tiempo real.</w:t>
      </w:r>
    </w:p>
    <w:p>
      <w:pPr>
        <w:spacing w:after="120" w:line="276"/>
      </w:pPr>
      <w:r>
        <w:t xml:space="preserve">El futuro de la gestión de riesgos no consiste en reaccionar ante los incidentes, sino en anticiparlos. Las tecnologías emergentes están redefiniendo la forma en que las organizaciones identifican, evalúan y responden a los riesgos operativos, normativos y de seguridad.</w:t>
      </w:r>
    </w:p>
    <w:p>
      <w:pPr>
        <w:spacing w:after="120" w:line="276"/>
      </w:pPr>
      <w:r>
        <w:rPr>
          <w:b/>
          <w:bCs/>
        </w:rPr>
        <w:t xml:space="preserve">Cuatro tendencias marcan el rumbo: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Inteligencia Artificial y análisis predictivo: </w:t>
      </w:r>
      <w:r>
        <w:t xml:space="preserve">detectar patrones y anticipar escenarios de riesgo antes de que se materialicen.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Automatización de controles: </w:t>
      </w:r>
      <w:r>
        <w:t xml:space="preserve">sustituir tareas manuales por flujos que ejecutan, monitorean y documentan el cumplimiento de forma continua.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Monitoreo en tiempo real: </w:t>
      </w:r>
      <w:r>
        <w:t xml:space="preserve">visibilizar el estado del riesgo con tableros dinámicos y alertas tempranas, sin esperar a las auditorías periódicas.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Integración de datos: </w:t>
      </w:r>
      <w:r>
        <w:t xml:space="preserve">unificar la información dispersa en una sola fuente confiable para tomar decisiones basadas en evidencia.</w:t>
      </w:r>
    </w:p>
    <w:p>
      <w:pPr>
        <w:spacing w:after="120" w:line="276"/>
      </w:pPr>
      <w:r>
        <w:rPr>
          <w:b/>
          <w:bCs/>
        </w:rPr>
        <w:t xml:space="preserve">Delphos Continuum</w:t>
      </w:r>
      <w:r>
        <w:t xml:space="preserve"> integra estas capacidades sobre una base de datos única, transformando la gestión de riesgos en un proceso inteligente, automatizado y en tiempo real, para proteger la información, la reputación y el capital de su organización.</w:t>
      </w:r>
    </w:p>
    <w:p>
      <w:pPr>
        <w:spacing w:after="120" w:before="240"/>
      </w:pPr>
      <w:r>
        <w:rPr>
          <w:b/>
          <w:bCs/>
          <w:color w:val="1F6FC5"/>
          <w:sz w:val="26"/>
          <w:szCs w:val="26"/>
        </w:rPr>
        <w:t xml:space="preserve">Call to Action (CTA)</w:t>
      </w:r>
    </w:p>
    <w:p>
      <w:pPr>
        <w:spacing w:after="120" w:line="276"/>
      </w:pPr>
      <w:r>
        <w:t xml:space="preserve">👉 Prepare a su organización para el futuro de la gestión de riesgos. Agende una demo hoy en la sección de contacto.</w:t>
      </w:r>
    </w:p>
    <w:p>
      <w:pPr>
        <w:spacing w:after="120" w:line="276"/>
      </w:pPr>
      <w:r>
        <w:t xml:space="preserve">📩 info@deinsaglobal.com</w:t>
      </w:r>
    </w:p>
    <w:p>
      <w:pPr>
        <w:spacing w:after="120" w:before="240"/>
      </w:pPr>
      <w:r>
        <w:rPr>
          <w:b/>
          <w:bCs/>
          <w:color w:val="1F6FC5"/>
          <w:sz w:val="26"/>
          <w:szCs w:val="26"/>
        </w:rPr>
        <w:t xml:space="preserve">Meta Descripción</w:t>
      </w:r>
    </w:p>
    <w:p>
      <w:pPr>
        <w:spacing w:after="120" w:line="276"/>
      </w:pPr>
      <w:r>
        <w:t xml:space="preserve">Descubra cómo la inteligencia artificial, la automatización y el análisis en tiempo real definen el futuro de la gestión de riesgos con Delphos Continuum.</w:t>
      </w:r>
    </w:p>
    <w:p>
      <w:pPr>
        <w:spacing w:after="120" w:before="240"/>
      </w:pPr>
      <w:r>
        <w:rPr>
          <w:b/>
          <w:bCs/>
          <w:color w:val="1F6FC5"/>
          <w:sz w:val="26"/>
          <w:szCs w:val="26"/>
        </w:rPr>
        <w:t xml:space="preserve">Slug</w:t>
      </w:r>
    </w:p>
    <w:p>
      <w:pPr>
        <w:spacing w:after="120" w:line="276"/>
      </w:pPr>
      <w:r>
        <w:rPr>
          <w:rFonts w:ascii="Consolas" w:cs="Consolas" w:eastAsia="Consolas" w:hAnsi="Consolas"/>
          <w:color w:val="38761D"/>
          <w:sz w:val="22"/>
          <w:szCs w:val="22"/>
        </w:rPr>
        <w:t xml:space="preserve">futuro-tecnologia-gestion-riesgos</w:t>
      </w:r>
    </w:p>
    <w:p>
      <w:pPr>
        <w:spacing w:after="120" w:before="240"/>
      </w:pPr>
      <w:r>
        <w:rPr>
          <w:b/>
          <w:bCs/>
          <w:color w:val="1F6FC5"/>
          <w:sz w:val="26"/>
          <w:szCs w:val="26"/>
        </w:rPr>
        <w:t xml:space="preserve">Categoría</w:t>
      </w:r>
    </w:p>
    <w:p>
      <w:pPr>
        <w:spacing w:after="120" w:line="276"/>
      </w:pPr>
      <w:r>
        <w:rPr>
          <w:color w:val="38761D"/>
          <w:sz w:val="22"/>
          <w:szCs w:val="22"/>
        </w:rPr>
        <w:t xml:space="preserve">Innovación y Tecnología</w:t>
      </w:r>
    </w:p>
    <w:p>
      <w:pPr>
        <w:spacing w:after="120" w:before="240"/>
      </w:pPr>
      <w:r>
        <w:rPr>
          <w:b/>
          <w:bCs/>
          <w:color w:val="1F6FC5"/>
          <w:sz w:val="26"/>
          <w:szCs w:val="26"/>
        </w:rPr>
        <w:t xml:space="preserve">Referencia visual</w:t>
      </w:r>
    </w:p>
    <w:p>
      <w:pPr>
        <w:spacing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color w:val="1F6FC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eba39a2ce80c81a0e85071c57244539718b22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2026-08-21T14:03:53.505Z</dcterms:created>
  <dcterms:modified xsi:type="dcterms:W3CDTF">2026-08-21T14:03:53.517Z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