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052C9E" w14:textId="77777777" w:rsidR="00920626" w:rsidRPr="005202D7" w:rsidRDefault="00000000" w:rsidP="005202D7">
      <w:pPr>
        <w:pStyle w:val="Title"/>
        <w:spacing w:line="276" w:lineRule="auto"/>
        <w:rPr>
          <w:color w:val="auto"/>
          <w:sz w:val="40"/>
          <w:szCs w:val="40"/>
        </w:rPr>
      </w:pPr>
      <w:r w:rsidRPr="005202D7">
        <w:rPr>
          <w:color w:val="auto"/>
          <w:sz w:val="40"/>
          <w:szCs w:val="40"/>
        </w:rPr>
        <w:t>Litecoin Trading Data Analysis and Forecasting</w:t>
      </w:r>
    </w:p>
    <w:p w14:paraId="2B8D7E25" w14:textId="77777777" w:rsidR="00920626" w:rsidRPr="005202D7" w:rsidRDefault="00000000" w:rsidP="005202D7">
      <w:pPr>
        <w:pStyle w:val="Author"/>
        <w:spacing w:line="276" w:lineRule="auto"/>
        <w:rPr>
          <w:sz w:val="28"/>
          <w:szCs w:val="28"/>
        </w:rPr>
      </w:pPr>
      <w:r w:rsidRPr="005202D7">
        <w:rPr>
          <w:sz w:val="28"/>
          <w:szCs w:val="28"/>
        </w:rPr>
        <w:t>Deirdre Gouta Mmolotsa</w:t>
      </w:r>
    </w:p>
    <w:p w14:paraId="6E2D15A0" w14:textId="77777777" w:rsidR="00920626" w:rsidRPr="005202D7" w:rsidRDefault="00000000" w:rsidP="005202D7">
      <w:pPr>
        <w:pStyle w:val="Date"/>
        <w:spacing w:line="276" w:lineRule="auto"/>
        <w:rPr>
          <w:sz w:val="28"/>
          <w:szCs w:val="28"/>
        </w:rPr>
      </w:pPr>
      <w:r w:rsidRPr="005202D7">
        <w:rPr>
          <w:sz w:val="28"/>
          <w:szCs w:val="28"/>
        </w:rPr>
        <w:t>2024-10-26</w:t>
      </w:r>
    </w:p>
    <w:p w14:paraId="304E35D9" w14:textId="77777777" w:rsidR="005202D7" w:rsidRDefault="005202D7" w:rsidP="005202D7">
      <w:pPr>
        <w:pStyle w:val="BodyText"/>
        <w:spacing w:line="276" w:lineRule="auto"/>
      </w:pPr>
    </w:p>
    <w:p w14:paraId="6780F04F" w14:textId="77777777" w:rsidR="005202D7" w:rsidRDefault="005202D7" w:rsidP="005202D7">
      <w:pPr>
        <w:pStyle w:val="BodyText"/>
        <w:spacing w:line="276" w:lineRule="auto"/>
      </w:pPr>
    </w:p>
    <w:p w14:paraId="2371F6A0" w14:textId="77777777" w:rsidR="005202D7" w:rsidRDefault="005202D7" w:rsidP="005202D7">
      <w:pPr>
        <w:pStyle w:val="BodyText"/>
        <w:spacing w:line="276" w:lineRule="auto"/>
      </w:pPr>
    </w:p>
    <w:p w14:paraId="6C50ACB1" w14:textId="77777777" w:rsidR="005202D7" w:rsidRDefault="005202D7" w:rsidP="005202D7">
      <w:pPr>
        <w:pStyle w:val="BodyText"/>
        <w:spacing w:line="276" w:lineRule="auto"/>
      </w:pPr>
    </w:p>
    <w:p w14:paraId="3F9CBB45" w14:textId="77777777" w:rsidR="005202D7" w:rsidRDefault="005202D7" w:rsidP="005202D7">
      <w:pPr>
        <w:pStyle w:val="BodyText"/>
        <w:spacing w:line="276" w:lineRule="auto"/>
      </w:pPr>
    </w:p>
    <w:p w14:paraId="10F0D7EC" w14:textId="77777777" w:rsidR="005202D7" w:rsidRDefault="005202D7" w:rsidP="005202D7">
      <w:pPr>
        <w:pStyle w:val="BodyText"/>
        <w:spacing w:line="276" w:lineRule="auto"/>
      </w:pPr>
    </w:p>
    <w:p w14:paraId="23A85C7F" w14:textId="77777777" w:rsidR="005202D7" w:rsidRDefault="005202D7" w:rsidP="005202D7">
      <w:pPr>
        <w:pStyle w:val="BodyText"/>
        <w:spacing w:line="276" w:lineRule="auto"/>
      </w:pPr>
    </w:p>
    <w:p w14:paraId="1E77AD73" w14:textId="77777777" w:rsidR="005202D7" w:rsidRDefault="005202D7" w:rsidP="005202D7">
      <w:pPr>
        <w:pStyle w:val="BodyText"/>
        <w:spacing w:line="276" w:lineRule="auto"/>
      </w:pPr>
    </w:p>
    <w:p w14:paraId="41034D12" w14:textId="77777777" w:rsidR="005202D7" w:rsidRDefault="005202D7" w:rsidP="005202D7">
      <w:pPr>
        <w:pStyle w:val="BodyText"/>
        <w:spacing w:line="276" w:lineRule="auto"/>
      </w:pPr>
    </w:p>
    <w:p w14:paraId="2A1F8CC3" w14:textId="77777777" w:rsidR="005202D7" w:rsidRDefault="005202D7" w:rsidP="005202D7">
      <w:pPr>
        <w:pStyle w:val="BodyText"/>
        <w:spacing w:line="276" w:lineRule="auto"/>
      </w:pPr>
    </w:p>
    <w:p w14:paraId="050F0AFF" w14:textId="77777777" w:rsidR="005202D7" w:rsidRDefault="005202D7" w:rsidP="005202D7">
      <w:pPr>
        <w:pStyle w:val="BodyText"/>
        <w:spacing w:line="276" w:lineRule="auto"/>
      </w:pPr>
    </w:p>
    <w:p w14:paraId="14324993" w14:textId="77777777" w:rsidR="005202D7" w:rsidRDefault="005202D7" w:rsidP="005202D7">
      <w:pPr>
        <w:pStyle w:val="BodyText"/>
        <w:spacing w:line="276" w:lineRule="auto"/>
      </w:pPr>
    </w:p>
    <w:p w14:paraId="0F867AE6" w14:textId="77777777" w:rsidR="005202D7" w:rsidRDefault="005202D7" w:rsidP="005202D7">
      <w:pPr>
        <w:pStyle w:val="BodyText"/>
        <w:spacing w:line="276" w:lineRule="auto"/>
      </w:pPr>
    </w:p>
    <w:p w14:paraId="7A572C48" w14:textId="77777777" w:rsidR="005202D7" w:rsidRDefault="005202D7" w:rsidP="005202D7">
      <w:pPr>
        <w:pStyle w:val="BodyText"/>
        <w:spacing w:line="276" w:lineRule="auto"/>
      </w:pPr>
    </w:p>
    <w:p w14:paraId="382A0EDC" w14:textId="77777777" w:rsidR="005202D7" w:rsidRDefault="005202D7" w:rsidP="005202D7">
      <w:pPr>
        <w:pStyle w:val="BodyText"/>
        <w:spacing w:line="276" w:lineRule="auto"/>
      </w:pPr>
    </w:p>
    <w:p w14:paraId="5E9A7C3C" w14:textId="77777777" w:rsidR="005202D7" w:rsidRDefault="005202D7" w:rsidP="005202D7">
      <w:pPr>
        <w:pStyle w:val="BodyText"/>
        <w:spacing w:line="276" w:lineRule="auto"/>
      </w:pPr>
    </w:p>
    <w:p w14:paraId="0C22CFDE" w14:textId="77777777" w:rsidR="005202D7" w:rsidRDefault="005202D7" w:rsidP="005202D7">
      <w:pPr>
        <w:pStyle w:val="BodyText"/>
        <w:spacing w:line="276" w:lineRule="auto"/>
      </w:pPr>
    </w:p>
    <w:p w14:paraId="6911CA43" w14:textId="77777777" w:rsidR="005202D7" w:rsidRPr="003540AE" w:rsidRDefault="005202D7" w:rsidP="005202D7">
      <w:pPr>
        <w:pStyle w:val="BodyText"/>
        <w:spacing w:line="276" w:lineRule="auto"/>
        <w:jc w:val="center"/>
      </w:pPr>
      <w:r>
        <w:t>In partial fulfilment of the R programming course in Business Intelligence and Data Analytics of 2024</w:t>
      </w:r>
    </w:p>
    <w:p w14:paraId="396D3E66" w14:textId="0040CB9F" w:rsidR="005202D7" w:rsidRPr="005202D7" w:rsidRDefault="005202D7" w:rsidP="005202D7">
      <w:pPr>
        <w:pStyle w:val="BodyText"/>
        <w:spacing w:line="276" w:lineRule="auto"/>
        <w:jc w:val="center"/>
      </w:pPr>
      <w:r>
        <w:t>BOTSWANA ACCOUNTANCY COLLEGE</w:t>
      </w:r>
    </w:p>
    <w:sdt>
      <w:sdtPr>
        <w:rPr>
          <w:rFonts w:asciiTheme="minorHAnsi" w:eastAsiaTheme="minorHAnsi" w:hAnsiTheme="minorHAnsi" w:cstheme="minorBidi"/>
          <w:color w:val="auto"/>
          <w:sz w:val="24"/>
          <w:szCs w:val="24"/>
        </w:rPr>
        <w:id w:val="-20868804"/>
        <w:docPartObj>
          <w:docPartGallery w:val="Table of Contents"/>
          <w:docPartUnique/>
        </w:docPartObj>
      </w:sdtPr>
      <w:sdtContent>
        <w:p w14:paraId="52A38034" w14:textId="77777777" w:rsidR="00920626" w:rsidRPr="005202D7" w:rsidRDefault="00000000" w:rsidP="005202D7">
          <w:pPr>
            <w:pStyle w:val="TOCHeading"/>
            <w:spacing w:line="276" w:lineRule="auto"/>
            <w:rPr>
              <w:color w:val="auto"/>
            </w:rPr>
          </w:pPr>
          <w:r w:rsidRPr="005202D7">
            <w:rPr>
              <w:color w:val="auto"/>
            </w:rPr>
            <w:t>Table of contents</w:t>
          </w:r>
        </w:p>
        <w:p w14:paraId="4A64DDDA" w14:textId="64C2381C" w:rsidR="00565D95" w:rsidRDefault="00000000">
          <w:pPr>
            <w:pStyle w:val="TOC1"/>
            <w:tabs>
              <w:tab w:val="right" w:leader="dot" w:pos="9350"/>
            </w:tabs>
            <w:rPr>
              <w:rFonts w:eastAsiaTheme="minorEastAsia"/>
              <w:noProof/>
              <w:kern w:val="2"/>
              <w:lang w:val="en-BW" w:eastAsia="en-BW"/>
              <w14:ligatures w14:val="standardContextual"/>
            </w:rPr>
          </w:pPr>
          <w:r>
            <w:fldChar w:fldCharType="begin"/>
          </w:r>
          <w:r>
            <w:instrText>TOC \o "1-2" \h \z \u</w:instrText>
          </w:r>
          <w:r>
            <w:fldChar w:fldCharType="separate"/>
          </w:r>
          <w:hyperlink w:anchor="_Toc181820836" w:history="1">
            <w:r w:rsidR="00565D95" w:rsidRPr="00F03493">
              <w:rPr>
                <w:rStyle w:val="Hyperlink"/>
                <w:noProof/>
              </w:rPr>
              <w:t>1. Introduction</w:t>
            </w:r>
            <w:r w:rsidR="00565D95">
              <w:rPr>
                <w:noProof/>
                <w:webHidden/>
              </w:rPr>
              <w:tab/>
            </w:r>
            <w:r w:rsidR="00565D95">
              <w:rPr>
                <w:noProof/>
                <w:webHidden/>
              </w:rPr>
              <w:fldChar w:fldCharType="begin"/>
            </w:r>
            <w:r w:rsidR="00565D95">
              <w:rPr>
                <w:noProof/>
                <w:webHidden/>
              </w:rPr>
              <w:instrText xml:space="preserve"> PAGEREF _Toc181820836 \h </w:instrText>
            </w:r>
            <w:r w:rsidR="00565D95">
              <w:rPr>
                <w:noProof/>
                <w:webHidden/>
              </w:rPr>
            </w:r>
            <w:r w:rsidR="00565D95">
              <w:rPr>
                <w:noProof/>
                <w:webHidden/>
              </w:rPr>
              <w:fldChar w:fldCharType="separate"/>
            </w:r>
            <w:r w:rsidR="00565D95">
              <w:rPr>
                <w:noProof/>
                <w:webHidden/>
              </w:rPr>
              <w:t>3</w:t>
            </w:r>
            <w:r w:rsidR="00565D95">
              <w:rPr>
                <w:noProof/>
                <w:webHidden/>
              </w:rPr>
              <w:fldChar w:fldCharType="end"/>
            </w:r>
          </w:hyperlink>
        </w:p>
        <w:p w14:paraId="1A9FDBF9" w14:textId="66C88B4E" w:rsidR="00565D95" w:rsidRDefault="00565D95">
          <w:pPr>
            <w:pStyle w:val="TOC2"/>
            <w:tabs>
              <w:tab w:val="right" w:leader="dot" w:pos="9350"/>
            </w:tabs>
            <w:rPr>
              <w:rFonts w:eastAsiaTheme="minorEastAsia"/>
              <w:noProof/>
              <w:kern w:val="2"/>
              <w:lang w:val="en-BW" w:eastAsia="en-BW"/>
              <w14:ligatures w14:val="standardContextual"/>
            </w:rPr>
          </w:pPr>
          <w:hyperlink w:anchor="_Toc181820837" w:history="1">
            <w:r w:rsidRPr="00F03493">
              <w:rPr>
                <w:rStyle w:val="Hyperlink"/>
                <w:noProof/>
              </w:rPr>
              <w:t>1.1 Loading Libraries</w:t>
            </w:r>
            <w:r>
              <w:rPr>
                <w:noProof/>
                <w:webHidden/>
              </w:rPr>
              <w:tab/>
            </w:r>
            <w:r>
              <w:rPr>
                <w:noProof/>
                <w:webHidden/>
              </w:rPr>
              <w:fldChar w:fldCharType="begin"/>
            </w:r>
            <w:r>
              <w:rPr>
                <w:noProof/>
                <w:webHidden/>
              </w:rPr>
              <w:instrText xml:space="preserve"> PAGEREF _Toc181820837 \h </w:instrText>
            </w:r>
            <w:r>
              <w:rPr>
                <w:noProof/>
                <w:webHidden/>
              </w:rPr>
            </w:r>
            <w:r>
              <w:rPr>
                <w:noProof/>
                <w:webHidden/>
              </w:rPr>
              <w:fldChar w:fldCharType="separate"/>
            </w:r>
            <w:r>
              <w:rPr>
                <w:noProof/>
                <w:webHidden/>
              </w:rPr>
              <w:t>3</w:t>
            </w:r>
            <w:r>
              <w:rPr>
                <w:noProof/>
                <w:webHidden/>
              </w:rPr>
              <w:fldChar w:fldCharType="end"/>
            </w:r>
          </w:hyperlink>
        </w:p>
        <w:p w14:paraId="01C6A8E4" w14:textId="48ACCA7A" w:rsidR="00565D95" w:rsidRDefault="00565D95">
          <w:pPr>
            <w:pStyle w:val="TOC1"/>
            <w:tabs>
              <w:tab w:val="right" w:leader="dot" w:pos="9350"/>
            </w:tabs>
            <w:rPr>
              <w:rFonts w:eastAsiaTheme="minorEastAsia"/>
              <w:noProof/>
              <w:kern w:val="2"/>
              <w:lang w:val="en-BW" w:eastAsia="en-BW"/>
              <w14:ligatures w14:val="standardContextual"/>
            </w:rPr>
          </w:pPr>
          <w:hyperlink w:anchor="_Toc181820838" w:history="1">
            <w:r w:rsidRPr="00F03493">
              <w:rPr>
                <w:rStyle w:val="Hyperlink"/>
                <w:noProof/>
              </w:rPr>
              <w:t>2. Data Exploration and Cleaning</w:t>
            </w:r>
            <w:r>
              <w:rPr>
                <w:noProof/>
                <w:webHidden/>
              </w:rPr>
              <w:tab/>
            </w:r>
            <w:r>
              <w:rPr>
                <w:noProof/>
                <w:webHidden/>
              </w:rPr>
              <w:fldChar w:fldCharType="begin"/>
            </w:r>
            <w:r>
              <w:rPr>
                <w:noProof/>
                <w:webHidden/>
              </w:rPr>
              <w:instrText xml:space="preserve"> PAGEREF _Toc181820838 \h </w:instrText>
            </w:r>
            <w:r>
              <w:rPr>
                <w:noProof/>
                <w:webHidden/>
              </w:rPr>
            </w:r>
            <w:r>
              <w:rPr>
                <w:noProof/>
                <w:webHidden/>
              </w:rPr>
              <w:fldChar w:fldCharType="separate"/>
            </w:r>
            <w:r>
              <w:rPr>
                <w:noProof/>
                <w:webHidden/>
              </w:rPr>
              <w:t>4</w:t>
            </w:r>
            <w:r>
              <w:rPr>
                <w:noProof/>
                <w:webHidden/>
              </w:rPr>
              <w:fldChar w:fldCharType="end"/>
            </w:r>
          </w:hyperlink>
        </w:p>
        <w:p w14:paraId="3D49E69B" w14:textId="2D35C257" w:rsidR="00565D95" w:rsidRDefault="00565D95">
          <w:pPr>
            <w:pStyle w:val="TOC2"/>
            <w:tabs>
              <w:tab w:val="right" w:leader="dot" w:pos="9350"/>
            </w:tabs>
            <w:rPr>
              <w:rFonts w:eastAsiaTheme="minorEastAsia"/>
              <w:noProof/>
              <w:kern w:val="2"/>
              <w:lang w:val="en-BW" w:eastAsia="en-BW"/>
              <w14:ligatures w14:val="standardContextual"/>
            </w:rPr>
          </w:pPr>
          <w:hyperlink w:anchor="_Toc181820839" w:history="1">
            <w:r w:rsidRPr="00F03493">
              <w:rPr>
                <w:rStyle w:val="Hyperlink"/>
                <w:noProof/>
              </w:rPr>
              <w:t>2.1 Loading and Exploration</w:t>
            </w:r>
            <w:r>
              <w:rPr>
                <w:noProof/>
                <w:webHidden/>
              </w:rPr>
              <w:tab/>
            </w:r>
            <w:r>
              <w:rPr>
                <w:noProof/>
                <w:webHidden/>
              </w:rPr>
              <w:fldChar w:fldCharType="begin"/>
            </w:r>
            <w:r>
              <w:rPr>
                <w:noProof/>
                <w:webHidden/>
              </w:rPr>
              <w:instrText xml:space="preserve"> PAGEREF _Toc181820839 \h </w:instrText>
            </w:r>
            <w:r>
              <w:rPr>
                <w:noProof/>
                <w:webHidden/>
              </w:rPr>
            </w:r>
            <w:r>
              <w:rPr>
                <w:noProof/>
                <w:webHidden/>
              </w:rPr>
              <w:fldChar w:fldCharType="separate"/>
            </w:r>
            <w:r>
              <w:rPr>
                <w:noProof/>
                <w:webHidden/>
              </w:rPr>
              <w:t>4</w:t>
            </w:r>
            <w:r>
              <w:rPr>
                <w:noProof/>
                <w:webHidden/>
              </w:rPr>
              <w:fldChar w:fldCharType="end"/>
            </w:r>
          </w:hyperlink>
        </w:p>
        <w:p w14:paraId="57208F7E" w14:textId="1D7465BD" w:rsidR="00565D95" w:rsidRDefault="00565D95">
          <w:pPr>
            <w:pStyle w:val="TOC2"/>
            <w:tabs>
              <w:tab w:val="right" w:leader="dot" w:pos="9350"/>
            </w:tabs>
            <w:rPr>
              <w:rFonts w:eastAsiaTheme="minorEastAsia"/>
              <w:noProof/>
              <w:kern w:val="2"/>
              <w:lang w:val="en-BW" w:eastAsia="en-BW"/>
              <w14:ligatures w14:val="standardContextual"/>
            </w:rPr>
          </w:pPr>
          <w:hyperlink w:anchor="_Toc181820840" w:history="1">
            <w:r w:rsidRPr="00F03493">
              <w:rPr>
                <w:rStyle w:val="Hyperlink"/>
                <w:noProof/>
              </w:rPr>
              <w:t>2.2 Data Cleaning</w:t>
            </w:r>
            <w:r>
              <w:rPr>
                <w:noProof/>
                <w:webHidden/>
              </w:rPr>
              <w:tab/>
            </w:r>
            <w:r>
              <w:rPr>
                <w:noProof/>
                <w:webHidden/>
              </w:rPr>
              <w:fldChar w:fldCharType="begin"/>
            </w:r>
            <w:r>
              <w:rPr>
                <w:noProof/>
                <w:webHidden/>
              </w:rPr>
              <w:instrText xml:space="preserve"> PAGEREF _Toc181820840 \h </w:instrText>
            </w:r>
            <w:r>
              <w:rPr>
                <w:noProof/>
                <w:webHidden/>
              </w:rPr>
            </w:r>
            <w:r>
              <w:rPr>
                <w:noProof/>
                <w:webHidden/>
              </w:rPr>
              <w:fldChar w:fldCharType="separate"/>
            </w:r>
            <w:r>
              <w:rPr>
                <w:noProof/>
                <w:webHidden/>
              </w:rPr>
              <w:t>6</w:t>
            </w:r>
            <w:r>
              <w:rPr>
                <w:noProof/>
                <w:webHidden/>
              </w:rPr>
              <w:fldChar w:fldCharType="end"/>
            </w:r>
          </w:hyperlink>
        </w:p>
        <w:p w14:paraId="172DB4AF" w14:textId="78E32F86" w:rsidR="00565D95" w:rsidRDefault="00565D95">
          <w:pPr>
            <w:pStyle w:val="TOC1"/>
            <w:tabs>
              <w:tab w:val="right" w:leader="dot" w:pos="9350"/>
            </w:tabs>
            <w:rPr>
              <w:rFonts w:eastAsiaTheme="minorEastAsia"/>
              <w:noProof/>
              <w:kern w:val="2"/>
              <w:lang w:val="en-BW" w:eastAsia="en-BW"/>
              <w14:ligatures w14:val="standardContextual"/>
            </w:rPr>
          </w:pPr>
          <w:hyperlink w:anchor="_Toc181820841" w:history="1">
            <w:r w:rsidRPr="00F03493">
              <w:rPr>
                <w:rStyle w:val="Hyperlink"/>
                <w:noProof/>
              </w:rPr>
              <w:t>3. Advanced R Programming</w:t>
            </w:r>
            <w:r>
              <w:rPr>
                <w:noProof/>
                <w:webHidden/>
              </w:rPr>
              <w:tab/>
            </w:r>
            <w:r>
              <w:rPr>
                <w:noProof/>
                <w:webHidden/>
              </w:rPr>
              <w:fldChar w:fldCharType="begin"/>
            </w:r>
            <w:r>
              <w:rPr>
                <w:noProof/>
                <w:webHidden/>
              </w:rPr>
              <w:instrText xml:space="preserve"> PAGEREF _Toc181820841 \h </w:instrText>
            </w:r>
            <w:r>
              <w:rPr>
                <w:noProof/>
                <w:webHidden/>
              </w:rPr>
            </w:r>
            <w:r>
              <w:rPr>
                <w:noProof/>
                <w:webHidden/>
              </w:rPr>
              <w:fldChar w:fldCharType="separate"/>
            </w:r>
            <w:r>
              <w:rPr>
                <w:noProof/>
                <w:webHidden/>
              </w:rPr>
              <w:t>9</w:t>
            </w:r>
            <w:r>
              <w:rPr>
                <w:noProof/>
                <w:webHidden/>
              </w:rPr>
              <w:fldChar w:fldCharType="end"/>
            </w:r>
          </w:hyperlink>
        </w:p>
        <w:p w14:paraId="4F79643B" w14:textId="697D7FFD" w:rsidR="00565D95" w:rsidRDefault="00565D95">
          <w:pPr>
            <w:pStyle w:val="TOC2"/>
            <w:tabs>
              <w:tab w:val="right" w:leader="dot" w:pos="9350"/>
            </w:tabs>
            <w:rPr>
              <w:rFonts w:eastAsiaTheme="minorEastAsia"/>
              <w:noProof/>
              <w:kern w:val="2"/>
              <w:lang w:val="en-BW" w:eastAsia="en-BW"/>
              <w14:ligatures w14:val="standardContextual"/>
            </w:rPr>
          </w:pPr>
          <w:hyperlink w:anchor="_Toc181820842" w:history="1">
            <w:r w:rsidRPr="00F03493">
              <w:rPr>
                <w:rStyle w:val="Hyperlink"/>
                <w:noProof/>
              </w:rPr>
              <w:t>3.1 Winsorization to Handle Outliers</w:t>
            </w:r>
            <w:r>
              <w:rPr>
                <w:noProof/>
                <w:webHidden/>
              </w:rPr>
              <w:tab/>
            </w:r>
            <w:r>
              <w:rPr>
                <w:noProof/>
                <w:webHidden/>
              </w:rPr>
              <w:fldChar w:fldCharType="begin"/>
            </w:r>
            <w:r>
              <w:rPr>
                <w:noProof/>
                <w:webHidden/>
              </w:rPr>
              <w:instrText xml:space="preserve"> PAGEREF _Toc181820842 \h </w:instrText>
            </w:r>
            <w:r>
              <w:rPr>
                <w:noProof/>
                <w:webHidden/>
              </w:rPr>
            </w:r>
            <w:r>
              <w:rPr>
                <w:noProof/>
                <w:webHidden/>
              </w:rPr>
              <w:fldChar w:fldCharType="separate"/>
            </w:r>
            <w:r>
              <w:rPr>
                <w:noProof/>
                <w:webHidden/>
              </w:rPr>
              <w:t>9</w:t>
            </w:r>
            <w:r>
              <w:rPr>
                <w:noProof/>
                <w:webHidden/>
              </w:rPr>
              <w:fldChar w:fldCharType="end"/>
            </w:r>
          </w:hyperlink>
        </w:p>
        <w:p w14:paraId="7F071049" w14:textId="581848AB" w:rsidR="00565D95" w:rsidRDefault="00565D95">
          <w:pPr>
            <w:pStyle w:val="TOC2"/>
            <w:tabs>
              <w:tab w:val="right" w:leader="dot" w:pos="9350"/>
            </w:tabs>
            <w:rPr>
              <w:rFonts w:eastAsiaTheme="minorEastAsia"/>
              <w:noProof/>
              <w:kern w:val="2"/>
              <w:lang w:val="en-BW" w:eastAsia="en-BW"/>
              <w14:ligatures w14:val="standardContextual"/>
            </w:rPr>
          </w:pPr>
          <w:hyperlink w:anchor="_Toc181820843" w:history="1">
            <w:r w:rsidRPr="00F03493">
              <w:rPr>
                <w:rStyle w:val="Hyperlink"/>
                <w:noProof/>
              </w:rPr>
              <w:t>3.2 Visualizing Data Post Winsorization</w:t>
            </w:r>
            <w:r>
              <w:rPr>
                <w:noProof/>
                <w:webHidden/>
              </w:rPr>
              <w:tab/>
            </w:r>
            <w:r>
              <w:rPr>
                <w:noProof/>
                <w:webHidden/>
              </w:rPr>
              <w:fldChar w:fldCharType="begin"/>
            </w:r>
            <w:r>
              <w:rPr>
                <w:noProof/>
                <w:webHidden/>
              </w:rPr>
              <w:instrText xml:space="preserve"> PAGEREF _Toc181820843 \h </w:instrText>
            </w:r>
            <w:r>
              <w:rPr>
                <w:noProof/>
                <w:webHidden/>
              </w:rPr>
            </w:r>
            <w:r>
              <w:rPr>
                <w:noProof/>
                <w:webHidden/>
              </w:rPr>
              <w:fldChar w:fldCharType="separate"/>
            </w:r>
            <w:r>
              <w:rPr>
                <w:noProof/>
                <w:webHidden/>
              </w:rPr>
              <w:t>11</w:t>
            </w:r>
            <w:r>
              <w:rPr>
                <w:noProof/>
                <w:webHidden/>
              </w:rPr>
              <w:fldChar w:fldCharType="end"/>
            </w:r>
          </w:hyperlink>
        </w:p>
        <w:p w14:paraId="4D08AD17" w14:textId="7611EB21" w:rsidR="00565D95" w:rsidRDefault="00565D95">
          <w:pPr>
            <w:pStyle w:val="TOC2"/>
            <w:tabs>
              <w:tab w:val="right" w:leader="dot" w:pos="9350"/>
            </w:tabs>
            <w:rPr>
              <w:rFonts w:eastAsiaTheme="minorEastAsia"/>
              <w:noProof/>
              <w:kern w:val="2"/>
              <w:lang w:val="en-BW" w:eastAsia="en-BW"/>
              <w14:ligatures w14:val="standardContextual"/>
            </w:rPr>
          </w:pPr>
          <w:hyperlink w:anchor="_Toc181820844" w:history="1">
            <w:r w:rsidRPr="00F03493">
              <w:rPr>
                <w:rStyle w:val="Hyperlink"/>
                <w:noProof/>
              </w:rPr>
              <w:t>3.3 Further Normalization</w:t>
            </w:r>
            <w:r>
              <w:rPr>
                <w:noProof/>
                <w:webHidden/>
              </w:rPr>
              <w:tab/>
            </w:r>
            <w:r>
              <w:rPr>
                <w:noProof/>
                <w:webHidden/>
              </w:rPr>
              <w:fldChar w:fldCharType="begin"/>
            </w:r>
            <w:r>
              <w:rPr>
                <w:noProof/>
                <w:webHidden/>
              </w:rPr>
              <w:instrText xml:space="preserve"> PAGEREF _Toc181820844 \h </w:instrText>
            </w:r>
            <w:r>
              <w:rPr>
                <w:noProof/>
                <w:webHidden/>
              </w:rPr>
            </w:r>
            <w:r>
              <w:rPr>
                <w:noProof/>
                <w:webHidden/>
              </w:rPr>
              <w:fldChar w:fldCharType="separate"/>
            </w:r>
            <w:r>
              <w:rPr>
                <w:noProof/>
                <w:webHidden/>
              </w:rPr>
              <w:t>13</w:t>
            </w:r>
            <w:r>
              <w:rPr>
                <w:noProof/>
                <w:webHidden/>
              </w:rPr>
              <w:fldChar w:fldCharType="end"/>
            </w:r>
          </w:hyperlink>
        </w:p>
        <w:p w14:paraId="60E52CD6" w14:textId="113B2AB7" w:rsidR="00565D95" w:rsidRDefault="00565D95">
          <w:pPr>
            <w:pStyle w:val="TOC1"/>
            <w:tabs>
              <w:tab w:val="right" w:leader="dot" w:pos="9350"/>
            </w:tabs>
            <w:rPr>
              <w:rFonts w:eastAsiaTheme="minorEastAsia"/>
              <w:noProof/>
              <w:kern w:val="2"/>
              <w:lang w:val="en-BW" w:eastAsia="en-BW"/>
              <w14:ligatures w14:val="standardContextual"/>
            </w:rPr>
          </w:pPr>
          <w:hyperlink w:anchor="_Toc181820845" w:history="1">
            <w:r w:rsidRPr="00F03493">
              <w:rPr>
                <w:rStyle w:val="Hyperlink"/>
                <w:noProof/>
              </w:rPr>
              <w:t>4. Data Visualizations</w:t>
            </w:r>
            <w:r>
              <w:rPr>
                <w:noProof/>
                <w:webHidden/>
              </w:rPr>
              <w:tab/>
            </w:r>
            <w:r>
              <w:rPr>
                <w:noProof/>
                <w:webHidden/>
              </w:rPr>
              <w:fldChar w:fldCharType="begin"/>
            </w:r>
            <w:r>
              <w:rPr>
                <w:noProof/>
                <w:webHidden/>
              </w:rPr>
              <w:instrText xml:space="preserve"> PAGEREF _Toc181820845 \h </w:instrText>
            </w:r>
            <w:r>
              <w:rPr>
                <w:noProof/>
                <w:webHidden/>
              </w:rPr>
            </w:r>
            <w:r>
              <w:rPr>
                <w:noProof/>
                <w:webHidden/>
              </w:rPr>
              <w:fldChar w:fldCharType="separate"/>
            </w:r>
            <w:r>
              <w:rPr>
                <w:noProof/>
                <w:webHidden/>
              </w:rPr>
              <w:t>16</w:t>
            </w:r>
            <w:r>
              <w:rPr>
                <w:noProof/>
                <w:webHidden/>
              </w:rPr>
              <w:fldChar w:fldCharType="end"/>
            </w:r>
          </w:hyperlink>
        </w:p>
        <w:p w14:paraId="52F5F3A5" w14:textId="1D8A21B5" w:rsidR="00565D95" w:rsidRDefault="00565D95">
          <w:pPr>
            <w:pStyle w:val="TOC2"/>
            <w:tabs>
              <w:tab w:val="right" w:leader="dot" w:pos="9350"/>
            </w:tabs>
            <w:rPr>
              <w:rFonts w:eastAsiaTheme="minorEastAsia"/>
              <w:noProof/>
              <w:kern w:val="2"/>
              <w:lang w:val="en-BW" w:eastAsia="en-BW"/>
              <w14:ligatures w14:val="standardContextual"/>
            </w:rPr>
          </w:pPr>
          <w:hyperlink w:anchor="_Toc181820846" w:history="1">
            <w:r w:rsidRPr="00F03493">
              <w:rPr>
                <w:rStyle w:val="Hyperlink"/>
                <w:noProof/>
              </w:rPr>
              <w:t>4.1 Scatterplot of Open vs Close Prices</w:t>
            </w:r>
            <w:r>
              <w:rPr>
                <w:noProof/>
                <w:webHidden/>
              </w:rPr>
              <w:tab/>
            </w:r>
            <w:r>
              <w:rPr>
                <w:noProof/>
                <w:webHidden/>
              </w:rPr>
              <w:fldChar w:fldCharType="begin"/>
            </w:r>
            <w:r>
              <w:rPr>
                <w:noProof/>
                <w:webHidden/>
              </w:rPr>
              <w:instrText xml:space="preserve"> PAGEREF _Toc181820846 \h </w:instrText>
            </w:r>
            <w:r>
              <w:rPr>
                <w:noProof/>
                <w:webHidden/>
              </w:rPr>
            </w:r>
            <w:r>
              <w:rPr>
                <w:noProof/>
                <w:webHidden/>
              </w:rPr>
              <w:fldChar w:fldCharType="separate"/>
            </w:r>
            <w:r>
              <w:rPr>
                <w:noProof/>
                <w:webHidden/>
              </w:rPr>
              <w:t>16</w:t>
            </w:r>
            <w:r>
              <w:rPr>
                <w:noProof/>
                <w:webHidden/>
              </w:rPr>
              <w:fldChar w:fldCharType="end"/>
            </w:r>
          </w:hyperlink>
        </w:p>
        <w:p w14:paraId="4090DBFB" w14:textId="5D44A367" w:rsidR="00565D95" w:rsidRDefault="00565D95">
          <w:pPr>
            <w:pStyle w:val="TOC2"/>
            <w:tabs>
              <w:tab w:val="right" w:leader="dot" w:pos="9350"/>
            </w:tabs>
            <w:rPr>
              <w:rFonts w:eastAsiaTheme="minorEastAsia"/>
              <w:noProof/>
              <w:kern w:val="2"/>
              <w:lang w:val="en-BW" w:eastAsia="en-BW"/>
              <w14:ligatures w14:val="standardContextual"/>
            </w:rPr>
          </w:pPr>
          <w:hyperlink w:anchor="_Toc181820847" w:history="1">
            <w:r w:rsidRPr="00F03493">
              <w:rPr>
                <w:rStyle w:val="Hyperlink"/>
                <w:noProof/>
              </w:rPr>
              <w:t>4.2 Bar Chart of Monthly Trading Volumes</w:t>
            </w:r>
            <w:r>
              <w:rPr>
                <w:noProof/>
                <w:webHidden/>
              </w:rPr>
              <w:tab/>
            </w:r>
            <w:r>
              <w:rPr>
                <w:noProof/>
                <w:webHidden/>
              </w:rPr>
              <w:fldChar w:fldCharType="begin"/>
            </w:r>
            <w:r>
              <w:rPr>
                <w:noProof/>
                <w:webHidden/>
              </w:rPr>
              <w:instrText xml:space="preserve"> PAGEREF _Toc181820847 \h </w:instrText>
            </w:r>
            <w:r>
              <w:rPr>
                <w:noProof/>
                <w:webHidden/>
              </w:rPr>
            </w:r>
            <w:r>
              <w:rPr>
                <w:noProof/>
                <w:webHidden/>
              </w:rPr>
              <w:fldChar w:fldCharType="separate"/>
            </w:r>
            <w:r>
              <w:rPr>
                <w:noProof/>
                <w:webHidden/>
              </w:rPr>
              <w:t>17</w:t>
            </w:r>
            <w:r>
              <w:rPr>
                <w:noProof/>
                <w:webHidden/>
              </w:rPr>
              <w:fldChar w:fldCharType="end"/>
            </w:r>
          </w:hyperlink>
        </w:p>
        <w:p w14:paraId="1053FA43" w14:textId="1AB8EB96" w:rsidR="00565D95" w:rsidRDefault="00565D95">
          <w:pPr>
            <w:pStyle w:val="TOC1"/>
            <w:tabs>
              <w:tab w:val="right" w:leader="dot" w:pos="9350"/>
            </w:tabs>
            <w:rPr>
              <w:rFonts w:eastAsiaTheme="minorEastAsia"/>
              <w:noProof/>
              <w:kern w:val="2"/>
              <w:lang w:val="en-BW" w:eastAsia="en-BW"/>
              <w14:ligatures w14:val="standardContextual"/>
            </w:rPr>
          </w:pPr>
          <w:hyperlink w:anchor="_Toc181820848" w:history="1">
            <w:r w:rsidRPr="00F03493">
              <w:rPr>
                <w:rStyle w:val="Hyperlink"/>
                <w:noProof/>
              </w:rPr>
              <w:t>5. Interactive visualizations</w:t>
            </w:r>
            <w:r>
              <w:rPr>
                <w:noProof/>
                <w:webHidden/>
              </w:rPr>
              <w:tab/>
            </w:r>
            <w:r>
              <w:rPr>
                <w:noProof/>
                <w:webHidden/>
              </w:rPr>
              <w:fldChar w:fldCharType="begin"/>
            </w:r>
            <w:r>
              <w:rPr>
                <w:noProof/>
                <w:webHidden/>
              </w:rPr>
              <w:instrText xml:space="preserve"> PAGEREF _Toc181820848 \h </w:instrText>
            </w:r>
            <w:r>
              <w:rPr>
                <w:noProof/>
                <w:webHidden/>
              </w:rPr>
            </w:r>
            <w:r>
              <w:rPr>
                <w:noProof/>
                <w:webHidden/>
              </w:rPr>
              <w:fldChar w:fldCharType="separate"/>
            </w:r>
            <w:r>
              <w:rPr>
                <w:noProof/>
                <w:webHidden/>
              </w:rPr>
              <w:t>19</w:t>
            </w:r>
            <w:r>
              <w:rPr>
                <w:noProof/>
                <w:webHidden/>
              </w:rPr>
              <w:fldChar w:fldCharType="end"/>
            </w:r>
          </w:hyperlink>
        </w:p>
        <w:p w14:paraId="00B49A29" w14:textId="072DB301" w:rsidR="00565D95" w:rsidRDefault="00565D95">
          <w:pPr>
            <w:pStyle w:val="TOC2"/>
            <w:tabs>
              <w:tab w:val="right" w:leader="dot" w:pos="9350"/>
            </w:tabs>
            <w:rPr>
              <w:rFonts w:eastAsiaTheme="minorEastAsia"/>
              <w:noProof/>
              <w:kern w:val="2"/>
              <w:lang w:val="en-BW" w:eastAsia="en-BW"/>
              <w14:ligatures w14:val="standardContextual"/>
            </w:rPr>
          </w:pPr>
          <w:hyperlink w:anchor="_Toc181820849" w:history="1">
            <w:r w:rsidRPr="00F03493">
              <w:rPr>
                <w:rStyle w:val="Hyperlink"/>
                <w:noProof/>
              </w:rPr>
              <w:t>5.1 Line Chart of LTC Close Prices</w:t>
            </w:r>
            <w:r>
              <w:rPr>
                <w:noProof/>
                <w:webHidden/>
              </w:rPr>
              <w:tab/>
            </w:r>
            <w:r>
              <w:rPr>
                <w:noProof/>
                <w:webHidden/>
              </w:rPr>
              <w:fldChar w:fldCharType="begin"/>
            </w:r>
            <w:r>
              <w:rPr>
                <w:noProof/>
                <w:webHidden/>
              </w:rPr>
              <w:instrText xml:space="preserve"> PAGEREF _Toc181820849 \h </w:instrText>
            </w:r>
            <w:r>
              <w:rPr>
                <w:noProof/>
                <w:webHidden/>
              </w:rPr>
            </w:r>
            <w:r>
              <w:rPr>
                <w:noProof/>
                <w:webHidden/>
              </w:rPr>
              <w:fldChar w:fldCharType="separate"/>
            </w:r>
            <w:r>
              <w:rPr>
                <w:noProof/>
                <w:webHidden/>
              </w:rPr>
              <w:t>20</w:t>
            </w:r>
            <w:r>
              <w:rPr>
                <w:noProof/>
                <w:webHidden/>
              </w:rPr>
              <w:fldChar w:fldCharType="end"/>
            </w:r>
          </w:hyperlink>
        </w:p>
        <w:p w14:paraId="2B8AC4C1" w14:textId="5C0590BE" w:rsidR="00565D95" w:rsidRDefault="00565D95">
          <w:pPr>
            <w:pStyle w:val="TOC2"/>
            <w:tabs>
              <w:tab w:val="right" w:leader="dot" w:pos="9350"/>
            </w:tabs>
            <w:rPr>
              <w:rFonts w:eastAsiaTheme="minorEastAsia"/>
              <w:noProof/>
              <w:kern w:val="2"/>
              <w:lang w:val="en-BW" w:eastAsia="en-BW"/>
              <w14:ligatures w14:val="standardContextual"/>
            </w:rPr>
          </w:pPr>
          <w:hyperlink w:anchor="_Toc181820850" w:history="1">
            <w:r w:rsidRPr="00F03493">
              <w:rPr>
                <w:rStyle w:val="Hyperlink"/>
                <w:noProof/>
              </w:rPr>
              <w:t>5.2 Daily Returns of LiteCoin (LTC)</w:t>
            </w:r>
            <w:r>
              <w:rPr>
                <w:noProof/>
                <w:webHidden/>
              </w:rPr>
              <w:tab/>
            </w:r>
            <w:r>
              <w:rPr>
                <w:noProof/>
                <w:webHidden/>
              </w:rPr>
              <w:fldChar w:fldCharType="begin"/>
            </w:r>
            <w:r>
              <w:rPr>
                <w:noProof/>
                <w:webHidden/>
              </w:rPr>
              <w:instrText xml:space="preserve"> PAGEREF _Toc181820850 \h </w:instrText>
            </w:r>
            <w:r>
              <w:rPr>
                <w:noProof/>
                <w:webHidden/>
              </w:rPr>
            </w:r>
            <w:r>
              <w:rPr>
                <w:noProof/>
                <w:webHidden/>
              </w:rPr>
              <w:fldChar w:fldCharType="separate"/>
            </w:r>
            <w:r>
              <w:rPr>
                <w:noProof/>
                <w:webHidden/>
              </w:rPr>
              <w:t>23</w:t>
            </w:r>
            <w:r>
              <w:rPr>
                <w:noProof/>
                <w:webHidden/>
              </w:rPr>
              <w:fldChar w:fldCharType="end"/>
            </w:r>
          </w:hyperlink>
        </w:p>
        <w:p w14:paraId="05AAD9E3" w14:textId="6488B01A" w:rsidR="00565D95" w:rsidRDefault="00565D95">
          <w:pPr>
            <w:pStyle w:val="TOC1"/>
            <w:tabs>
              <w:tab w:val="right" w:leader="dot" w:pos="9350"/>
            </w:tabs>
            <w:rPr>
              <w:rFonts w:eastAsiaTheme="minorEastAsia"/>
              <w:noProof/>
              <w:kern w:val="2"/>
              <w:lang w:val="en-BW" w:eastAsia="en-BW"/>
              <w14:ligatures w14:val="standardContextual"/>
            </w:rPr>
          </w:pPr>
          <w:hyperlink w:anchor="_Toc181820851" w:history="1">
            <w:r w:rsidRPr="00F03493">
              <w:rPr>
                <w:rStyle w:val="Hyperlink"/>
                <w:noProof/>
              </w:rPr>
              <w:t>6. Time Series Analysis</w:t>
            </w:r>
            <w:r>
              <w:rPr>
                <w:noProof/>
                <w:webHidden/>
              </w:rPr>
              <w:tab/>
            </w:r>
            <w:r>
              <w:rPr>
                <w:noProof/>
                <w:webHidden/>
              </w:rPr>
              <w:fldChar w:fldCharType="begin"/>
            </w:r>
            <w:r>
              <w:rPr>
                <w:noProof/>
                <w:webHidden/>
              </w:rPr>
              <w:instrText xml:space="preserve"> PAGEREF _Toc181820851 \h </w:instrText>
            </w:r>
            <w:r>
              <w:rPr>
                <w:noProof/>
                <w:webHidden/>
              </w:rPr>
            </w:r>
            <w:r>
              <w:rPr>
                <w:noProof/>
                <w:webHidden/>
              </w:rPr>
              <w:fldChar w:fldCharType="separate"/>
            </w:r>
            <w:r>
              <w:rPr>
                <w:noProof/>
                <w:webHidden/>
              </w:rPr>
              <w:t>26</w:t>
            </w:r>
            <w:r>
              <w:rPr>
                <w:noProof/>
                <w:webHidden/>
              </w:rPr>
              <w:fldChar w:fldCharType="end"/>
            </w:r>
          </w:hyperlink>
        </w:p>
        <w:p w14:paraId="06759A2B" w14:textId="594EB2AC" w:rsidR="00565D95" w:rsidRDefault="00565D95">
          <w:pPr>
            <w:pStyle w:val="TOC2"/>
            <w:tabs>
              <w:tab w:val="right" w:leader="dot" w:pos="9350"/>
            </w:tabs>
            <w:rPr>
              <w:rFonts w:eastAsiaTheme="minorEastAsia"/>
              <w:noProof/>
              <w:kern w:val="2"/>
              <w:lang w:val="en-BW" w:eastAsia="en-BW"/>
              <w14:ligatures w14:val="standardContextual"/>
            </w:rPr>
          </w:pPr>
          <w:hyperlink w:anchor="_Toc181820852" w:history="1">
            <w:r w:rsidRPr="00F03493">
              <w:rPr>
                <w:rStyle w:val="Hyperlink"/>
                <w:noProof/>
              </w:rPr>
              <w:t>6.1 Moving Averages</w:t>
            </w:r>
            <w:r>
              <w:rPr>
                <w:noProof/>
                <w:webHidden/>
              </w:rPr>
              <w:tab/>
            </w:r>
            <w:r>
              <w:rPr>
                <w:noProof/>
                <w:webHidden/>
              </w:rPr>
              <w:fldChar w:fldCharType="begin"/>
            </w:r>
            <w:r>
              <w:rPr>
                <w:noProof/>
                <w:webHidden/>
              </w:rPr>
              <w:instrText xml:space="preserve"> PAGEREF _Toc181820852 \h </w:instrText>
            </w:r>
            <w:r>
              <w:rPr>
                <w:noProof/>
                <w:webHidden/>
              </w:rPr>
            </w:r>
            <w:r>
              <w:rPr>
                <w:noProof/>
                <w:webHidden/>
              </w:rPr>
              <w:fldChar w:fldCharType="separate"/>
            </w:r>
            <w:r>
              <w:rPr>
                <w:noProof/>
                <w:webHidden/>
              </w:rPr>
              <w:t>26</w:t>
            </w:r>
            <w:r>
              <w:rPr>
                <w:noProof/>
                <w:webHidden/>
              </w:rPr>
              <w:fldChar w:fldCharType="end"/>
            </w:r>
          </w:hyperlink>
        </w:p>
        <w:p w14:paraId="68A82465" w14:textId="2449DC5A" w:rsidR="00565D95" w:rsidRDefault="00565D95">
          <w:pPr>
            <w:pStyle w:val="TOC1"/>
            <w:tabs>
              <w:tab w:val="right" w:leader="dot" w:pos="9350"/>
            </w:tabs>
            <w:rPr>
              <w:rFonts w:eastAsiaTheme="minorEastAsia"/>
              <w:noProof/>
              <w:kern w:val="2"/>
              <w:lang w:val="en-BW" w:eastAsia="en-BW"/>
              <w14:ligatures w14:val="standardContextual"/>
            </w:rPr>
          </w:pPr>
          <w:hyperlink w:anchor="_Toc181820853" w:history="1">
            <w:r w:rsidRPr="00F03493">
              <w:rPr>
                <w:rStyle w:val="Hyperlink"/>
                <w:noProof/>
              </w:rPr>
              <w:t>7. Forecasting Litecoin (LTC) Daily Close Price with ARIMA</w:t>
            </w:r>
            <w:r>
              <w:rPr>
                <w:noProof/>
                <w:webHidden/>
              </w:rPr>
              <w:tab/>
            </w:r>
            <w:r>
              <w:rPr>
                <w:noProof/>
                <w:webHidden/>
              </w:rPr>
              <w:fldChar w:fldCharType="begin"/>
            </w:r>
            <w:r>
              <w:rPr>
                <w:noProof/>
                <w:webHidden/>
              </w:rPr>
              <w:instrText xml:space="preserve"> PAGEREF _Toc181820853 \h </w:instrText>
            </w:r>
            <w:r>
              <w:rPr>
                <w:noProof/>
                <w:webHidden/>
              </w:rPr>
            </w:r>
            <w:r>
              <w:rPr>
                <w:noProof/>
                <w:webHidden/>
              </w:rPr>
              <w:fldChar w:fldCharType="separate"/>
            </w:r>
            <w:r>
              <w:rPr>
                <w:noProof/>
                <w:webHidden/>
              </w:rPr>
              <w:t>30</w:t>
            </w:r>
            <w:r>
              <w:rPr>
                <w:noProof/>
                <w:webHidden/>
              </w:rPr>
              <w:fldChar w:fldCharType="end"/>
            </w:r>
          </w:hyperlink>
        </w:p>
        <w:p w14:paraId="158924CD" w14:textId="1C04DCDF" w:rsidR="00565D95" w:rsidRDefault="00565D95">
          <w:pPr>
            <w:pStyle w:val="TOC2"/>
            <w:tabs>
              <w:tab w:val="right" w:leader="dot" w:pos="9350"/>
            </w:tabs>
            <w:rPr>
              <w:rFonts w:eastAsiaTheme="minorEastAsia"/>
              <w:noProof/>
              <w:kern w:val="2"/>
              <w:lang w:val="en-BW" w:eastAsia="en-BW"/>
              <w14:ligatures w14:val="standardContextual"/>
            </w:rPr>
          </w:pPr>
          <w:hyperlink w:anchor="_Toc181820854" w:history="1">
            <w:r w:rsidRPr="00F03493">
              <w:rPr>
                <w:rStyle w:val="Hyperlink"/>
                <w:noProof/>
              </w:rPr>
              <w:t>7.1 Methododogy</w:t>
            </w:r>
            <w:r>
              <w:rPr>
                <w:noProof/>
                <w:webHidden/>
              </w:rPr>
              <w:tab/>
            </w:r>
            <w:r>
              <w:rPr>
                <w:noProof/>
                <w:webHidden/>
              </w:rPr>
              <w:fldChar w:fldCharType="begin"/>
            </w:r>
            <w:r>
              <w:rPr>
                <w:noProof/>
                <w:webHidden/>
              </w:rPr>
              <w:instrText xml:space="preserve"> PAGEREF _Toc181820854 \h </w:instrText>
            </w:r>
            <w:r>
              <w:rPr>
                <w:noProof/>
                <w:webHidden/>
              </w:rPr>
            </w:r>
            <w:r>
              <w:rPr>
                <w:noProof/>
                <w:webHidden/>
              </w:rPr>
              <w:fldChar w:fldCharType="separate"/>
            </w:r>
            <w:r>
              <w:rPr>
                <w:noProof/>
                <w:webHidden/>
              </w:rPr>
              <w:t>30</w:t>
            </w:r>
            <w:r>
              <w:rPr>
                <w:noProof/>
                <w:webHidden/>
              </w:rPr>
              <w:fldChar w:fldCharType="end"/>
            </w:r>
          </w:hyperlink>
        </w:p>
        <w:p w14:paraId="4955900F" w14:textId="5213F02D" w:rsidR="00565D95" w:rsidRDefault="00565D95">
          <w:pPr>
            <w:pStyle w:val="TOC2"/>
            <w:tabs>
              <w:tab w:val="right" w:leader="dot" w:pos="9350"/>
            </w:tabs>
            <w:rPr>
              <w:rFonts w:eastAsiaTheme="minorEastAsia"/>
              <w:noProof/>
              <w:kern w:val="2"/>
              <w:lang w:val="en-BW" w:eastAsia="en-BW"/>
              <w14:ligatures w14:val="standardContextual"/>
            </w:rPr>
          </w:pPr>
          <w:hyperlink w:anchor="_Toc181820855" w:history="1">
            <w:r w:rsidRPr="00F03493">
              <w:rPr>
                <w:rStyle w:val="Hyperlink"/>
                <w:noProof/>
              </w:rPr>
              <w:t>7.2 Key Observations:</w:t>
            </w:r>
            <w:r>
              <w:rPr>
                <w:noProof/>
                <w:webHidden/>
              </w:rPr>
              <w:tab/>
            </w:r>
            <w:r>
              <w:rPr>
                <w:noProof/>
                <w:webHidden/>
              </w:rPr>
              <w:fldChar w:fldCharType="begin"/>
            </w:r>
            <w:r>
              <w:rPr>
                <w:noProof/>
                <w:webHidden/>
              </w:rPr>
              <w:instrText xml:space="preserve"> PAGEREF _Toc181820855 \h </w:instrText>
            </w:r>
            <w:r>
              <w:rPr>
                <w:noProof/>
                <w:webHidden/>
              </w:rPr>
            </w:r>
            <w:r>
              <w:rPr>
                <w:noProof/>
                <w:webHidden/>
              </w:rPr>
              <w:fldChar w:fldCharType="separate"/>
            </w:r>
            <w:r>
              <w:rPr>
                <w:noProof/>
                <w:webHidden/>
              </w:rPr>
              <w:t>32</w:t>
            </w:r>
            <w:r>
              <w:rPr>
                <w:noProof/>
                <w:webHidden/>
              </w:rPr>
              <w:fldChar w:fldCharType="end"/>
            </w:r>
          </w:hyperlink>
        </w:p>
        <w:p w14:paraId="72846324" w14:textId="5E0A325C" w:rsidR="00565D95" w:rsidRDefault="00565D95">
          <w:pPr>
            <w:pStyle w:val="TOC1"/>
            <w:tabs>
              <w:tab w:val="right" w:leader="dot" w:pos="9350"/>
            </w:tabs>
            <w:rPr>
              <w:rFonts w:eastAsiaTheme="minorEastAsia"/>
              <w:noProof/>
              <w:kern w:val="2"/>
              <w:lang w:val="en-BW" w:eastAsia="en-BW"/>
              <w14:ligatures w14:val="standardContextual"/>
            </w:rPr>
          </w:pPr>
          <w:hyperlink w:anchor="_Toc181820856" w:history="1">
            <w:r w:rsidRPr="00F03493">
              <w:rPr>
                <w:rStyle w:val="Hyperlink"/>
                <w:noProof/>
              </w:rPr>
              <w:t>8. Data Visualization with Dashboard</w:t>
            </w:r>
            <w:r>
              <w:rPr>
                <w:noProof/>
                <w:webHidden/>
              </w:rPr>
              <w:tab/>
            </w:r>
            <w:r>
              <w:rPr>
                <w:noProof/>
                <w:webHidden/>
              </w:rPr>
              <w:fldChar w:fldCharType="begin"/>
            </w:r>
            <w:r>
              <w:rPr>
                <w:noProof/>
                <w:webHidden/>
              </w:rPr>
              <w:instrText xml:space="preserve"> PAGEREF _Toc181820856 \h </w:instrText>
            </w:r>
            <w:r>
              <w:rPr>
                <w:noProof/>
                <w:webHidden/>
              </w:rPr>
            </w:r>
            <w:r>
              <w:rPr>
                <w:noProof/>
                <w:webHidden/>
              </w:rPr>
              <w:fldChar w:fldCharType="separate"/>
            </w:r>
            <w:r>
              <w:rPr>
                <w:noProof/>
                <w:webHidden/>
              </w:rPr>
              <w:t>33</w:t>
            </w:r>
            <w:r>
              <w:rPr>
                <w:noProof/>
                <w:webHidden/>
              </w:rPr>
              <w:fldChar w:fldCharType="end"/>
            </w:r>
          </w:hyperlink>
        </w:p>
        <w:p w14:paraId="5BDC5828" w14:textId="475F53CA" w:rsidR="00565D95" w:rsidRDefault="00565D95">
          <w:pPr>
            <w:pStyle w:val="TOC2"/>
            <w:tabs>
              <w:tab w:val="right" w:leader="dot" w:pos="9350"/>
            </w:tabs>
            <w:rPr>
              <w:rFonts w:eastAsiaTheme="minorEastAsia"/>
              <w:noProof/>
              <w:kern w:val="2"/>
              <w:lang w:val="en-BW" w:eastAsia="en-BW"/>
              <w14:ligatures w14:val="standardContextual"/>
            </w:rPr>
          </w:pPr>
          <w:hyperlink w:anchor="_Toc181820857" w:history="1">
            <w:r w:rsidRPr="00F03493">
              <w:rPr>
                <w:rStyle w:val="Hyperlink"/>
                <w:noProof/>
              </w:rPr>
              <w:t>8.1 Dashboard Overview</w:t>
            </w:r>
            <w:r>
              <w:rPr>
                <w:noProof/>
                <w:webHidden/>
              </w:rPr>
              <w:tab/>
            </w:r>
            <w:r>
              <w:rPr>
                <w:noProof/>
                <w:webHidden/>
              </w:rPr>
              <w:fldChar w:fldCharType="begin"/>
            </w:r>
            <w:r>
              <w:rPr>
                <w:noProof/>
                <w:webHidden/>
              </w:rPr>
              <w:instrText xml:space="preserve"> PAGEREF _Toc181820857 \h </w:instrText>
            </w:r>
            <w:r>
              <w:rPr>
                <w:noProof/>
                <w:webHidden/>
              </w:rPr>
            </w:r>
            <w:r>
              <w:rPr>
                <w:noProof/>
                <w:webHidden/>
              </w:rPr>
              <w:fldChar w:fldCharType="separate"/>
            </w:r>
            <w:r>
              <w:rPr>
                <w:noProof/>
                <w:webHidden/>
              </w:rPr>
              <w:t>33</w:t>
            </w:r>
            <w:r>
              <w:rPr>
                <w:noProof/>
                <w:webHidden/>
              </w:rPr>
              <w:fldChar w:fldCharType="end"/>
            </w:r>
          </w:hyperlink>
        </w:p>
        <w:p w14:paraId="2F2EEEF1" w14:textId="1A140F13" w:rsidR="00565D95" w:rsidRDefault="00565D95">
          <w:pPr>
            <w:pStyle w:val="TOC2"/>
            <w:tabs>
              <w:tab w:val="right" w:leader="dot" w:pos="9350"/>
            </w:tabs>
            <w:rPr>
              <w:rFonts w:eastAsiaTheme="minorEastAsia"/>
              <w:noProof/>
              <w:kern w:val="2"/>
              <w:lang w:val="en-BW" w:eastAsia="en-BW"/>
              <w14:ligatures w14:val="standardContextual"/>
            </w:rPr>
          </w:pPr>
          <w:hyperlink w:anchor="_Toc181820858" w:history="1">
            <w:r w:rsidRPr="00F03493">
              <w:rPr>
                <w:rStyle w:val="Hyperlink"/>
                <w:noProof/>
              </w:rPr>
              <w:t>8.2 Key Visualizations</w:t>
            </w:r>
            <w:r>
              <w:rPr>
                <w:noProof/>
                <w:webHidden/>
              </w:rPr>
              <w:tab/>
            </w:r>
            <w:r>
              <w:rPr>
                <w:noProof/>
                <w:webHidden/>
              </w:rPr>
              <w:fldChar w:fldCharType="begin"/>
            </w:r>
            <w:r>
              <w:rPr>
                <w:noProof/>
                <w:webHidden/>
              </w:rPr>
              <w:instrText xml:space="preserve"> PAGEREF _Toc181820858 \h </w:instrText>
            </w:r>
            <w:r>
              <w:rPr>
                <w:noProof/>
                <w:webHidden/>
              </w:rPr>
            </w:r>
            <w:r>
              <w:rPr>
                <w:noProof/>
                <w:webHidden/>
              </w:rPr>
              <w:fldChar w:fldCharType="separate"/>
            </w:r>
            <w:r>
              <w:rPr>
                <w:noProof/>
                <w:webHidden/>
              </w:rPr>
              <w:t>35</w:t>
            </w:r>
            <w:r>
              <w:rPr>
                <w:noProof/>
                <w:webHidden/>
              </w:rPr>
              <w:fldChar w:fldCharType="end"/>
            </w:r>
          </w:hyperlink>
        </w:p>
        <w:p w14:paraId="3691696B" w14:textId="7D3B3C2B" w:rsidR="00565D95" w:rsidRDefault="00565D95">
          <w:pPr>
            <w:pStyle w:val="TOC2"/>
            <w:tabs>
              <w:tab w:val="right" w:leader="dot" w:pos="9350"/>
            </w:tabs>
            <w:rPr>
              <w:rFonts w:eastAsiaTheme="minorEastAsia"/>
              <w:noProof/>
              <w:kern w:val="2"/>
              <w:lang w:val="en-BW" w:eastAsia="en-BW"/>
              <w14:ligatures w14:val="standardContextual"/>
            </w:rPr>
          </w:pPr>
          <w:hyperlink w:anchor="_Toc181820859" w:history="1">
            <w:r w:rsidRPr="00F03493">
              <w:rPr>
                <w:rStyle w:val="Hyperlink"/>
                <w:noProof/>
              </w:rPr>
              <w:t>8.3 1. LTC Candlestick Chart</w:t>
            </w:r>
            <w:r>
              <w:rPr>
                <w:noProof/>
                <w:webHidden/>
              </w:rPr>
              <w:tab/>
            </w:r>
            <w:r>
              <w:rPr>
                <w:noProof/>
                <w:webHidden/>
              </w:rPr>
              <w:fldChar w:fldCharType="begin"/>
            </w:r>
            <w:r>
              <w:rPr>
                <w:noProof/>
                <w:webHidden/>
              </w:rPr>
              <w:instrText xml:space="preserve"> PAGEREF _Toc181820859 \h </w:instrText>
            </w:r>
            <w:r>
              <w:rPr>
                <w:noProof/>
                <w:webHidden/>
              </w:rPr>
            </w:r>
            <w:r>
              <w:rPr>
                <w:noProof/>
                <w:webHidden/>
              </w:rPr>
              <w:fldChar w:fldCharType="separate"/>
            </w:r>
            <w:r>
              <w:rPr>
                <w:noProof/>
                <w:webHidden/>
              </w:rPr>
              <w:t>35</w:t>
            </w:r>
            <w:r>
              <w:rPr>
                <w:noProof/>
                <w:webHidden/>
              </w:rPr>
              <w:fldChar w:fldCharType="end"/>
            </w:r>
          </w:hyperlink>
        </w:p>
        <w:p w14:paraId="03860DDC" w14:textId="39283513" w:rsidR="00565D95" w:rsidRDefault="00565D95">
          <w:pPr>
            <w:pStyle w:val="TOC2"/>
            <w:tabs>
              <w:tab w:val="right" w:leader="dot" w:pos="9350"/>
            </w:tabs>
            <w:rPr>
              <w:rFonts w:eastAsiaTheme="minorEastAsia"/>
              <w:noProof/>
              <w:kern w:val="2"/>
              <w:lang w:val="en-BW" w:eastAsia="en-BW"/>
              <w14:ligatures w14:val="standardContextual"/>
            </w:rPr>
          </w:pPr>
          <w:hyperlink w:anchor="_Toc181820860" w:history="1">
            <w:r w:rsidRPr="00F03493">
              <w:rPr>
                <w:rStyle w:val="Hyperlink"/>
                <w:noProof/>
              </w:rPr>
              <w:t>8.4 Insights and Key Findings</w:t>
            </w:r>
            <w:r>
              <w:rPr>
                <w:noProof/>
                <w:webHidden/>
              </w:rPr>
              <w:tab/>
            </w:r>
            <w:r>
              <w:rPr>
                <w:noProof/>
                <w:webHidden/>
              </w:rPr>
              <w:fldChar w:fldCharType="begin"/>
            </w:r>
            <w:r>
              <w:rPr>
                <w:noProof/>
                <w:webHidden/>
              </w:rPr>
              <w:instrText xml:space="preserve"> PAGEREF _Toc181820860 \h </w:instrText>
            </w:r>
            <w:r>
              <w:rPr>
                <w:noProof/>
                <w:webHidden/>
              </w:rPr>
            </w:r>
            <w:r>
              <w:rPr>
                <w:noProof/>
                <w:webHidden/>
              </w:rPr>
              <w:fldChar w:fldCharType="separate"/>
            </w:r>
            <w:r>
              <w:rPr>
                <w:noProof/>
                <w:webHidden/>
              </w:rPr>
              <w:t>36</w:t>
            </w:r>
            <w:r>
              <w:rPr>
                <w:noProof/>
                <w:webHidden/>
              </w:rPr>
              <w:fldChar w:fldCharType="end"/>
            </w:r>
          </w:hyperlink>
        </w:p>
        <w:p w14:paraId="48CE582F" w14:textId="3542DF4D" w:rsidR="00565D95" w:rsidRDefault="00565D95">
          <w:pPr>
            <w:pStyle w:val="TOC1"/>
            <w:tabs>
              <w:tab w:val="right" w:leader="dot" w:pos="9350"/>
            </w:tabs>
            <w:rPr>
              <w:rFonts w:eastAsiaTheme="minorEastAsia"/>
              <w:noProof/>
              <w:kern w:val="2"/>
              <w:lang w:val="en-BW" w:eastAsia="en-BW"/>
              <w14:ligatures w14:val="standardContextual"/>
            </w:rPr>
          </w:pPr>
          <w:hyperlink w:anchor="_Toc181820861" w:history="1">
            <w:r w:rsidRPr="00F03493">
              <w:rPr>
                <w:rStyle w:val="Hyperlink"/>
                <w:noProof/>
              </w:rPr>
              <w:t>9. Applications of Litecoin (LTC) Data Analysis in a Business Context</w:t>
            </w:r>
            <w:r>
              <w:rPr>
                <w:noProof/>
                <w:webHidden/>
              </w:rPr>
              <w:tab/>
            </w:r>
            <w:r>
              <w:rPr>
                <w:noProof/>
                <w:webHidden/>
              </w:rPr>
              <w:fldChar w:fldCharType="begin"/>
            </w:r>
            <w:r>
              <w:rPr>
                <w:noProof/>
                <w:webHidden/>
              </w:rPr>
              <w:instrText xml:space="preserve"> PAGEREF _Toc181820861 \h </w:instrText>
            </w:r>
            <w:r>
              <w:rPr>
                <w:noProof/>
                <w:webHidden/>
              </w:rPr>
            </w:r>
            <w:r>
              <w:rPr>
                <w:noProof/>
                <w:webHidden/>
              </w:rPr>
              <w:fldChar w:fldCharType="separate"/>
            </w:r>
            <w:r>
              <w:rPr>
                <w:noProof/>
                <w:webHidden/>
              </w:rPr>
              <w:t>40</w:t>
            </w:r>
            <w:r>
              <w:rPr>
                <w:noProof/>
                <w:webHidden/>
              </w:rPr>
              <w:fldChar w:fldCharType="end"/>
            </w:r>
          </w:hyperlink>
        </w:p>
        <w:p w14:paraId="2F19E3CF" w14:textId="498BDE62" w:rsidR="00565D95" w:rsidRDefault="00565D95">
          <w:pPr>
            <w:pStyle w:val="TOC1"/>
            <w:tabs>
              <w:tab w:val="right" w:leader="dot" w:pos="9350"/>
            </w:tabs>
            <w:rPr>
              <w:rFonts w:eastAsiaTheme="minorEastAsia"/>
              <w:noProof/>
              <w:kern w:val="2"/>
              <w:lang w:val="en-BW" w:eastAsia="en-BW"/>
              <w14:ligatures w14:val="standardContextual"/>
            </w:rPr>
          </w:pPr>
          <w:hyperlink w:anchor="_Toc181820862" w:history="1">
            <w:r w:rsidRPr="00F03493">
              <w:rPr>
                <w:rStyle w:val="Hyperlink"/>
                <w:noProof/>
              </w:rPr>
              <w:t>10. Conclusion</w:t>
            </w:r>
            <w:r>
              <w:rPr>
                <w:noProof/>
                <w:webHidden/>
              </w:rPr>
              <w:tab/>
            </w:r>
            <w:r>
              <w:rPr>
                <w:noProof/>
                <w:webHidden/>
              </w:rPr>
              <w:fldChar w:fldCharType="begin"/>
            </w:r>
            <w:r>
              <w:rPr>
                <w:noProof/>
                <w:webHidden/>
              </w:rPr>
              <w:instrText xml:space="preserve"> PAGEREF _Toc181820862 \h </w:instrText>
            </w:r>
            <w:r>
              <w:rPr>
                <w:noProof/>
                <w:webHidden/>
              </w:rPr>
            </w:r>
            <w:r>
              <w:rPr>
                <w:noProof/>
                <w:webHidden/>
              </w:rPr>
              <w:fldChar w:fldCharType="separate"/>
            </w:r>
            <w:r>
              <w:rPr>
                <w:noProof/>
                <w:webHidden/>
              </w:rPr>
              <w:t>42</w:t>
            </w:r>
            <w:r>
              <w:rPr>
                <w:noProof/>
                <w:webHidden/>
              </w:rPr>
              <w:fldChar w:fldCharType="end"/>
            </w:r>
          </w:hyperlink>
        </w:p>
        <w:p w14:paraId="0F4542C9" w14:textId="7E3DD58E" w:rsidR="00565D95" w:rsidRDefault="00565D95">
          <w:pPr>
            <w:pStyle w:val="TOC1"/>
            <w:tabs>
              <w:tab w:val="right" w:leader="dot" w:pos="9350"/>
            </w:tabs>
            <w:rPr>
              <w:rFonts w:eastAsiaTheme="minorEastAsia"/>
              <w:noProof/>
              <w:kern w:val="2"/>
              <w:lang w:val="en-BW" w:eastAsia="en-BW"/>
              <w14:ligatures w14:val="standardContextual"/>
            </w:rPr>
          </w:pPr>
          <w:hyperlink w:anchor="_Toc181820863" w:history="1">
            <w:r w:rsidRPr="00F03493">
              <w:rPr>
                <w:rStyle w:val="Hyperlink"/>
                <w:noProof/>
              </w:rPr>
              <w:t>11. References</w:t>
            </w:r>
            <w:r>
              <w:rPr>
                <w:noProof/>
                <w:webHidden/>
              </w:rPr>
              <w:tab/>
            </w:r>
            <w:r>
              <w:rPr>
                <w:noProof/>
                <w:webHidden/>
              </w:rPr>
              <w:fldChar w:fldCharType="begin"/>
            </w:r>
            <w:r>
              <w:rPr>
                <w:noProof/>
                <w:webHidden/>
              </w:rPr>
              <w:instrText xml:space="preserve"> PAGEREF _Toc181820863 \h </w:instrText>
            </w:r>
            <w:r>
              <w:rPr>
                <w:noProof/>
                <w:webHidden/>
              </w:rPr>
            </w:r>
            <w:r>
              <w:rPr>
                <w:noProof/>
                <w:webHidden/>
              </w:rPr>
              <w:fldChar w:fldCharType="separate"/>
            </w:r>
            <w:r>
              <w:rPr>
                <w:noProof/>
                <w:webHidden/>
              </w:rPr>
              <w:t>43</w:t>
            </w:r>
            <w:r>
              <w:rPr>
                <w:noProof/>
                <w:webHidden/>
              </w:rPr>
              <w:fldChar w:fldCharType="end"/>
            </w:r>
          </w:hyperlink>
        </w:p>
        <w:p w14:paraId="4BCECB39" w14:textId="6F1FD08A" w:rsidR="00920626" w:rsidRDefault="00000000" w:rsidP="005202D7">
          <w:pPr>
            <w:spacing w:line="276" w:lineRule="auto"/>
          </w:pPr>
          <w:r>
            <w:fldChar w:fldCharType="end"/>
          </w:r>
          <w:r>
            <w:br w:type="page"/>
          </w:r>
        </w:p>
      </w:sdtContent>
    </w:sdt>
    <w:p w14:paraId="57572498" w14:textId="77777777" w:rsidR="00920626" w:rsidRPr="005202D7" w:rsidRDefault="00000000" w:rsidP="005202D7">
      <w:pPr>
        <w:pStyle w:val="Heading1"/>
        <w:spacing w:line="276" w:lineRule="auto"/>
        <w:rPr>
          <w:color w:val="auto"/>
        </w:rPr>
      </w:pPr>
      <w:bookmarkStart w:id="0" w:name="introduction"/>
      <w:bookmarkStart w:id="1" w:name="_Toc181820836"/>
      <w:r w:rsidRPr="005202D7">
        <w:rPr>
          <w:color w:val="auto"/>
        </w:rPr>
        <w:lastRenderedPageBreak/>
        <w:t>1. Introduction</w:t>
      </w:r>
      <w:bookmarkEnd w:id="1"/>
    </w:p>
    <w:p w14:paraId="4523C1B8" w14:textId="77777777" w:rsidR="00920626" w:rsidRPr="005202D7" w:rsidRDefault="00000000" w:rsidP="005202D7">
      <w:pPr>
        <w:pStyle w:val="FirstParagraph"/>
        <w:spacing w:line="276" w:lineRule="auto"/>
      </w:pPr>
      <w:r w:rsidRPr="005202D7">
        <w:t>This report presents an analysis of the Litecoin (LTC) trading data from the Gemini exchange, highlighting price trends, volume activity, return distributions, and trading behaviours. The dataset dataset spans 658,011 entries, each with Open, High, Low, Close prices, Volume, and Unix Timestamps at one-minute intervals. Litecoin’s high transaction speed and low fees make it significant within cryptocurrency markets, which are known for high volatility and speculative trading patterns (Nakamoto, 2008).</w:t>
      </w:r>
    </w:p>
    <w:p w14:paraId="07CB9C45" w14:textId="77777777" w:rsidR="00920626" w:rsidRPr="005202D7" w:rsidRDefault="00000000" w:rsidP="005202D7">
      <w:pPr>
        <w:pStyle w:val="BodyText"/>
        <w:spacing w:line="276" w:lineRule="auto"/>
      </w:pPr>
      <w:r w:rsidRPr="005202D7">
        <w:t>This analysis aims to:</w:t>
      </w:r>
    </w:p>
    <w:p w14:paraId="2936B02D" w14:textId="77777777" w:rsidR="00920626" w:rsidRPr="005202D7" w:rsidRDefault="00000000" w:rsidP="005202D7">
      <w:pPr>
        <w:numPr>
          <w:ilvl w:val="0"/>
          <w:numId w:val="2"/>
        </w:numPr>
        <w:spacing w:line="276" w:lineRule="auto"/>
      </w:pPr>
      <w:r w:rsidRPr="005202D7">
        <w:t>Examine trends and patterns in price movements over time.</w:t>
      </w:r>
    </w:p>
    <w:p w14:paraId="32116F29" w14:textId="77777777" w:rsidR="00920626" w:rsidRPr="005202D7" w:rsidRDefault="00000000" w:rsidP="005202D7">
      <w:pPr>
        <w:numPr>
          <w:ilvl w:val="0"/>
          <w:numId w:val="2"/>
        </w:numPr>
        <w:spacing w:line="276" w:lineRule="auto"/>
      </w:pPr>
      <w:r w:rsidRPr="005202D7">
        <w:t>Assess the distribution and volatility of trading volume across different periods.</w:t>
      </w:r>
    </w:p>
    <w:p w14:paraId="61E2564D" w14:textId="77777777" w:rsidR="00920626" w:rsidRPr="005202D7" w:rsidRDefault="00000000" w:rsidP="005202D7">
      <w:pPr>
        <w:numPr>
          <w:ilvl w:val="0"/>
          <w:numId w:val="2"/>
        </w:numPr>
        <w:spacing w:line="276" w:lineRule="auto"/>
      </w:pPr>
      <w:r w:rsidRPr="005202D7">
        <w:t>Forecast future price trends using time series models to support data-driven trading decisions.</w:t>
      </w:r>
    </w:p>
    <w:p w14:paraId="4315C314" w14:textId="77777777" w:rsidR="00920626" w:rsidRPr="005202D7" w:rsidRDefault="00000000" w:rsidP="005202D7">
      <w:pPr>
        <w:pStyle w:val="FirstParagraph"/>
        <w:spacing w:line="276" w:lineRule="auto"/>
      </w:pPr>
      <w:r w:rsidRPr="005202D7">
        <w:t>Understanding these aspects is crucial for making informed trading decisions in the volatile cryptocurrency market.</w:t>
      </w:r>
    </w:p>
    <w:p w14:paraId="34E9C0D1" w14:textId="77777777" w:rsidR="00920626" w:rsidRPr="005202D7" w:rsidRDefault="00000000" w:rsidP="005202D7">
      <w:pPr>
        <w:pStyle w:val="Heading2"/>
        <w:spacing w:line="276" w:lineRule="auto"/>
        <w:rPr>
          <w:color w:val="auto"/>
        </w:rPr>
      </w:pPr>
      <w:bookmarkStart w:id="2" w:name="loading-libraries"/>
      <w:bookmarkStart w:id="3" w:name="_Toc181820837"/>
      <w:r w:rsidRPr="005202D7">
        <w:rPr>
          <w:color w:val="auto"/>
        </w:rPr>
        <w:t>1.1 Loading Libraries</w:t>
      </w:r>
      <w:bookmarkEnd w:id="3"/>
    </w:p>
    <w:p w14:paraId="0696D0A5" w14:textId="77777777" w:rsidR="00920626" w:rsidRDefault="00000000" w:rsidP="005202D7">
      <w:pPr>
        <w:pStyle w:val="SourceCode"/>
        <w:spacing w:line="276" w:lineRule="auto"/>
      </w:pPr>
      <w:r>
        <w:rPr>
          <w:rStyle w:val="FunctionTok"/>
        </w:rPr>
        <w:t>library</w:t>
      </w:r>
      <w:r>
        <w:rPr>
          <w:rStyle w:val="NormalTok"/>
        </w:rPr>
        <w:t>(tidyverse)</w:t>
      </w:r>
      <w:r>
        <w:br/>
      </w:r>
      <w:r>
        <w:rPr>
          <w:rStyle w:val="FunctionTok"/>
        </w:rPr>
        <w:t>library</w:t>
      </w:r>
      <w:r>
        <w:rPr>
          <w:rStyle w:val="NormalTok"/>
        </w:rPr>
        <w:t>(readxl)</w:t>
      </w:r>
      <w:r>
        <w:br/>
      </w:r>
      <w:r>
        <w:rPr>
          <w:rStyle w:val="FunctionTok"/>
        </w:rPr>
        <w:t>library</w:t>
      </w:r>
      <w:r>
        <w:rPr>
          <w:rStyle w:val="NormalTok"/>
        </w:rPr>
        <w:t>(dplyr)</w:t>
      </w:r>
      <w:r>
        <w:br/>
      </w:r>
      <w:r>
        <w:rPr>
          <w:rStyle w:val="FunctionTok"/>
        </w:rPr>
        <w:t>library</w:t>
      </w:r>
      <w:r>
        <w:rPr>
          <w:rStyle w:val="NormalTok"/>
        </w:rPr>
        <w:t>(tidyr)</w:t>
      </w:r>
      <w:r>
        <w:br/>
      </w:r>
      <w:r>
        <w:rPr>
          <w:rStyle w:val="FunctionTok"/>
        </w:rPr>
        <w:t>library</w:t>
      </w:r>
      <w:r>
        <w:rPr>
          <w:rStyle w:val="NormalTok"/>
        </w:rPr>
        <w:t>(ggplot2)</w:t>
      </w:r>
      <w:r>
        <w:br/>
      </w:r>
      <w:r>
        <w:rPr>
          <w:rStyle w:val="FunctionTok"/>
        </w:rPr>
        <w:t>library</w:t>
      </w:r>
      <w:r>
        <w:rPr>
          <w:rStyle w:val="NormalTok"/>
        </w:rPr>
        <w:t>(plotly)</w:t>
      </w:r>
      <w:r>
        <w:br/>
      </w:r>
      <w:proofErr w:type="gramStart"/>
      <w:r>
        <w:rPr>
          <w:rStyle w:val="FunctionTok"/>
        </w:rPr>
        <w:t>library</w:t>
      </w:r>
      <w:r>
        <w:rPr>
          <w:rStyle w:val="NormalTok"/>
        </w:rPr>
        <w:t>(</w:t>
      </w:r>
      <w:proofErr w:type="gramEnd"/>
      <w:r>
        <w:rPr>
          <w:rStyle w:val="NormalTok"/>
        </w:rPr>
        <w:t xml:space="preserve">TTR)  </w:t>
      </w:r>
      <w:r>
        <w:rPr>
          <w:rStyle w:val="CommentTok"/>
        </w:rPr>
        <w:t># For calculating moving averages</w:t>
      </w:r>
      <w:r>
        <w:br/>
      </w:r>
      <w:r>
        <w:rPr>
          <w:rStyle w:val="FunctionTok"/>
        </w:rPr>
        <w:t>library</w:t>
      </w:r>
      <w:r>
        <w:rPr>
          <w:rStyle w:val="NormalTok"/>
        </w:rPr>
        <w:t xml:space="preserve">(forecast)  </w:t>
      </w:r>
      <w:r>
        <w:rPr>
          <w:rStyle w:val="CommentTok"/>
        </w:rPr>
        <w:t># For forecasting</w:t>
      </w:r>
      <w:r>
        <w:br/>
      </w:r>
      <w:r>
        <w:rPr>
          <w:rStyle w:val="FunctionTok"/>
        </w:rPr>
        <w:t>library</w:t>
      </w:r>
      <w:r>
        <w:rPr>
          <w:rStyle w:val="NormalTok"/>
        </w:rPr>
        <w:t xml:space="preserve">(shiny)  </w:t>
      </w:r>
      <w:r>
        <w:rPr>
          <w:rStyle w:val="CommentTok"/>
        </w:rPr>
        <w:t># For interactive web applications</w:t>
      </w:r>
      <w:r>
        <w:br/>
      </w:r>
      <w:r>
        <w:rPr>
          <w:rStyle w:val="FunctionTok"/>
        </w:rPr>
        <w:t>library</w:t>
      </w:r>
      <w:r>
        <w:rPr>
          <w:rStyle w:val="NormalTok"/>
        </w:rPr>
        <w:t xml:space="preserve">(shinydashboard)  </w:t>
      </w:r>
      <w:r>
        <w:rPr>
          <w:rStyle w:val="CommentTok"/>
        </w:rPr>
        <w:t># For dashboard UI</w:t>
      </w:r>
      <w:r>
        <w:br/>
      </w:r>
      <w:r>
        <w:rPr>
          <w:rStyle w:val="FunctionTok"/>
        </w:rPr>
        <w:t>library</w:t>
      </w:r>
      <w:r>
        <w:rPr>
          <w:rStyle w:val="NormalTok"/>
        </w:rPr>
        <w:t xml:space="preserve">(lubridate)  </w:t>
      </w:r>
      <w:r>
        <w:rPr>
          <w:rStyle w:val="CommentTok"/>
        </w:rPr>
        <w:t># For date manipulation</w:t>
      </w:r>
    </w:p>
    <w:p w14:paraId="62CEFEB0" w14:textId="77777777" w:rsidR="00920626" w:rsidRDefault="00000000" w:rsidP="005202D7">
      <w:pPr>
        <w:spacing w:line="276" w:lineRule="auto"/>
      </w:pPr>
      <w:r>
        <w:br w:type="page"/>
      </w:r>
    </w:p>
    <w:p w14:paraId="3A0DA158" w14:textId="77777777" w:rsidR="00920626" w:rsidRPr="005202D7" w:rsidRDefault="00000000" w:rsidP="005202D7">
      <w:pPr>
        <w:pStyle w:val="Heading1"/>
        <w:spacing w:line="276" w:lineRule="auto"/>
        <w:rPr>
          <w:color w:val="auto"/>
        </w:rPr>
      </w:pPr>
      <w:bookmarkStart w:id="4" w:name="data-exploration-and-cleaning"/>
      <w:bookmarkStart w:id="5" w:name="_Toc181820838"/>
      <w:bookmarkEnd w:id="0"/>
      <w:bookmarkEnd w:id="2"/>
      <w:r w:rsidRPr="005202D7">
        <w:rPr>
          <w:color w:val="auto"/>
        </w:rPr>
        <w:lastRenderedPageBreak/>
        <w:t>2. Data Exploration and Cleaning</w:t>
      </w:r>
      <w:bookmarkEnd w:id="5"/>
    </w:p>
    <w:p w14:paraId="37F38D07" w14:textId="77777777" w:rsidR="00920626" w:rsidRPr="005202D7" w:rsidRDefault="00000000" w:rsidP="005202D7">
      <w:pPr>
        <w:pStyle w:val="Heading2"/>
        <w:spacing w:line="276" w:lineRule="auto"/>
        <w:rPr>
          <w:color w:val="auto"/>
        </w:rPr>
      </w:pPr>
      <w:bookmarkStart w:id="6" w:name="loading-and-exploration"/>
      <w:bookmarkStart w:id="7" w:name="_Toc181820839"/>
      <w:r w:rsidRPr="005202D7">
        <w:rPr>
          <w:color w:val="auto"/>
        </w:rPr>
        <w:t>2.1 Loading and Exploration</w:t>
      </w:r>
      <w:bookmarkEnd w:id="7"/>
    </w:p>
    <w:p w14:paraId="15761A24" w14:textId="77777777" w:rsidR="00920626" w:rsidRDefault="00000000" w:rsidP="005202D7">
      <w:pPr>
        <w:pStyle w:val="FirstParagraph"/>
        <w:spacing w:line="276" w:lineRule="auto"/>
      </w:pPr>
      <w:r>
        <w:t>The dataset is loaded from a CSV file, and basic exploration steps are conducted.</w:t>
      </w:r>
    </w:p>
    <w:p w14:paraId="6ED58D53" w14:textId="77777777" w:rsidR="00920626" w:rsidRDefault="00000000" w:rsidP="005202D7">
      <w:pPr>
        <w:pStyle w:val="SourceCode"/>
        <w:spacing w:line="276" w:lineRule="auto"/>
      </w:pPr>
      <w:r>
        <w:rPr>
          <w:rStyle w:val="CommentTok"/>
        </w:rPr>
        <w:t># Loading dataset</w:t>
      </w:r>
      <w:r>
        <w:br/>
      </w:r>
      <w:r>
        <w:rPr>
          <w:rStyle w:val="NormalTok"/>
        </w:rPr>
        <w:t xml:space="preserve">Gemini </w:t>
      </w:r>
      <w:r>
        <w:rPr>
          <w:rStyle w:val="OtherTok"/>
        </w:rPr>
        <w:t>&lt;-</w:t>
      </w:r>
      <w:r>
        <w:rPr>
          <w:rStyle w:val="NormalTok"/>
        </w:rPr>
        <w:t xml:space="preserve"> </w:t>
      </w:r>
      <w:r>
        <w:rPr>
          <w:rStyle w:val="FunctionTok"/>
        </w:rPr>
        <w:t>read.csv</w:t>
      </w:r>
      <w:r>
        <w:rPr>
          <w:rStyle w:val="NormalTok"/>
        </w:rPr>
        <w:t>(</w:t>
      </w:r>
      <w:r>
        <w:rPr>
          <w:rStyle w:val="StringTok"/>
        </w:rPr>
        <w:t>"gemini_LTCUSD_2020_1min.csv"</w:t>
      </w:r>
      <w:r>
        <w:rPr>
          <w:rStyle w:val="NormalTok"/>
        </w:rPr>
        <w:t>)</w:t>
      </w:r>
      <w:r>
        <w:br/>
      </w:r>
      <w:r>
        <w:br/>
      </w:r>
      <w:r>
        <w:br/>
      </w:r>
      <w:r>
        <w:rPr>
          <w:rStyle w:val="CommentTok"/>
        </w:rPr>
        <w:t># Exploring the data</w:t>
      </w:r>
      <w:r>
        <w:br/>
      </w:r>
      <w:r>
        <w:rPr>
          <w:rStyle w:val="FunctionTok"/>
        </w:rPr>
        <w:t>names</w:t>
      </w:r>
      <w:r>
        <w:rPr>
          <w:rStyle w:val="NormalTok"/>
        </w:rPr>
        <w:t>(Gemini)</w:t>
      </w:r>
    </w:p>
    <w:p w14:paraId="119B967A" w14:textId="77777777" w:rsidR="00920626" w:rsidRDefault="00000000" w:rsidP="005202D7">
      <w:pPr>
        <w:pStyle w:val="SourceCode"/>
        <w:spacing w:line="276" w:lineRule="auto"/>
      </w:pPr>
      <w:r>
        <w:rPr>
          <w:rStyle w:val="VerbatimChar"/>
        </w:rPr>
        <w:t xml:space="preserve">[1] "Unix.Timestamp" "Date"           "Symbol"         "Open"          </w:t>
      </w:r>
      <w:r>
        <w:br/>
      </w:r>
      <w:r>
        <w:rPr>
          <w:rStyle w:val="VerbatimChar"/>
        </w:rPr>
        <w:t xml:space="preserve">[5] "High"           "Low"            "Close"          "Volume"        </w:t>
      </w:r>
    </w:p>
    <w:p w14:paraId="18E87A66" w14:textId="77777777" w:rsidR="00920626" w:rsidRDefault="00000000" w:rsidP="005202D7">
      <w:pPr>
        <w:pStyle w:val="SourceCode"/>
        <w:spacing w:line="276" w:lineRule="auto"/>
      </w:pPr>
      <w:r>
        <w:rPr>
          <w:rStyle w:val="FunctionTok"/>
        </w:rPr>
        <w:t>glimpse</w:t>
      </w:r>
      <w:r>
        <w:rPr>
          <w:rStyle w:val="NormalTok"/>
        </w:rPr>
        <w:t xml:space="preserve">(Gemini) </w:t>
      </w:r>
      <w:r>
        <w:rPr>
          <w:rStyle w:val="CommentTok"/>
        </w:rPr>
        <w:t># Display the structure of the dataset</w:t>
      </w:r>
    </w:p>
    <w:p w14:paraId="29AC57C0" w14:textId="77777777" w:rsidR="00920626" w:rsidRDefault="00000000" w:rsidP="005202D7">
      <w:pPr>
        <w:pStyle w:val="SourceCode"/>
        <w:spacing w:line="276" w:lineRule="auto"/>
      </w:pPr>
      <w:r>
        <w:rPr>
          <w:rStyle w:val="VerbatimChar"/>
        </w:rPr>
        <w:t>Rows: 658,011</w:t>
      </w:r>
      <w:r>
        <w:br/>
      </w:r>
      <w:r>
        <w:rPr>
          <w:rStyle w:val="VerbatimChar"/>
        </w:rPr>
        <w:t>Columns: 8</w:t>
      </w:r>
      <w:r>
        <w:br/>
      </w:r>
      <w:r>
        <w:rPr>
          <w:rStyle w:val="VerbatimChar"/>
        </w:rPr>
        <w:t>$ Unix.Timestamp &lt;dbl&gt; 1.61888e+12, 1.61888e+12, 1.61888e+12, 1.61888e+12, 1.6…</w:t>
      </w:r>
      <w:r>
        <w:br/>
      </w:r>
      <w:r>
        <w:rPr>
          <w:rStyle w:val="VerbatimChar"/>
        </w:rPr>
        <w:t>$ Date           &lt;chr&gt; "4/20/2021 0:03", "4/20/2021 0:02", "4/20/2021 0:01", "…</w:t>
      </w:r>
      <w:r>
        <w:br/>
      </w:r>
      <w:r>
        <w:rPr>
          <w:rStyle w:val="VerbatimChar"/>
        </w:rPr>
        <w:t>$ Symbol         &lt;chr&gt; "LTCUSD", "LTCUSD", "LTCUSD", "LTCUSD", "LTCUSD", "LTCU…</w:t>
      </w:r>
      <w:r>
        <w:br/>
      </w:r>
      <w:r>
        <w:rPr>
          <w:rStyle w:val="VerbatimChar"/>
        </w:rPr>
        <w:t>$ Open           &lt;dbl&gt; 260.05, 262.77, 263.57, 261.32, 261.87, 262.06, 260.49,…</w:t>
      </w:r>
      <w:r>
        <w:br/>
      </w:r>
      <w:r>
        <w:rPr>
          <w:rStyle w:val="VerbatimChar"/>
        </w:rPr>
        <w:t>$ High           &lt;dbl&gt; 260.05, 262.86, 264.14, 263.76, 261.87, 262.18, 262.39,…</w:t>
      </w:r>
      <w:r>
        <w:br/>
      </w:r>
      <w:r>
        <w:rPr>
          <w:rStyle w:val="VerbatimChar"/>
        </w:rPr>
        <w:t>$ Low            &lt;dbl&gt; 259.00, 260.00, 262.77, 261.32, 261.21, 261.66, 260.49,…</w:t>
      </w:r>
      <w:r>
        <w:br/>
      </w:r>
      <w:r>
        <w:rPr>
          <w:rStyle w:val="VerbatimChar"/>
        </w:rPr>
        <w:t>$ Close          &lt;dbl&gt; 259.00, 260.05, 262.77, 263.57, 261.32, 261.87, 262.06,…</w:t>
      </w:r>
      <w:r>
        <w:br/>
      </w:r>
      <w:r>
        <w:rPr>
          <w:rStyle w:val="VerbatimChar"/>
        </w:rPr>
        <w:t>$ Volume         &lt;dbl&gt; 179.16470, 307.77795, 11.53982, 110.88182, 48.58221, 34…</w:t>
      </w:r>
    </w:p>
    <w:p w14:paraId="53AF192C" w14:textId="77777777" w:rsidR="00920626" w:rsidRDefault="00000000" w:rsidP="005202D7">
      <w:pPr>
        <w:pStyle w:val="SourceCode"/>
        <w:spacing w:line="276" w:lineRule="auto"/>
      </w:pPr>
      <w:r>
        <w:rPr>
          <w:rStyle w:val="FunctionTok"/>
        </w:rPr>
        <w:t>dim</w:t>
      </w:r>
      <w:r>
        <w:rPr>
          <w:rStyle w:val="NormalTok"/>
        </w:rPr>
        <w:t>(Gemini)</w:t>
      </w:r>
    </w:p>
    <w:p w14:paraId="7F657E34" w14:textId="77777777" w:rsidR="00920626" w:rsidRDefault="00000000" w:rsidP="005202D7">
      <w:pPr>
        <w:pStyle w:val="SourceCode"/>
        <w:spacing w:line="276" w:lineRule="auto"/>
      </w:pPr>
      <w:r>
        <w:rPr>
          <w:rStyle w:val="VerbatimChar"/>
        </w:rPr>
        <w:t>[1] 658011      8</w:t>
      </w:r>
    </w:p>
    <w:p w14:paraId="73A78D32" w14:textId="77777777" w:rsidR="00920626" w:rsidRDefault="00000000" w:rsidP="005202D7">
      <w:pPr>
        <w:pStyle w:val="SourceCode"/>
        <w:spacing w:line="276" w:lineRule="auto"/>
      </w:pPr>
      <w:r>
        <w:rPr>
          <w:rStyle w:val="FunctionTok"/>
        </w:rPr>
        <w:t>head</w:t>
      </w:r>
      <w:r>
        <w:rPr>
          <w:rStyle w:val="NormalTok"/>
        </w:rPr>
        <w:t>(Gemini)</w:t>
      </w:r>
    </w:p>
    <w:p w14:paraId="7DE09E30" w14:textId="77777777" w:rsidR="00920626" w:rsidRDefault="00000000" w:rsidP="005202D7">
      <w:pPr>
        <w:pStyle w:val="SourceCode"/>
        <w:spacing w:line="276" w:lineRule="auto"/>
      </w:pPr>
      <w:r>
        <w:rPr>
          <w:rStyle w:val="VerbatimChar"/>
        </w:rPr>
        <w:t xml:space="preserve">  Unix.Timestamp            Date Symbol   Open   High    Low  Close    Volume</w:t>
      </w:r>
      <w:r>
        <w:br/>
      </w:r>
      <w:r>
        <w:rPr>
          <w:rStyle w:val="VerbatimChar"/>
        </w:rPr>
        <w:t>1    1.61888e+12  4/20/2021 0:03 LTCUSD 260.05 260.05 259.00 259.00 179.16470</w:t>
      </w:r>
      <w:r>
        <w:br/>
      </w:r>
      <w:r>
        <w:rPr>
          <w:rStyle w:val="VerbatimChar"/>
        </w:rPr>
        <w:t>2    1.61888e+12  4/20/2021 0:02 LTCUSD 262.77 262.86 260.00 260.05 307.77795</w:t>
      </w:r>
      <w:r>
        <w:br/>
      </w:r>
      <w:r>
        <w:rPr>
          <w:rStyle w:val="VerbatimChar"/>
        </w:rPr>
        <w:lastRenderedPageBreak/>
        <w:t>3    1.61888e+12  4/20/2021 0:01 LTCUSD 263.57 264.14 262.77 262.77  11.53982</w:t>
      </w:r>
      <w:r>
        <w:br/>
      </w:r>
      <w:r>
        <w:rPr>
          <w:rStyle w:val="VerbatimChar"/>
        </w:rPr>
        <w:t>4    1.61888e+12  4/20/2021 0:00 LTCUSD 261.32 263.76 261.32 263.57 110.88182</w:t>
      </w:r>
      <w:r>
        <w:br/>
      </w:r>
      <w:r>
        <w:rPr>
          <w:rStyle w:val="VerbatimChar"/>
        </w:rPr>
        <w:t>5    1.61888e+12 4/19/2021 23:59 LTCUSD 261.87 261.87 261.21 261.32  48.58221</w:t>
      </w:r>
      <w:r>
        <w:br/>
      </w:r>
      <w:r>
        <w:rPr>
          <w:rStyle w:val="VerbatimChar"/>
        </w:rPr>
        <w:t>6    1.61888e+12 4/19/2021 23:58 LTCUSD 262.06 262.18 261.66 261.87  34.95519</w:t>
      </w:r>
    </w:p>
    <w:p w14:paraId="2D218E5A" w14:textId="77777777" w:rsidR="00920626" w:rsidRDefault="00000000" w:rsidP="005202D7">
      <w:pPr>
        <w:pStyle w:val="SourceCode"/>
        <w:spacing w:line="276" w:lineRule="auto"/>
      </w:pPr>
      <w:r>
        <w:rPr>
          <w:rStyle w:val="FunctionTok"/>
        </w:rPr>
        <w:t>summary</w:t>
      </w:r>
      <w:r>
        <w:rPr>
          <w:rStyle w:val="NormalTok"/>
        </w:rPr>
        <w:t>(Gemini)</w:t>
      </w:r>
    </w:p>
    <w:p w14:paraId="7B5ED05C" w14:textId="77777777" w:rsidR="00920626" w:rsidRDefault="00000000" w:rsidP="005202D7">
      <w:pPr>
        <w:pStyle w:val="SourceCode"/>
        <w:spacing w:line="276" w:lineRule="auto"/>
      </w:pPr>
      <w:r>
        <w:rPr>
          <w:rStyle w:val="VerbatimChar"/>
        </w:rPr>
        <w:t xml:space="preserve"> Unix.Timestamp          Date              Symbol               Open       </w:t>
      </w:r>
      <w:r>
        <w:br/>
      </w:r>
      <w:r>
        <w:rPr>
          <w:rStyle w:val="VerbatimChar"/>
        </w:rPr>
        <w:t xml:space="preserve"> Min.   :1.578e+12   Length:658011      Length:658011      Min.   : 24.93  </w:t>
      </w:r>
      <w:r>
        <w:br/>
      </w:r>
      <w:r>
        <w:rPr>
          <w:rStyle w:val="VerbatimChar"/>
        </w:rPr>
        <w:t xml:space="preserve"> 1st Qu.:1.588e+12   Class :character   Class :character   1st Qu.: 45.54  </w:t>
      </w:r>
      <w:r>
        <w:br/>
      </w:r>
      <w:r>
        <w:rPr>
          <w:rStyle w:val="VerbatimChar"/>
        </w:rPr>
        <w:t xml:space="preserve"> Median :1.599e+12   Mode  :character   Mode  :character   Median : 57.95  </w:t>
      </w:r>
      <w:r>
        <w:br/>
      </w:r>
      <w:r>
        <w:rPr>
          <w:rStyle w:val="VerbatimChar"/>
        </w:rPr>
        <w:t xml:space="preserve"> Mean   :1.599e+12                                         Mean   : 87.28  </w:t>
      </w:r>
      <w:r>
        <w:br/>
      </w:r>
      <w:r>
        <w:rPr>
          <w:rStyle w:val="VerbatimChar"/>
        </w:rPr>
        <w:t xml:space="preserve"> 3rd Qu.:1.609e+12                                         3rd Qu.:124.06  </w:t>
      </w:r>
      <w:r>
        <w:br/>
      </w:r>
      <w:r>
        <w:rPr>
          <w:rStyle w:val="VerbatimChar"/>
        </w:rPr>
        <w:t xml:space="preserve"> Max.   :1.619e+12                                         Max.   :335.53  </w:t>
      </w:r>
      <w:r>
        <w:br/>
      </w:r>
      <w:r>
        <w:rPr>
          <w:rStyle w:val="VerbatimChar"/>
        </w:rPr>
        <w:t xml:space="preserve">      High             Low             Close            Volume       </w:t>
      </w:r>
      <w:r>
        <w:br/>
      </w:r>
      <w:r>
        <w:rPr>
          <w:rStyle w:val="VerbatimChar"/>
        </w:rPr>
        <w:t xml:space="preserve"> Min.   : 25.52   Min.   : 24.18   Min.   : 24.93   Min.   :   0.00  </w:t>
      </w:r>
      <w:r>
        <w:br/>
      </w:r>
      <w:r>
        <w:rPr>
          <w:rStyle w:val="VerbatimChar"/>
        </w:rPr>
        <w:t xml:space="preserve"> 1st Qu.: 45.55   1st Qu.: 45.54   1st Qu.: 45.54   1st Qu.:   0.00  </w:t>
      </w:r>
      <w:r>
        <w:br/>
      </w:r>
      <w:r>
        <w:rPr>
          <w:rStyle w:val="VerbatimChar"/>
        </w:rPr>
        <w:t xml:space="preserve"> Median : 57.96   Median : 57.93   Median : 57.95   Median :   0.00  </w:t>
      </w:r>
      <w:r>
        <w:br/>
      </w:r>
      <w:r>
        <w:rPr>
          <w:rStyle w:val="VerbatimChar"/>
        </w:rPr>
        <w:t xml:space="preserve"> Mean   : 87.33   Mean   : 87.23   Mean   : 87.28   Mean   :  17.51  </w:t>
      </w:r>
      <w:r>
        <w:br/>
      </w:r>
      <w:r>
        <w:rPr>
          <w:rStyle w:val="VerbatimChar"/>
        </w:rPr>
        <w:t xml:space="preserve"> 3rd Qu.:124.17   3rd Qu.:123.97   3rd Qu.:124.06   3rd Qu.:   2.28  </w:t>
      </w:r>
      <w:r>
        <w:br/>
      </w:r>
      <w:r>
        <w:rPr>
          <w:rStyle w:val="VerbatimChar"/>
        </w:rPr>
        <w:t xml:space="preserve"> Max.   :335.53   Max.   :334.68   Max.   :335.53   Max.   :7492.38  </w:t>
      </w:r>
    </w:p>
    <w:p w14:paraId="7F6C4610" w14:textId="77777777" w:rsidR="00920626" w:rsidRDefault="00000000" w:rsidP="005202D7">
      <w:pPr>
        <w:pStyle w:val="SourceCode"/>
        <w:spacing w:line="276" w:lineRule="auto"/>
      </w:pPr>
      <w:r>
        <w:rPr>
          <w:rStyle w:val="CommentTok"/>
        </w:rPr>
        <w:t># Check for missing values</w:t>
      </w:r>
      <w:r>
        <w:br/>
      </w:r>
      <w:r>
        <w:rPr>
          <w:rStyle w:val="NormalTok"/>
        </w:rPr>
        <w:t xml:space="preserve">missing_values </w:t>
      </w:r>
      <w:r>
        <w:rPr>
          <w:rStyle w:val="OtherTok"/>
        </w:rPr>
        <w:t>&lt;-</w:t>
      </w:r>
      <w:r>
        <w:rPr>
          <w:rStyle w:val="NormalTok"/>
        </w:rPr>
        <w:t xml:space="preserve"> </w:t>
      </w:r>
      <w:r>
        <w:rPr>
          <w:rStyle w:val="FunctionTok"/>
        </w:rPr>
        <w:t>colSums</w:t>
      </w:r>
      <w:r>
        <w:rPr>
          <w:rStyle w:val="NormalTok"/>
        </w:rPr>
        <w:t>(</w:t>
      </w:r>
      <w:r>
        <w:rPr>
          <w:rStyle w:val="FunctionTok"/>
        </w:rPr>
        <w:t>is.na</w:t>
      </w:r>
      <w:r>
        <w:rPr>
          <w:rStyle w:val="NormalTok"/>
        </w:rPr>
        <w:t>(Gemini))</w:t>
      </w:r>
      <w:r>
        <w:br/>
      </w:r>
      <w:r>
        <w:rPr>
          <w:rStyle w:val="FunctionTok"/>
        </w:rPr>
        <w:t>print</w:t>
      </w:r>
      <w:r>
        <w:rPr>
          <w:rStyle w:val="NormalTok"/>
        </w:rPr>
        <w:t>(missing_values)</w:t>
      </w:r>
    </w:p>
    <w:p w14:paraId="77C8E2B3" w14:textId="77777777" w:rsidR="00920626" w:rsidRDefault="00000000" w:rsidP="005202D7">
      <w:pPr>
        <w:pStyle w:val="SourceCode"/>
        <w:spacing w:line="276" w:lineRule="auto"/>
      </w:pPr>
      <w:r>
        <w:rPr>
          <w:rStyle w:val="VerbatimChar"/>
        </w:rPr>
        <w:t xml:space="preserve">Unix.Timestamp           Date         Symbol           Open           High </w:t>
      </w:r>
      <w:r>
        <w:br/>
      </w:r>
      <w:r>
        <w:rPr>
          <w:rStyle w:val="VerbatimChar"/>
        </w:rPr>
        <w:t xml:space="preserve">             0              0              0              0              0 </w:t>
      </w:r>
      <w:r>
        <w:br/>
      </w:r>
      <w:r>
        <w:rPr>
          <w:rStyle w:val="VerbatimChar"/>
        </w:rPr>
        <w:t xml:space="preserve">           Low          Close         Volume </w:t>
      </w:r>
      <w:r>
        <w:br/>
      </w:r>
      <w:r>
        <w:rPr>
          <w:rStyle w:val="VerbatimChar"/>
        </w:rPr>
        <w:t xml:space="preserve">             0              0              0 </w:t>
      </w:r>
    </w:p>
    <w:p w14:paraId="70ADD5D9" w14:textId="77777777" w:rsidR="00920626" w:rsidRDefault="00000000" w:rsidP="005202D7">
      <w:pPr>
        <w:pStyle w:val="FirstParagraph"/>
        <w:spacing w:line="276" w:lineRule="auto"/>
      </w:pPr>
      <w:r>
        <w:rPr>
          <w:b/>
          <w:bCs/>
        </w:rPr>
        <w:t>Data Structure</w:t>
      </w:r>
      <w:r>
        <w:t>: The dataset contains 658,011 rows and 8 columns, including fields like Unix.Timestamp, Date, Symbol, Open, High, Low, Close, and Volume.</w:t>
      </w:r>
    </w:p>
    <w:p w14:paraId="57F1EA87" w14:textId="77777777" w:rsidR="00920626" w:rsidRDefault="00000000" w:rsidP="005202D7">
      <w:pPr>
        <w:pStyle w:val="BodyText"/>
        <w:spacing w:line="276" w:lineRule="auto"/>
      </w:pPr>
      <w:r>
        <w:rPr>
          <w:b/>
          <w:bCs/>
        </w:rPr>
        <w:t>Important observation</w:t>
      </w:r>
      <w:r>
        <w:t>: There were no missing values identified in any columns, however outliers had to be checked.</w:t>
      </w:r>
    </w:p>
    <w:p w14:paraId="76BF3141" w14:textId="77777777" w:rsidR="00920626" w:rsidRDefault="00000000" w:rsidP="005202D7">
      <w:pPr>
        <w:pStyle w:val="BodyText"/>
        <w:spacing w:line="276" w:lineRule="auto"/>
      </w:pPr>
      <w:r>
        <w:rPr>
          <w:b/>
          <w:bCs/>
        </w:rPr>
        <w:t>To identify potential outliers in numeric columns, boxplots were used to visualize that data:</w:t>
      </w:r>
    </w:p>
    <w:p w14:paraId="1FD18041" w14:textId="77777777" w:rsidR="00920626" w:rsidRDefault="00000000" w:rsidP="005202D7">
      <w:pPr>
        <w:pStyle w:val="SourceCode"/>
        <w:spacing w:line="276" w:lineRule="auto"/>
      </w:pPr>
      <w:r>
        <w:rPr>
          <w:rStyle w:val="NormalTok"/>
        </w:rPr>
        <w:t xml:space="preserve">Gemini </w:t>
      </w:r>
      <w:r>
        <w:rPr>
          <w:rStyle w:val="SpecialCharTok"/>
        </w:rPr>
        <w:t>%&gt;%</w:t>
      </w:r>
      <w:r>
        <w:br/>
      </w:r>
      <w:r>
        <w:rPr>
          <w:rStyle w:val="NormalTok"/>
        </w:rPr>
        <w:t xml:space="preserve">  </w:t>
      </w:r>
      <w:r>
        <w:rPr>
          <w:rStyle w:val="FunctionTok"/>
        </w:rPr>
        <w:t>gather</w:t>
      </w:r>
      <w:r>
        <w:rPr>
          <w:rStyle w:val="NormalTok"/>
        </w:rPr>
        <w:t>(</w:t>
      </w:r>
      <w:r>
        <w:rPr>
          <w:rStyle w:val="AttributeTok"/>
        </w:rPr>
        <w:t>key =</w:t>
      </w:r>
      <w:r>
        <w:rPr>
          <w:rStyle w:val="NormalTok"/>
        </w:rPr>
        <w:t xml:space="preserve"> </w:t>
      </w:r>
      <w:r>
        <w:rPr>
          <w:rStyle w:val="StringTok"/>
        </w:rPr>
        <w:t>"Variable"</w:t>
      </w:r>
      <w:r>
        <w:rPr>
          <w:rStyle w:val="NormalTok"/>
        </w:rPr>
        <w:t xml:space="preserve">, </w:t>
      </w:r>
      <w:r>
        <w:rPr>
          <w:rStyle w:val="AttributeTok"/>
        </w:rPr>
        <w:t>value =</w:t>
      </w:r>
      <w:r>
        <w:rPr>
          <w:rStyle w:val="NormalTok"/>
        </w:rPr>
        <w:t xml:space="preserve"> </w:t>
      </w:r>
      <w:r>
        <w:rPr>
          <w:rStyle w:val="StringTok"/>
        </w:rPr>
        <w:t>"Value"</w:t>
      </w:r>
      <w:r>
        <w:rPr>
          <w:rStyle w:val="NormalTok"/>
        </w:rPr>
        <w:t>, Open</w:t>
      </w:r>
      <w:r>
        <w:rPr>
          <w:rStyle w:val="SpecialCharTok"/>
        </w:rPr>
        <w:t>:</w:t>
      </w:r>
      <w:r>
        <w:rPr>
          <w:rStyle w:val="NormalTok"/>
        </w:rPr>
        <w:t xml:space="preserve">Volume)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Variable, </w:t>
      </w:r>
      <w:r>
        <w:rPr>
          <w:rStyle w:val="AttributeTok"/>
        </w:rPr>
        <w:t>y =</w:t>
      </w:r>
      <w:r>
        <w:rPr>
          <w:rStyle w:val="NormalTok"/>
        </w:rPr>
        <w:t xml:space="preserve"> Value)) </w:t>
      </w:r>
      <w:r>
        <w:rPr>
          <w:rStyle w:val="SpecialCharTok"/>
        </w:rPr>
        <w:t>+</w:t>
      </w:r>
      <w:r>
        <w:br/>
      </w:r>
      <w:r>
        <w:rPr>
          <w:rStyle w:val="NormalTok"/>
        </w:rPr>
        <w:t xml:space="preserve">  </w:t>
      </w:r>
      <w:r>
        <w:rPr>
          <w:rStyle w:val="FunctionTok"/>
        </w:rPr>
        <w:t>geom_boxplot</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"Boxplots for Numeric Variables"</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4331F7FC" w14:textId="77777777" w:rsidR="00920626" w:rsidRDefault="00000000" w:rsidP="005202D7">
      <w:pPr>
        <w:pStyle w:val="FirstParagraph"/>
        <w:spacing w:line="276" w:lineRule="auto"/>
      </w:pPr>
      <w:r>
        <w:rPr>
          <w:noProof/>
        </w:rPr>
        <w:lastRenderedPageBreak/>
        <w:drawing>
          <wp:inline distT="0" distB="0" distL="0" distR="0" wp14:anchorId="607AC1FC" wp14:editId="6070C121">
            <wp:extent cx="4620126" cy="3696101"/>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Final_Report_files/figure-docx/visualizing%20outliers-1.png"/>
                    <pic:cNvPicPr>
                      <a:picLocks noChangeAspect="1" noChangeArrowheads="1"/>
                    </pic:cNvPicPr>
                  </pic:nvPicPr>
                  <pic:blipFill>
                    <a:blip r:embed="rId7"/>
                    <a:stretch>
                      <a:fillRect/>
                    </a:stretch>
                  </pic:blipFill>
                  <pic:spPr bwMode="auto">
                    <a:xfrm>
                      <a:off x="0" y="0"/>
                      <a:ext cx="4620126" cy="3696101"/>
                    </a:xfrm>
                    <a:prstGeom prst="rect">
                      <a:avLst/>
                    </a:prstGeom>
                    <a:noFill/>
                    <a:ln w="9525">
                      <a:noFill/>
                      <a:headEnd/>
                      <a:tailEnd/>
                    </a:ln>
                  </pic:spPr>
                </pic:pic>
              </a:graphicData>
            </a:graphic>
          </wp:inline>
        </w:drawing>
      </w:r>
    </w:p>
    <w:p w14:paraId="6F034520" w14:textId="77777777" w:rsidR="00920626" w:rsidRDefault="00000000" w:rsidP="005202D7">
      <w:pPr>
        <w:pStyle w:val="BodyText"/>
        <w:spacing w:line="276" w:lineRule="auto"/>
      </w:pPr>
      <w:r>
        <w:t>Observations:</w:t>
      </w:r>
    </w:p>
    <w:p w14:paraId="6B7FE0DF" w14:textId="77777777" w:rsidR="00920626" w:rsidRDefault="00000000" w:rsidP="005202D7">
      <w:pPr>
        <w:numPr>
          <w:ilvl w:val="0"/>
          <w:numId w:val="3"/>
        </w:numPr>
        <w:spacing w:line="276" w:lineRule="auto"/>
      </w:pPr>
      <w:r>
        <w:t>The central tendency (median) and spread (interquartile range) for price-related variables show that most values are clustered within a specific range, while a few extreme values are present.</w:t>
      </w:r>
    </w:p>
    <w:p w14:paraId="23E2BBC8" w14:textId="77777777" w:rsidR="00920626" w:rsidRDefault="00000000" w:rsidP="005202D7">
      <w:pPr>
        <w:numPr>
          <w:ilvl w:val="0"/>
          <w:numId w:val="3"/>
        </w:numPr>
        <w:spacing w:line="276" w:lineRule="auto"/>
      </w:pPr>
      <w:r>
        <w:t>Volume data includes extreme outliers, which can distort analyses if not addressed. Winsorization,however, is used to manage these outliers.</w:t>
      </w:r>
    </w:p>
    <w:p w14:paraId="4C4AA95E" w14:textId="77777777" w:rsidR="00920626" w:rsidRPr="005202D7" w:rsidRDefault="00000000" w:rsidP="005202D7">
      <w:pPr>
        <w:pStyle w:val="Heading2"/>
        <w:spacing w:line="276" w:lineRule="auto"/>
        <w:rPr>
          <w:color w:val="auto"/>
        </w:rPr>
      </w:pPr>
      <w:bookmarkStart w:id="8" w:name="data-cleaning"/>
      <w:bookmarkStart w:id="9" w:name="_Toc181820840"/>
      <w:bookmarkEnd w:id="6"/>
      <w:r w:rsidRPr="005202D7">
        <w:rPr>
          <w:color w:val="auto"/>
        </w:rPr>
        <w:t>2.2 Data Cleaning</w:t>
      </w:r>
      <w:bookmarkEnd w:id="9"/>
    </w:p>
    <w:p w14:paraId="67506073" w14:textId="77777777" w:rsidR="00920626" w:rsidRDefault="00000000" w:rsidP="005202D7">
      <w:pPr>
        <w:pStyle w:val="Compact"/>
        <w:numPr>
          <w:ilvl w:val="0"/>
          <w:numId w:val="4"/>
        </w:numPr>
        <w:spacing w:line="276" w:lineRule="auto"/>
      </w:pPr>
      <w:r>
        <w:rPr>
          <w:b/>
          <w:bCs/>
        </w:rPr>
        <w:t>Removing Unnecessary Columns</w:t>
      </w:r>
    </w:p>
    <w:p w14:paraId="11910BCC" w14:textId="77777777" w:rsidR="00920626" w:rsidRDefault="00000000" w:rsidP="005202D7">
      <w:pPr>
        <w:pStyle w:val="SourceCode"/>
        <w:spacing w:line="276" w:lineRule="auto"/>
      </w:pPr>
      <w:r>
        <w:rPr>
          <w:rStyle w:val="NormalTok"/>
        </w:rPr>
        <w:t xml:space="preserve">unique_symbols </w:t>
      </w:r>
      <w:r>
        <w:rPr>
          <w:rStyle w:val="OtherTok"/>
        </w:rPr>
        <w:t>&lt;-</w:t>
      </w:r>
      <w:r>
        <w:rPr>
          <w:rStyle w:val="NormalTok"/>
        </w:rPr>
        <w:t xml:space="preserve"> </w:t>
      </w:r>
      <w:r>
        <w:rPr>
          <w:rStyle w:val="FunctionTok"/>
        </w:rPr>
        <w:t>unique</w:t>
      </w:r>
      <w:r>
        <w:rPr>
          <w:rStyle w:val="NormalTok"/>
        </w:rPr>
        <w:t>(Gemini</w:t>
      </w:r>
      <w:r>
        <w:rPr>
          <w:rStyle w:val="SpecialCharTok"/>
        </w:rPr>
        <w:t>$</w:t>
      </w:r>
      <w:r>
        <w:rPr>
          <w:rStyle w:val="NormalTok"/>
        </w:rPr>
        <w:t>Symbol)</w:t>
      </w:r>
      <w:r>
        <w:br/>
      </w:r>
      <w:r>
        <w:rPr>
          <w:rStyle w:val="FunctionTok"/>
        </w:rPr>
        <w:t>print</w:t>
      </w:r>
      <w:r>
        <w:rPr>
          <w:rStyle w:val="NormalTok"/>
        </w:rPr>
        <w:t>(unique_symbols)</w:t>
      </w:r>
    </w:p>
    <w:p w14:paraId="047E59CB" w14:textId="77777777" w:rsidR="00920626" w:rsidRDefault="00000000" w:rsidP="005202D7">
      <w:pPr>
        <w:pStyle w:val="SourceCode"/>
        <w:spacing w:line="276" w:lineRule="auto"/>
      </w:pPr>
      <w:r>
        <w:rPr>
          <w:rStyle w:val="VerbatimChar"/>
        </w:rPr>
        <w:t>[1] "LTCUSD"</w:t>
      </w:r>
    </w:p>
    <w:p w14:paraId="7E477B90" w14:textId="77777777" w:rsidR="00920626" w:rsidRDefault="00000000" w:rsidP="005202D7">
      <w:pPr>
        <w:pStyle w:val="SourceCode"/>
        <w:spacing w:line="276" w:lineRule="auto"/>
      </w:pPr>
      <w:r>
        <w:rPr>
          <w:rStyle w:val="NormalTok"/>
        </w:rPr>
        <w:t xml:space="preserve">Gemini_clean </w:t>
      </w:r>
      <w:r>
        <w:rPr>
          <w:rStyle w:val="OtherTok"/>
        </w:rPr>
        <w:t>&lt;-</w:t>
      </w:r>
      <w:r>
        <w:rPr>
          <w:rStyle w:val="NormalTok"/>
        </w:rPr>
        <w:t xml:space="preserve"> Gemini </w:t>
      </w:r>
      <w:r>
        <w:rPr>
          <w:rStyle w:val="SpecialCharTok"/>
        </w:rPr>
        <w:t>%&gt;%</w:t>
      </w:r>
      <w:r>
        <w:rPr>
          <w:rStyle w:val="NormalTok"/>
        </w:rPr>
        <w:t xml:space="preserve"> </w:t>
      </w:r>
      <w:r>
        <w:rPr>
          <w:rStyle w:val="FunctionTok"/>
        </w:rPr>
        <w:t>select</w:t>
      </w:r>
      <w:r>
        <w:rPr>
          <w:rStyle w:val="NormalTok"/>
        </w:rPr>
        <w:t>(</w:t>
      </w:r>
      <w:r>
        <w:rPr>
          <w:rStyle w:val="SpecialCharTok"/>
        </w:rPr>
        <w:t>-</w:t>
      </w:r>
      <w:r>
        <w:rPr>
          <w:rStyle w:val="NormalTok"/>
        </w:rPr>
        <w:t>Symbol)</w:t>
      </w:r>
    </w:p>
    <w:p w14:paraId="175C33B5" w14:textId="77777777" w:rsidR="00920626" w:rsidRDefault="00000000" w:rsidP="005202D7">
      <w:pPr>
        <w:pStyle w:val="FirstParagraph"/>
        <w:spacing w:line="276" w:lineRule="auto"/>
      </w:pPr>
      <w:r>
        <w:t>The Symbol column was deemed unnecessary for analysis because there was only 1 type of Symbol for all observation hence why it was removed</w:t>
      </w:r>
    </w:p>
    <w:p w14:paraId="47386BEA" w14:textId="77777777" w:rsidR="00920626" w:rsidRDefault="00000000" w:rsidP="005202D7">
      <w:pPr>
        <w:pStyle w:val="Compact"/>
        <w:numPr>
          <w:ilvl w:val="0"/>
          <w:numId w:val="5"/>
        </w:numPr>
        <w:spacing w:line="276" w:lineRule="auto"/>
      </w:pPr>
      <w:r>
        <w:rPr>
          <w:b/>
          <w:bCs/>
        </w:rPr>
        <w:t>Correcting UniX Timestamp Format</w:t>
      </w:r>
    </w:p>
    <w:p w14:paraId="5A90BC95" w14:textId="77777777" w:rsidR="00920626" w:rsidRDefault="00000000" w:rsidP="005202D7">
      <w:pPr>
        <w:pStyle w:val="FirstParagraph"/>
        <w:spacing w:line="276" w:lineRule="auto"/>
      </w:pPr>
      <w:r>
        <w:t>The Unix timestamp was converted to a more readable DateTime format:</w:t>
      </w:r>
    </w:p>
    <w:p w14:paraId="7D9F9264" w14:textId="77777777" w:rsidR="00920626" w:rsidRDefault="00000000" w:rsidP="005202D7">
      <w:pPr>
        <w:pStyle w:val="SourceCode"/>
        <w:spacing w:line="276" w:lineRule="auto"/>
      </w:pPr>
      <w:r>
        <w:rPr>
          <w:rStyle w:val="CommentTok"/>
        </w:rPr>
        <w:lastRenderedPageBreak/>
        <w:t># Ensure the timestamp is treated as numeric</w:t>
      </w:r>
      <w:r>
        <w:br/>
      </w:r>
      <w:r>
        <w:rPr>
          <w:rStyle w:val="NormalTok"/>
        </w:rPr>
        <w:t>Gemini_clean</w:t>
      </w:r>
      <w:r>
        <w:rPr>
          <w:rStyle w:val="SpecialCharTok"/>
        </w:rPr>
        <w:t>$</w:t>
      </w:r>
      <w:r>
        <w:rPr>
          <w:rStyle w:val="NormalTok"/>
        </w:rPr>
        <w:t xml:space="preserve">Unix.Timestamp </w:t>
      </w:r>
      <w:r>
        <w:rPr>
          <w:rStyle w:val="OtherTok"/>
        </w:rPr>
        <w:t>&lt;-</w:t>
      </w:r>
      <w:r>
        <w:rPr>
          <w:rStyle w:val="NormalTok"/>
        </w:rPr>
        <w:t xml:space="preserve"> </w:t>
      </w:r>
      <w:r>
        <w:rPr>
          <w:rStyle w:val="FunctionTok"/>
        </w:rPr>
        <w:t>as.numeric</w:t>
      </w:r>
      <w:r>
        <w:rPr>
          <w:rStyle w:val="NormalTok"/>
        </w:rPr>
        <w:t>(Gemini_clean</w:t>
      </w:r>
      <w:r>
        <w:rPr>
          <w:rStyle w:val="SpecialCharTok"/>
        </w:rPr>
        <w:t>$</w:t>
      </w:r>
      <w:r>
        <w:rPr>
          <w:rStyle w:val="NormalTok"/>
        </w:rPr>
        <w:t>Unix.Timestamp)</w:t>
      </w:r>
      <w:r>
        <w:br/>
      </w:r>
      <w:r>
        <w:br/>
      </w:r>
      <w:r>
        <w:rPr>
          <w:rStyle w:val="CommentTok"/>
        </w:rPr>
        <w:t># Convert Unix timestamp to a readable date-time format</w:t>
      </w:r>
      <w:r>
        <w:br/>
      </w:r>
      <w:r>
        <w:rPr>
          <w:rStyle w:val="NormalTok"/>
        </w:rPr>
        <w:t xml:space="preserve">Gemini_clean </w:t>
      </w:r>
      <w:r>
        <w:rPr>
          <w:rStyle w:val="OtherTok"/>
        </w:rPr>
        <w:t>&lt;-</w:t>
      </w:r>
      <w:r>
        <w:rPr>
          <w:rStyle w:val="NormalTok"/>
        </w:rPr>
        <w:t xml:space="preserve"> Gemini_clean </w:t>
      </w:r>
      <w:r>
        <w:rPr>
          <w:rStyle w:val="SpecialCharTok"/>
        </w:rPr>
        <w:t>%&gt;%</w:t>
      </w:r>
      <w:r>
        <w:br/>
      </w:r>
      <w:r>
        <w:rPr>
          <w:rStyle w:val="NormalTok"/>
        </w:rPr>
        <w:t xml:space="preserve">  </w:t>
      </w:r>
      <w:r>
        <w:rPr>
          <w:rStyle w:val="FunctionTok"/>
        </w:rPr>
        <w:t>mutate</w:t>
      </w:r>
      <w:r>
        <w:rPr>
          <w:rStyle w:val="NormalTok"/>
        </w:rPr>
        <w:t>(</w:t>
      </w:r>
      <w:r>
        <w:rPr>
          <w:rStyle w:val="AttributeTok"/>
        </w:rPr>
        <w:t>DateTime =</w:t>
      </w:r>
      <w:r>
        <w:rPr>
          <w:rStyle w:val="NormalTok"/>
        </w:rPr>
        <w:t xml:space="preserve"> </w:t>
      </w:r>
      <w:r>
        <w:rPr>
          <w:rStyle w:val="FunctionTok"/>
        </w:rPr>
        <w:t>as.POSIXct</w:t>
      </w:r>
      <w:r>
        <w:rPr>
          <w:rStyle w:val="NormalTok"/>
        </w:rPr>
        <w:t xml:space="preserve">(Unix.Timestamp </w:t>
      </w:r>
      <w:r>
        <w:rPr>
          <w:rStyle w:val="SpecialCharTok"/>
        </w:rPr>
        <w:t>/</w:t>
      </w:r>
      <w:r>
        <w:rPr>
          <w:rStyle w:val="NormalTok"/>
        </w:rPr>
        <w:t xml:space="preserve"> </w:t>
      </w:r>
      <w:r>
        <w:rPr>
          <w:rStyle w:val="DecValTok"/>
        </w:rPr>
        <w:t>1000</w:t>
      </w:r>
      <w:r>
        <w:rPr>
          <w:rStyle w:val="NormalTok"/>
        </w:rPr>
        <w:t xml:space="preserve">, </w:t>
      </w:r>
      <w:r>
        <w:rPr>
          <w:rStyle w:val="AttributeTok"/>
        </w:rPr>
        <w:t>origin =</w:t>
      </w:r>
      <w:r>
        <w:rPr>
          <w:rStyle w:val="NormalTok"/>
        </w:rPr>
        <w:t xml:space="preserve"> </w:t>
      </w:r>
      <w:r>
        <w:rPr>
          <w:rStyle w:val="StringTok"/>
        </w:rPr>
        <w:t>"1970-01-01"</w:t>
      </w:r>
      <w:r>
        <w:rPr>
          <w:rStyle w:val="NormalTok"/>
        </w:rPr>
        <w:t xml:space="preserve">, </w:t>
      </w:r>
      <w:r>
        <w:rPr>
          <w:rStyle w:val="AttributeTok"/>
        </w:rPr>
        <w:t>tz =</w:t>
      </w:r>
      <w:r>
        <w:rPr>
          <w:rStyle w:val="NormalTok"/>
        </w:rPr>
        <w:t xml:space="preserve"> </w:t>
      </w:r>
      <w:r>
        <w:rPr>
          <w:rStyle w:val="StringTok"/>
        </w:rPr>
        <w:t>"UTC"</w:t>
      </w:r>
      <w:r>
        <w:rPr>
          <w:rStyle w:val="NormalTok"/>
        </w:rPr>
        <w:t>))</w:t>
      </w:r>
      <w:r>
        <w:br/>
      </w:r>
      <w:r>
        <w:rPr>
          <w:rStyle w:val="FunctionTok"/>
        </w:rPr>
        <w:t>head</w:t>
      </w:r>
      <w:r>
        <w:rPr>
          <w:rStyle w:val="NormalTok"/>
        </w:rPr>
        <w:t>(Gemini_clean)</w:t>
      </w:r>
    </w:p>
    <w:p w14:paraId="6DC0069A" w14:textId="77777777" w:rsidR="00920626" w:rsidRDefault="00000000" w:rsidP="005202D7">
      <w:pPr>
        <w:pStyle w:val="SourceCode"/>
        <w:spacing w:line="276" w:lineRule="auto"/>
      </w:pPr>
      <w:r>
        <w:rPr>
          <w:rStyle w:val="VerbatimChar"/>
        </w:rPr>
        <w:t xml:space="preserve">  Unix.Timestamp            Date   Open   High    Low  Close    Volume</w:t>
      </w:r>
      <w:r>
        <w:br/>
      </w:r>
      <w:r>
        <w:rPr>
          <w:rStyle w:val="VerbatimChar"/>
        </w:rPr>
        <w:t>1    1.61888e+12  4/20/2021 0:03 260.05 260.05 259.00 259.00 179.16470</w:t>
      </w:r>
      <w:r>
        <w:br/>
      </w:r>
      <w:r>
        <w:rPr>
          <w:rStyle w:val="VerbatimChar"/>
        </w:rPr>
        <w:t>2    1.61888e+12  4/20/2021 0:02 262.77 262.86 260.00 260.05 307.77795</w:t>
      </w:r>
      <w:r>
        <w:br/>
      </w:r>
      <w:r>
        <w:rPr>
          <w:rStyle w:val="VerbatimChar"/>
        </w:rPr>
        <w:t>3    1.61888e+12  4/20/2021 0:01 263.57 264.14 262.77 262.77  11.53982</w:t>
      </w:r>
      <w:r>
        <w:br/>
      </w:r>
      <w:r>
        <w:rPr>
          <w:rStyle w:val="VerbatimChar"/>
        </w:rPr>
        <w:t>4    1.61888e+12  4/20/2021 0:00 261.32 263.76 261.32 263.57 110.88182</w:t>
      </w:r>
      <w:r>
        <w:br/>
      </w:r>
      <w:r>
        <w:rPr>
          <w:rStyle w:val="VerbatimChar"/>
        </w:rPr>
        <w:t>5    1.61888e+12 4/19/2021 23:59 261.87 261.87 261.21 261.32  48.58221</w:t>
      </w:r>
      <w:r>
        <w:br/>
      </w:r>
      <w:r>
        <w:rPr>
          <w:rStyle w:val="VerbatimChar"/>
        </w:rPr>
        <w:t>6    1.61888e+12 4/19/2021 23:58 262.06 262.18 261.66 261.87  34.95519</w:t>
      </w:r>
      <w:r>
        <w:br/>
      </w:r>
      <w:r>
        <w:rPr>
          <w:rStyle w:val="VerbatimChar"/>
        </w:rPr>
        <w:t xml:space="preserve">             DateTime</w:t>
      </w:r>
      <w:r>
        <w:br/>
      </w:r>
      <w:r>
        <w:rPr>
          <w:rStyle w:val="VerbatimChar"/>
        </w:rPr>
        <w:t>1 2021-04-20 00:53:20</w:t>
      </w:r>
      <w:r>
        <w:br/>
      </w:r>
      <w:r>
        <w:rPr>
          <w:rStyle w:val="VerbatimChar"/>
        </w:rPr>
        <w:t>2 2021-04-20 00:53:20</w:t>
      </w:r>
      <w:r>
        <w:br/>
      </w:r>
      <w:r>
        <w:rPr>
          <w:rStyle w:val="VerbatimChar"/>
        </w:rPr>
        <w:t>3 2021-04-20 00:53:20</w:t>
      </w:r>
      <w:r>
        <w:br/>
      </w:r>
      <w:r>
        <w:rPr>
          <w:rStyle w:val="VerbatimChar"/>
        </w:rPr>
        <w:t>4 2021-04-20 00:53:20</w:t>
      </w:r>
      <w:r>
        <w:br/>
      </w:r>
      <w:r>
        <w:rPr>
          <w:rStyle w:val="VerbatimChar"/>
        </w:rPr>
        <w:t>5 2021-04-20 00:53:20</w:t>
      </w:r>
      <w:r>
        <w:br/>
      </w:r>
      <w:r>
        <w:rPr>
          <w:rStyle w:val="VerbatimChar"/>
        </w:rPr>
        <w:t>6 2021-04-20 00:53:20</w:t>
      </w:r>
    </w:p>
    <w:p w14:paraId="7ACA40F2" w14:textId="77777777" w:rsidR="00920626" w:rsidRDefault="00000000" w:rsidP="005202D7">
      <w:pPr>
        <w:pStyle w:val="SourceCode"/>
        <w:spacing w:line="276" w:lineRule="auto"/>
      </w:pPr>
      <w:r>
        <w:rPr>
          <w:rStyle w:val="CommentTok"/>
        </w:rPr>
        <w:t># Summarize the cleaned data</w:t>
      </w:r>
      <w:r>
        <w:br/>
      </w:r>
      <w:r>
        <w:rPr>
          <w:rStyle w:val="FunctionTok"/>
        </w:rPr>
        <w:t>summary</w:t>
      </w:r>
      <w:r>
        <w:rPr>
          <w:rStyle w:val="NormalTok"/>
        </w:rPr>
        <w:t>(Gemini_clean)</w:t>
      </w:r>
    </w:p>
    <w:p w14:paraId="3C2A7F9F" w14:textId="77777777" w:rsidR="00920626" w:rsidRDefault="00000000" w:rsidP="005202D7">
      <w:pPr>
        <w:pStyle w:val="SourceCode"/>
        <w:spacing w:line="276" w:lineRule="auto"/>
      </w:pPr>
      <w:r>
        <w:rPr>
          <w:rStyle w:val="VerbatimChar"/>
        </w:rPr>
        <w:t xml:space="preserve"> Unix.Timestamp          Date                Open             High       </w:t>
      </w:r>
      <w:r>
        <w:br/>
      </w:r>
      <w:r>
        <w:rPr>
          <w:rStyle w:val="VerbatimChar"/>
        </w:rPr>
        <w:t xml:space="preserve"> Min.   :1.578e+12   Length:658011      Min.   : 24.93   Min.   : 25.52  </w:t>
      </w:r>
      <w:r>
        <w:br/>
      </w:r>
      <w:r>
        <w:rPr>
          <w:rStyle w:val="VerbatimChar"/>
        </w:rPr>
        <w:t xml:space="preserve"> 1st Qu.:1.588e+12   Class :character   1st Qu.: 45.54   1st Qu.: 45.55  </w:t>
      </w:r>
      <w:r>
        <w:br/>
      </w:r>
      <w:r>
        <w:rPr>
          <w:rStyle w:val="VerbatimChar"/>
        </w:rPr>
        <w:t xml:space="preserve"> Median :1.599e+12   Mode  :character   Median : 57.95   Median : 57.96  </w:t>
      </w:r>
      <w:r>
        <w:br/>
      </w:r>
      <w:r>
        <w:rPr>
          <w:rStyle w:val="VerbatimChar"/>
        </w:rPr>
        <w:t xml:space="preserve"> Mean   :1.599e+12                      Mean   : 87.28   Mean   : 87.33  </w:t>
      </w:r>
      <w:r>
        <w:br/>
      </w:r>
      <w:r>
        <w:rPr>
          <w:rStyle w:val="VerbatimChar"/>
        </w:rPr>
        <w:t xml:space="preserve"> 3rd Qu.:1.609e+12                      3rd Qu.:124.06   3rd Qu.:124.17  </w:t>
      </w:r>
      <w:r>
        <w:br/>
      </w:r>
      <w:r>
        <w:rPr>
          <w:rStyle w:val="VerbatimChar"/>
        </w:rPr>
        <w:t xml:space="preserve"> Max.   :1.619e+12                      Max.   :335.53   Max.   :335.53  </w:t>
      </w:r>
      <w:r>
        <w:br/>
      </w:r>
      <w:r>
        <w:rPr>
          <w:rStyle w:val="VerbatimChar"/>
        </w:rPr>
        <w:t xml:space="preserve">      Low             Close            Volume       </w:t>
      </w:r>
      <w:r>
        <w:br/>
      </w:r>
      <w:r>
        <w:rPr>
          <w:rStyle w:val="VerbatimChar"/>
        </w:rPr>
        <w:t xml:space="preserve"> Min.   : 24.18   Min.   : 24.93   Min.   :   0.00  </w:t>
      </w:r>
      <w:r>
        <w:br/>
      </w:r>
      <w:r>
        <w:rPr>
          <w:rStyle w:val="VerbatimChar"/>
        </w:rPr>
        <w:t xml:space="preserve"> 1st Qu.: 45.54   1st Qu.: 45.54   1st Qu.:   0.00  </w:t>
      </w:r>
      <w:r>
        <w:br/>
      </w:r>
      <w:r>
        <w:rPr>
          <w:rStyle w:val="VerbatimChar"/>
        </w:rPr>
        <w:t xml:space="preserve"> Median : 57.93   Median : 57.95   Median :   0.00  </w:t>
      </w:r>
      <w:r>
        <w:br/>
      </w:r>
      <w:r>
        <w:rPr>
          <w:rStyle w:val="VerbatimChar"/>
        </w:rPr>
        <w:t xml:space="preserve"> Mean   : 87.23   Mean   : 87.28   Mean   :  17.51  </w:t>
      </w:r>
      <w:r>
        <w:br/>
      </w:r>
      <w:r>
        <w:rPr>
          <w:rStyle w:val="VerbatimChar"/>
        </w:rPr>
        <w:t xml:space="preserve"> 3rd Qu.:123.97   3rd Qu.:124.06   3rd Qu.:   2.28  </w:t>
      </w:r>
      <w:r>
        <w:br/>
      </w:r>
      <w:r>
        <w:rPr>
          <w:rStyle w:val="VerbatimChar"/>
        </w:rPr>
        <w:t xml:space="preserve"> Max.   :334.68   Max.   :335.53   Max.   :7492.38  </w:t>
      </w:r>
      <w:r>
        <w:br/>
      </w:r>
      <w:r>
        <w:rPr>
          <w:rStyle w:val="VerbatimChar"/>
        </w:rPr>
        <w:t xml:space="preserve">    DateTime                     </w:t>
      </w:r>
      <w:r>
        <w:br/>
      </w:r>
      <w:r>
        <w:rPr>
          <w:rStyle w:val="VerbatimChar"/>
        </w:rPr>
        <w:t xml:space="preserve"> Min.   :2020-01-01 00:53:20.00  </w:t>
      </w:r>
      <w:r>
        <w:br/>
      </w:r>
      <w:r>
        <w:rPr>
          <w:rStyle w:val="VerbatimChar"/>
        </w:rPr>
        <w:t xml:space="preserve"> 1st Qu.:2020-05-01 05:13:20.00  </w:t>
      </w:r>
      <w:r>
        <w:br/>
      </w:r>
      <w:r>
        <w:rPr>
          <w:rStyle w:val="VerbatimChar"/>
        </w:rPr>
        <w:lastRenderedPageBreak/>
        <w:t xml:space="preserve"> Median :2020-08-30 12:20:00.00  </w:t>
      </w:r>
      <w:r>
        <w:br/>
      </w:r>
      <w:r>
        <w:rPr>
          <w:rStyle w:val="VerbatimChar"/>
        </w:rPr>
        <w:t xml:space="preserve"> Mean   :2020-08-28 11:24:21.51  </w:t>
      </w:r>
      <w:r>
        <w:br/>
      </w:r>
      <w:r>
        <w:rPr>
          <w:rStyle w:val="VerbatimChar"/>
        </w:rPr>
        <w:t xml:space="preserve"> 3rd Qu.:2020-12-26 16:26:40.00  </w:t>
      </w:r>
      <w:r>
        <w:br/>
      </w:r>
      <w:r>
        <w:rPr>
          <w:rStyle w:val="VerbatimChar"/>
        </w:rPr>
        <w:t xml:space="preserve"> Max.   :2021-04-20 00:53:20.00  </w:t>
      </w:r>
    </w:p>
    <w:p w14:paraId="456ECC68" w14:textId="77777777" w:rsidR="00920626" w:rsidRDefault="00000000" w:rsidP="005202D7">
      <w:pPr>
        <w:spacing w:line="276" w:lineRule="auto"/>
      </w:pPr>
      <w:r>
        <w:br w:type="page"/>
      </w:r>
    </w:p>
    <w:p w14:paraId="46A47CDC" w14:textId="77777777" w:rsidR="00920626" w:rsidRPr="005202D7" w:rsidRDefault="00000000" w:rsidP="005202D7">
      <w:pPr>
        <w:pStyle w:val="Heading1"/>
        <w:spacing w:line="276" w:lineRule="auto"/>
        <w:rPr>
          <w:color w:val="auto"/>
        </w:rPr>
      </w:pPr>
      <w:bookmarkStart w:id="10" w:name="advanced-r-programming"/>
      <w:bookmarkStart w:id="11" w:name="_Toc181820841"/>
      <w:bookmarkEnd w:id="4"/>
      <w:bookmarkEnd w:id="8"/>
      <w:r w:rsidRPr="005202D7">
        <w:rPr>
          <w:color w:val="auto"/>
        </w:rPr>
        <w:lastRenderedPageBreak/>
        <w:t>3. Advanced R Programming</w:t>
      </w:r>
      <w:bookmarkEnd w:id="11"/>
    </w:p>
    <w:p w14:paraId="2F56DDE9" w14:textId="77777777" w:rsidR="00920626" w:rsidRPr="005202D7" w:rsidRDefault="00000000" w:rsidP="005202D7">
      <w:pPr>
        <w:pStyle w:val="FirstParagraph"/>
        <w:spacing w:line="276" w:lineRule="auto"/>
      </w:pPr>
      <w:r w:rsidRPr="005202D7">
        <w:t>This section discusses the advanced techniques and custom functions utilized to streamline the analysis process, particularly focusing on the application of winsorization to handle outliers and enhance data integrity.</w:t>
      </w:r>
    </w:p>
    <w:p w14:paraId="328C1341" w14:textId="77777777" w:rsidR="00920626" w:rsidRPr="005202D7" w:rsidRDefault="00000000" w:rsidP="005202D7">
      <w:pPr>
        <w:pStyle w:val="Heading2"/>
        <w:spacing w:line="276" w:lineRule="auto"/>
        <w:rPr>
          <w:color w:val="auto"/>
        </w:rPr>
      </w:pPr>
      <w:bookmarkStart w:id="12" w:name="winsorization-to-handle-outliers"/>
      <w:bookmarkStart w:id="13" w:name="_Toc181820842"/>
      <w:r w:rsidRPr="005202D7">
        <w:rPr>
          <w:color w:val="auto"/>
        </w:rPr>
        <w:t>3.1 Winsorization to Handle Outliers</w:t>
      </w:r>
      <w:bookmarkEnd w:id="13"/>
    </w:p>
    <w:p w14:paraId="42CB75C3" w14:textId="77777777" w:rsidR="00920626" w:rsidRDefault="00000000" w:rsidP="005202D7">
      <w:pPr>
        <w:pStyle w:val="FirstParagraph"/>
        <w:spacing w:line="276" w:lineRule="auto"/>
      </w:pPr>
      <w:r>
        <w:t>Winsorization addresses extreme outliers, essential for cryptocurrency datasets due to high volatility (Anderson, 2019). Custom winsorization thresholds help preserve normal ranges within each variable.</w:t>
      </w:r>
    </w:p>
    <w:p w14:paraId="127188D1" w14:textId="77777777" w:rsidR="00920626" w:rsidRDefault="00000000" w:rsidP="005202D7">
      <w:pPr>
        <w:pStyle w:val="BodyText"/>
        <w:spacing w:line="276" w:lineRule="auto"/>
      </w:pPr>
      <w:r>
        <w:t>A custom winsorization function, winsorize_manual, was created to cap extreme values and reduce the impact of outliers in the dataset. This function utilizes quantiles to define upper and lower bounds, ensuring that values falling outside these bounds are replaced with the nearest boundary values.</w:t>
      </w:r>
    </w:p>
    <w:p w14:paraId="289A7EA3" w14:textId="77777777" w:rsidR="00920626" w:rsidRDefault="00000000" w:rsidP="005202D7">
      <w:pPr>
        <w:pStyle w:val="SourceCode"/>
        <w:spacing w:line="276" w:lineRule="auto"/>
      </w:pPr>
      <w:r>
        <w:rPr>
          <w:rStyle w:val="NormalTok"/>
        </w:rPr>
        <w:t xml:space="preserve">winsorize_manual </w:t>
      </w:r>
      <w:r>
        <w:rPr>
          <w:rStyle w:val="OtherTok"/>
        </w:rPr>
        <w:t>&lt;-</w:t>
      </w:r>
      <w:r>
        <w:rPr>
          <w:rStyle w:val="NormalTok"/>
        </w:rPr>
        <w:t xml:space="preserve"> </w:t>
      </w:r>
      <w:r>
        <w:rPr>
          <w:rStyle w:val="ControlFlowTok"/>
        </w:rPr>
        <w:t>function</w:t>
      </w:r>
      <w:r>
        <w:rPr>
          <w:rStyle w:val="NormalTok"/>
        </w:rPr>
        <w:t xml:space="preserve">(x, </w:t>
      </w:r>
      <w:r>
        <w:rPr>
          <w:rStyle w:val="AttributeTok"/>
        </w:rPr>
        <w:t>lower_prob =</w:t>
      </w:r>
      <w:r>
        <w:rPr>
          <w:rStyle w:val="NormalTok"/>
        </w:rPr>
        <w:t xml:space="preserve"> </w:t>
      </w:r>
      <w:r>
        <w:rPr>
          <w:rStyle w:val="FloatTok"/>
        </w:rPr>
        <w:t>0.025</w:t>
      </w:r>
      <w:r>
        <w:rPr>
          <w:rStyle w:val="NormalTok"/>
        </w:rPr>
        <w:t xml:space="preserve">, </w:t>
      </w:r>
      <w:r>
        <w:rPr>
          <w:rStyle w:val="AttributeTok"/>
        </w:rPr>
        <w:t>upper_prob =</w:t>
      </w:r>
      <w:r>
        <w:rPr>
          <w:rStyle w:val="NormalTok"/>
        </w:rPr>
        <w:t xml:space="preserve"> </w:t>
      </w:r>
      <w:r>
        <w:rPr>
          <w:rStyle w:val="FloatTok"/>
        </w:rPr>
        <w:t>0.975</w:t>
      </w:r>
      <w:r>
        <w:rPr>
          <w:rStyle w:val="NormalTok"/>
        </w:rPr>
        <w:t>) {</w:t>
      </w:r>
      <w:r>
        <w:br/>
      </w:r>
      <w:r>
        <w:rPr>
          <w:rStyle w:val="NormalTok"/>
        </w:rPr>
        <w:t xml:space="preserve">  lower_bound </w:t>
      </w:r>
      <w:r>
        <w:rPr>
          <w:rStyle w:val="OtherTok"/>
        </w:rPr>
        <w:t>&lt;-</w:t>
      </w:r>
      <w:r>
        <w:rPr>
          <w:rStyle w:val="NormalTok"/>
        </w:rPr>
        <w:t xml:space="preserve"> </w:t>
      </w:r>
      <w:r>
        <w:rPr>
          <w:rStyle w:val="FunctionTok"/>
        </w:rPr>
        <w:t>quantile</w:t>
      </w:r>
      <w:r>
        <w:rPr>
          <w:rStyle w:val="NormalTok"/>
        </w:rPr>
        <w:t xml:space="preserve">(x, </w:t>
      </w:r>
      <w:r>
        <w:rPr>
          <w:rStyle w:val="AttributeTok"/>
        </w:rPr>
        <w:t>probs =</w:t>
      </w:r>
      <w:r>
        <w:rPr>
          <w:rStyle w:val="NormalTok"/>
        </w:rPr>
        <w:t xml:space="preserve"> lower_prob, </w:t>
      </w:r>
      <w:r>
        <w:rPr>
          <w:rStyle w:val="AttributeTok"/>
        </w:rPr>
        <w:t>na.rm =</w:t>
      </w:r>
      <w:r>
        <w:rPr>
          <w:rStyle w:val="NormalTok"/>
        </w:rPr>
        <w:t xml:space="preserve"> </w:t>
      </w:r>
      <w:r>
        <w:rPr>
          <w:rStyle w:val="ConstantTok"/>
        </w:rPr>
        <w:t>TRUE</w:t>
      </w:r>
      <w:r>
        <w:rPr>
          <w:rStyle w:val="NormalTok"/>
        </w:rPr>
        <w:t>)</w:t>
      </w:r>
      <w:r>
        <w:br/>
      </w:r>
      <w:r>
        <w:rPr>
          <w:rStyle w:val="NormalTok"/>
        </w:rPr>
        <w:t xml:space="preserve">  upper_bound </w:t>
      </w:r>
      <w:r>
        <w:rPr>
          <w:rStyle w:val="OtherTok"/>
        </w:rPr>
        <w:t>&lt;-</w:t>
      </w:r>
      <w:r>
        <w:rPr>
          <w:rStyle w:val="NormalTok"/>
        </w:rPr>
        <w:t xml:space="preserve"> </w:t>
      </w:r>
      <w:r>
        <w:rPr>
          <w:rStyle w:val="FunctionTok"/>
        </w:rPr>
        <w:t>quantile</w:t>
      </w:r>
      <w:r>
        <w:rPr>
          <w:rStyle w:val="NormalTok"/>
        </w:rPr>
        <w:t xml:space="preserve">(x, </w:t>
      </w:r>
      <w:r>
        <w:rPr>
          <w:rStyle w:val="AttributeTok"/>
        </w:rPr>
        <w:t>probs =</w:t>
      </w:r>
      <w:r>
        <w:rPr>
          <w:rStyle w:val="NormalTok"/>
        </w:rPr>
        <w:t xml:space="preserve"> upper_prob, </w:t>
      </w:r>
      <w:r>
        <w:rPr>
          <w:rStyle w:val="AttributeTok"/>
        </w:rPr>
        <w:t>na.rm =</w:t>
      </w:r>
      <w:r>
        <w:rPr>
          <w:rStyle w:val="NormalTok"/>
        </w:rPr>
        <w:t xml:space="preserve"> </w:t>
      </w:r>
      <w:r>
        <w:rPr>
          <w:rStyle w:val="ConstantTok"/>
        </w:rPr>
        <w:t>TRUE</w:t>
      </w:r>
      <w:r>
        <w:rPr>
          <w:rStyle w:val="NormalTok"/>
        </w:rPr>
        <w:t>)</w:t>
      </w:r>
      <w:r>
        <w:br/>
      </w:r>
      <w:r>
        <w:rPr>
          <w:rStyle w:val="NormalTok"/>
        </w:rPr>
        <w:t xml:space="preserve">  x_winsorized </w:t>
      </w:r>
      <w:r>
        <w:rPr>
          <w:rStyle w:val="OtherTok"/>
        </w:rPr>
        <w:t>&lt;-</w:t>
      </w:r>
      <w:r>
        <w:rPr>
          <w:rStyle w:val="NormalTok"/>
        </w:rPr>
        <w:t xml:space="preserve"> </w:t>
      </w:r>
      <w:r>
        <w:rPr>
          <w:rStyle w:val="FunctionTok"/>
        </w:rPr>
        <w:t>pmin</w:t>
      </w:r>
      <w:r>
        <w:rPr>
          <w:rStyle w:val="NormalTok"/>
        </w:rPr>
        <w:t>(</w:t>
      </w:r>
      <w:r>
        <w:rPr>
          <w:rStyle w:val="FunctionTok"/>
        </w:rPr>
        <w:t>pmax</w:t>
      </w:r>
      <w:r>
        <w:rPr>
          <w:rStyle w:val="NormalTok"/>
        </w:rPr>
        <w:t xml:space="preserve">(x, lower_bound), upper_bound)  </w:t>
      </w:r>
      <w:r>
        <w:rPr>
          <w:rStyle w:val="CommentTok"/>
        </w:rPr>
        <w:t># Cap values</w:t>
      </w:r>
      <w:r>
        <w:br/>
      </w:r>
      <w:r>
        <w:rPr>
          <w:rStyle w:val="NormalTok"/>
        </w:rPr>
        <w:t xml:space="preserve">  </w:t>
      </w:r>
      <w:r>
        <w:rPr>
          <w:rStyle w:val="FunctionTok"/>
        </w:rPr>
        <w:t>return</w:t>
      </w:r>
      <w:r>
        <w:rPr>
          <w:rStyle w:val="NormalTok"/>
        </w:rPr>
        <w:t>(x_winsorized)</w:t>
      </w:r>
      <w:r>
        <w:br/>
      </w:r>
      <w:r>
        <w:rPr>
          <w:rStyle w:val="NormalTok"/>
        </w:rPr>
        <w:t>}</w:t>
      </w:r>
    </w:p>
    <w:p w14:paraId="49F8FC58" w14:textId="77777777" w:rsidR="00920626" w:rsidRDefault="00000000" w:rsidP="005202D7">
      <w:pPr>
        <w:pStyle w:val="FirstParagraph"/>
        <w:spacing w:line="276" w:lineRule="auto"/>
      </w:pPr>
      <w:r>
        <w:t>Thresholds Choice: A 1%???99% threshold for Volume accommodates natural variance, while a 2.5%???97.5% range better suits price variables, typically less volatile (Hoaglin, Iglewicz and Tukey, 2000)</w:t>
      </w:r>
    </w:p>
    <w:p w14:paraId="6FF5A098" w14:textId="77777777" w:rsidR="00920626" w:rsidRPr="005202D7" w:rsidRDefault="00000000" w:rsidP="005202D7">
      <w:pPr>
        <w:pStyle w:val="Heading3"/>
        <w:spacing w:line="276" w:lineRule="auto"/>
        <w:rPr>
          <w:color w:val="auto"/>
        </w:rPr>
      </w:pPr>
      <w:bookmarkStart w:id="14" w:name="winsorization-probabilities"/>
      <w:r w:rsidRPr="005202D7">
        <w:rPr>
          <w:color w:val="auto"/>
        </w:rPr>
        <w:t>3.1.1 Winsorization Probabilities</w:t>
      </w:r>
    </w:p>
    <w:p w14:paraId="3D1EE540" w14:textId="77777777" w:rsidR="00920626" w:rsidRDefault="00000000" w:rsidP="005202D7">
      <w:pPr>
        <w:pStyle w:val="FirstParagraph"/>
        <w:spacing w:line="276" w:lineRule="auto"/>
      </w:pPr>
      <w:r>
        <w:t>Winsorization probabilities were defined to specify how extreme values should be treated for different variables:</w:t>
      </w:r>
    </w:p>
    <w:p w14:paraId="654D8FCE" w14:textId="77777777" w:rsidR="00920626" w:rsidRDefault="00000000" w:rsidP="005202D7">
      <w:pPr>
        <w:pStyle w:val="SourceCode"/>
        <w:spacing w:line="276" w:lineRule="auto"/>
      </w:pPr>
      <w:r>
        <w:rPr>
          <w:rStyle w:val="NormalTok"/>
        </w:rPr>
        <w:t xml:space="preserve">winsorization_probs </w:t>
      </w:r>
      <w:r>
        <w:rPr>
          <w:rStyle w:val="OtherTok"/>
        </w:rPr>
        <w:t>&lt;-</w:t>
      </w:r>
      <w:r>
        <w:rPr>
          <w:rStyle w:val="NormalTok"/>
        </w:rPr>
        <w:t xml:space="preserve"> </w:t>
      </w:r>
      <w:r>
        <w:rPr>
          <w:rStyle w:val="FunctionTok"/>
        </w:rPr>
        <w:t>list</w:t>
      </w:r>
      <w:r>
        <w:rPr>
          <w:rStyle w:val="NormalTok"/>
        </w:rPr>
        <w:t>(</w:t>
      </w:r>
      <w:r>
        <w:br/>
      </w:r>
      <w:r>
        <w:rPr>
          <w:rStyle w:val="NormalTok"/>
        </w:rPr>
        <w:t xml:space="preserve">  </w:t>
      </w:r>
      <w:r>
        <w:rPr>
          <w:rStyle w:val="AttributeTok"/>
        </w:rPr>
        <w:t>Open =</w:t>
      </w:r>
      <w:r>
        <w:rPr>
          <w:rStyle w:val="NormalTok"/>
        </w:rPr>
        <w:t xml:space="preserve"> </w:t>
      </w:r>
      <w:r>
        <w:rPr>
          <w:rStyle w:val="FunctionTok"/>
        </w:rPr>
        <w:t>c</w:t>
      </w:r>
      <w:r>
        <w:rPr>
          <w:rStyle w:val="NormalTok"/>
        </w:rPr>
        <w:t>(</w:t>
      </w:r>
      <w:r>
        <w:rPr>
          <w:rStyle w:val="FloatTok"/>
        </w:rPr>
        <w:t>0.025</w:t>
      </w:r>
      <w:r>
        <w:rPr>
          <w:rStyle w:val="NormalTok"/>
        </w:rPr>
        <w:t xml:space="preserve">, </w:t>
      </w:r>
      <w:r>
        <w:rPr>
          <w:rStyle w:val="FloatTok"/>
        </w:rPr>
        <w:t>0.975</w:t>
      </w:r>
      <w:r>
        <w:rPr>
          <w:rStyle w:val="NormalTok"/>
        </w:rPr>
        <w:t>),</w:t>
      </w:r>
      <w:r>
        <w:br/>
      </w:r>
      <w:r>
        <w:rPr>
          <w:rStyle w:val="NormalTok"/>
        </w:rPr>
        <w:t xml:space="preserve">  </w:t>
      </w:r>
      <w:r>
        <w:rPr>
          <w:rStyle w:val="AttributeTok"/>
        </w:rPr>
        <w:t>High =</w:t>
      </w:r>
      <w:r>
        <w:rPr>
          <w:rStyle w:val="NormalTok"/>
        </w:rPr>
        <w:t xml:space="preserve"> </w:t>
      </w:r>
      <w:r>
        <w:rPr>
          <w:rStyle w:val="FunctionTok"/>
        </w:rPr>
        <w:t>c</w:t>
      </w:r>
      <w:r>
        <w:rPr>
          <w:rStyle w:val="NormalTok"/>
        </w:rPr>
        <w:t>(</w:t>
      </w:r>
      <w:r>
        <w:rPr>
          <w:rStyle w:val="FloatTok"/>
        </w:rPr>
        <w:t>0.025</w:t>
      </w:r>
      <w:r>
        <w:rPr>
          <w:rStyle w:val="NormalTok"/>
        </w:rPr>
        <w:t xml:space="preserve">, </w:t>
      </w:r>
      <w:r>
        <w:rPr>
          <w:rStyle w:val="FloatTok"/>
        </w:rPr>
        <w:t>0.975</w:t>
      </w:r>
      <w:r>
        <w:rPr>
          <w:rStyle w:val="NormalTok"/>
        </w:rPr>
        <w:t>),</w:t>
      </w:r>
      <w:r>
        <w:br/>
      </w:r>
      <w:r>
        <w:rPr>
          <w:rStyle w:val="NormalTok"/>
        </w:rPr>
        <w:t xml:space="preserve">  </w:t>
      </w:r>
      <w:r>
        <w:rPr>
          <w:rStyle w:val="AttributeTok"/>
        </w:rPr>
        <w:t>Low =</w:t>
      </w:r>
      <w:r>
        <w:rPr>
          <w:rStyle w:val="NormalTok"/>
        </w:rPr>
        <w:t xml:space="preserve"> </w:t>
      </w:r>
      <w:r>
        <w:rPr>
          <w:rStyle w:val="FunctionTok"/>
        </w:rPr>
        <w:t>c</w:t>
      </w:r>
      <w:r>
        <w:rPr>
          <w:rStyle w:val="NormalTok"/>
        </w:rPr>
        <w:t>(</w:t>
      </w:r>
      <w:r>
        <w:rPr>
          <w:rStyle w:val="FloatTok"/>
        </w:rPr>
        <w:t>0.025</w:t>
      </w:r>
      <w:r>
        <w:rPr>
          <w:rStyle w:val="NormalTok"/>
        </w:rPr>
        <w:t xml:space="preserve">, </w:t>
      </w:r>
      <w:r>
        <w:rPr>
          <w:rStyle w:val="FloatTok"/>
        </w:rPr>
        <w:t>0.975</w:t>
      </w:r>
      <w:r>
        <w:rPr>
          <w:rStyle w:val="NormalTok"/>
        </w:rPr>
        <w:t>),</w:t>
      </w:r>
      <w:r>
        <w:br/>
      </w:r>
      <w:r>
        <w:rPr>
          <w:rStyle w:val="NormalTok"/>
        </w:rPr>
        <w:t xml:space="preserve">  </w:t>
      </w:r>
      <w:r>
        <w:rPr>
          <w:rStyle w:val="AttributeTok"/>
        </w:rPr>
        <w:t>Close =</w:t>
      </w:r>
      <w:r>
        <w:rPr>
          <w:rStyle w:val="NormalTok"/>
        </w:rPr>
        <w:t xml:space="preserve"> </w:t>
      </w:r>
      <w:r>
        <w:rPr>
          <w:rStyle w:val="FunctionTok"/>
        </w:rPr>
        <w:t>c</w:t>
      </w:r>
      <w:r>
        <w:rPr>
          <w:rStyle w:val="NormalTok"/>
        </w:rPr>
        <w:t>(</w:t>
      </w:r>
      <w:r>
        <w:rPr>
          <w:rStyle w:val="FloatTok"/>
        </w:rPr>
        <w:t>0.025</w:t>
      </w:r>
      <w:r>
        <w:rPr>
          <w:rStyle w:val="NormalTok"/>
        </w:rPr>
        <w:t xml:space="preserve">, </w:t>
      </w:r>
      <w:r>
        <w:rPr>
          <w:rStyle w:val="FloatTok"/>
        </w:rPr>
        <w:t>0.975</w:t>
      </w:r>
      <w:r>
        <w:rPr>
          <w:rStyle w:val="NormalTok"/>
        </w:rPr>
        <w:t>),</w:t>
      </w:r>
      <w:r>
        <w:br/>
      </w:r>
      <w:r>
        <w:rPr>
          <w:rStyle w:val="NormalTok"/>
        </w:rPr>
        <w:t xml:space="preserve">  </w:t>
      </w:r>
      <w:r>
        <w:rPr>
          <w:rStyle w:val="AttributeTok"/>
        </w:rPr>
        <w:t>Volume =</w:t>
      </w:r>
      <w:r>
        <w:rPr>
          <w:rStyle w:val="NormalTok"/>
        </w:rPr>
        <w:t xml:space="preserve"> </w:t>
      </w:r>
      <w:r>
        <w:rPr>
          <w:rStyle w:val="FunctionTok"/>
        </w:rPr>
        <w:t>c</w:t>
      </w:r>
      <w:r>
        <w:rPr>
          <w:rStyle w:val="NormalTok"/>
        </w:rPr>
        <w:t>(</w:t>
      </w:r>
      <w:r>
        <w:rPr>
          <w:rStyle w:val="FloatTok"/>
        </w:rPr>
        <w:t>0.01</w:t>
      </w:r>
      <w:r>
        <w:rPr>
          <w:rStyle w:val="NormalTok"/>
        </w:rPr>
        <w:t xml:space="preserve">, </w:t>
      </w:r>
      <w:r>
        <w:rPr>
          <w:rStyle w:val="FloatTok"/>
        </w:rPr>
        <w:t>0.99</w:t>
      </w:r>
      <w:r>
        <w:rPr>
          <w:rStyle w:val="NormalTok"/>
        </w:rPr>
        <w:t xml:space="preserve">)  </w:t>
      </w:r>
      <w:r>
        <w:rPr>
          <w:rStyle w:val="CommentTok"/>
        </w:rPr>
        <w:t># Higher probability for Volume</w:t>
      </w:r>
      <w:r>
        <w:br/>
      </w:r>
      <w:r>
        <w:rPr>
          <w:rStyle w:val="NormalTok"/>
        </w:rPr>
        <w:t>)</w:t>
      </w:r>
    </w:p>
    <w:p w14:paraId="6B92BD95" w14:textId="77777777" w:rsidR="00920626" w:rsidRPr="005202D7" w:rsidRDefault="00000000" w:rsidP="005202D7">
      <w:pPr>
        <w:pStyle w:val="Heading3"/>
        <w:spacing w:line="276" w:lineRule="auto"/>
        <w:rPr>
          <w:color w:val="auto"/>
        </w:rPr>
      </w:pPr>
      <w:bookmarkStart w:id="15" w:name="applying-winsorization"/>
      <w:bookmarkEnd w:id="14"/>
      <w:r w:rsidRPr="005202D7">
        <w:rPr>
          <w:color w:val="auto"/>
        </w:rPr>
        <w:lastRenderedPageBreak/>
        <w:t>3.1.2 Applying Winsorization</w:t>
      </w:r>
    </w:p>
    <w:p w14:paraId="777FDE9C" w14:textId="77777777" w:rsidR="00920626" w:rsidRDefault="00000000" w:rsidP="005202D7">
      <w:pPr>
        <w:pStyle w:val="FirstParagraph"/>
        <w:spacing w:line="276" w:lineRule="auto"/>
      </w:pPr>
      <w:r>
        <w:t xml:space="preserve">The </w:t>
      </w:r>
      <w:proofErr w:type="gramStart"/>
      <w:r>
        <w:t>custom</w:t>
      </w:r>
      <w:proofErr w:type="gramEnd"/>
      <w:r>
        <w:t xml:space="preserve"> winsorization function was applied to the cleaned dataset. Each variable was transformed according to its respective thresholds to reduce the impact of extreme outliers:</w:t>
      </w:r>
    </w:p>
    <w:p w14:paraId="7F8BECA5" w14:textId="77777777" w:rsidR="00920626" w:rsidRDefault="00000000" w:rsidP="005202D7">
      <w:pPr>
        <w:pStyle w:val="SourceCode"/>
        <w:spacing w:line="276" w:lineRule="auto"/>
      </w:pPr>
      <w:r>
        <w:rPr>
          <w:rStyle w:val="NormalTok"/>
        </w:rPr>
        <w:t xml:space="preserve">Gemini_winsorized </w:t>
      </w:r>
      <w:r>
        <w:rPr>
          <w:rStyle w:val="OtherTok"/>
        </w:rPr>
        <w:t>&lt;-</w:t>
      </w:r>
      <w:r>
        <w:rPr>
          <w:rStyle w:val="NormalTok"/>
        </w:rPr>
        <w:t xml:space="preserve"> Gemini_clean </w:t>
      </w:r>
      <w:r>
        <w:rPr>
          <w:rStyle w:val="SpecialCharTok"/>
        </w:rPr>
        <w:t>%&gt;%</w:t>
      </w:r>
      <w:r>
        <w:br/>
      </w:r>
      <w:r>
        <w:rPr>
          <w:rStyle w:val="NormalTok"/>
        </w:rPr>
        <w:t xml:space="preserve">  </w:t>
      </w:r>
      <w:r>
        <w:rPr>
          <w:rStyle w:val="FunctionTok"/>
        </w:rPr>
        <w:t>mutate</w:t>
      </w:r>
      <w:r>
        <w:rPr>
          <w:rStyle w:val="NormalTok"/>
        </w:rPr>
        <w:t>(</w:t>
      </w:r>
      <w:r>
        <w:br/>
      </w:r>
      <w:r>
        <w:rPr>
          <w:rStyle w:val="NormalTok"/>
        </w:rPr>
        <w:t xml:space="preserve">    </w:t>
      </w:r>
      <w:r>
        <w:rPr>
          <w:rStyle w:val="AttributeTok"/>
        </w:rPr>
        <w:t>Open =</w:t>
      </w:r>
      <w:r>
        <w:rPr>
          <w:rStyle w:val="NormalTok"/>
        </w:rPr>
        <w:t xml:space="preserve"> </w:t>
      </w:r>
      <w:r>
        <w:rPr>
          <w:rStyle w:val="FunctionTok"/>
        </w:rPr>
        <w:t>winsorize_manual</w:t>
      </w:r>
      <w:r>
        <w:rPr>
          <w:rStyle w:val="NormalTok"/>
        </w:rPr>
        <w:t>(Open, winsorization_probs</w:t>
      </w:r>
      <w:r>
        <w:rPr>
          <w:rStyle w:val="SpecialCharTok"/>
        </w:rPr>
        <w:t>$</w:t>
      </w:r>
      <w:r>
        <w:rPr>
          <w:rStyle w:val="NormalTok"/>
        </w:rPr>
        <w:t>Open[</w:t>
      </w:r>
      <w:r>
        <w:rPr>
          <w:rStyle w:val="DecValTok"/>
        </w:rPr>
        <w:t>1</w:t>
      </w:r>
      <w:r>
        <w:rPr>
          <w:rStyle w:val="NormalTok"/>
        </w:rPr>
        <w:t>], winsorization_probs</w:t>
      </w:r>
      <w:r>
        <w:rPr>
          <w:rStyle w:val="SpecialCharTok"/>
        </w:rPr>
        <w:t>$</w:t>
      </w:r>
      <w:r>
        <w:rPr>
          <w:rStyle w:val="NormalTok"/>
        </w:rPr>
        <w:t>Open[</w:t>
      </w:r>
      <w:r>
        <w:rPr>
          <w:rStyle w:val="DecValTok"/>
        </w:rPr>
        <w:t>2</w:t>
      </w:r>
      <w:r>
        <w:rPr>
          <w:rStyle w:val="NormalTok"/>
        </w:rPr>
        <w:t>]),</w:t>
      </w:r>
      <w:r>
        <w:br/>
      </w:r>
      <w:r>
        <w:rPr>
          <w:rStyle w:val="NormalTok"/>
        </w:rPr>
        <w:t xml:space="preserve">    </w:t>
      </w:r>
      <w:r>
        <w:rPr>
          <w:rStyle w:val="AttributeTok"/>
        </w:rPr>
        <w:t>High =</w:t>
      </w:r>
      <w:r>
        <w:rPr>
          <w:rStyle w:val="NormalTok"/>
        </w:rPr>
        <w:t xml:space="preserve"> </w:t>
      </w:r>
      <w:r>
        <w:rPr>
          <w:rStyle w:val="FunctionTok"/>
        </w:rPr>
        <w:t>winsorize_manual</w:t>
      </w:r>
      <w:r>
        <w:rPr>
          <w:rStyle w:val="NormalTok"/>
        </w:rPr>
        <w:t>(High, winsorization_probs</w:t>
      </w:r>
      <w:r>
        <w:rPr>
          <w:rStyle w:val="SpecialCharTok"/>
        </w:rPr>
        <w:t>$</w:t>
      </w:r>
      <w:r>
        <w:rPr>
          <w:rStyle w:val="NormalTok"/>
        </w:rPr>
        <w:t>High[</w:t>
      </w:r>
      <w:r>
        <w:rPr>
          <w:rStyle w:val="DecValTok"/>
        </w:rPr>
        <w:t>1</w:t>
      </w:r>
      <w:r>
        <w:rPr>
          <w:rStyle w:val="NormalTok"/>
        </w:rPr>
        <w:t>], winsorization_probs</w:t>
      </w:r>
      <w:r>
        <w:rPr>
          <w:rStyle w:val="SpecialCharTok"/>
        </w:rPr>
        <w:t>$</w:t>
      </w:r>
      <w:r>
        <w:rPr>
          <w:rStyle w:val="NormalTok"/>
        </w:rPr>
        <w:t>High[</w:t>
      </w:r>
      <w:r>
        <w:rPr>
          <w:rStyle w:val="DecValTok"/>
        </w:rPr>
        <w:t>2</w:t>
      </w:r>
      <w:r>
        <w:rPr>
          <w:rStyle w:val="NormalTok"/>
        </w:rPr>
        <w:t>]),</w:t>
      </w:r>
      <w:r>
        <w:br/>
      </w:r>
      <w:r>
        <w:rPr>
          <w:rStyle w:val="NormalTok"/>
        </w:rPr>
        <w:t xml:space="preserve">    </w:t>
      </w:r>
      <w:r>
        <w:rPr>
          <w:rStyle w:val="AttributeTok"/>
        </w:rPr>
        <w:t>Low =</w:t>
      </w:r>
      <w:r>
        <w:rPr>
          <w:rStyle w:val="NormalTok"/>
        </w:rPr>
        <w:t xml:space="preserve"> </w:t>
      </w:r>
      <w:r>
        <w:rPr>
          <w:rStyle w:val="FunctionTok"/>
        </w:rPr>
        <w:t>winsorize_manual</w:t>
      </w:r>
      <w:r>
        <w:rPr>
          <w:rStyle w:val="NormalTok"/>
        </w:rPr>
        <w:t>(Low, winsorization_probs</w:t>
      </w:r>
      <w:r>
        <w:rPr>
          <w:rStyle w:val="SpecialCharTok"/>
        </w:rPr>
        <w:t>$</w:t>
      </w:r>
      <w:r>
        <w:rPr>
          <w:rStyle w:val="NormalTok"/>
        </w:rPr>
        <w:t>Low[</w:t>
      </w:r>
      <w:r>
        <w:rPr>
          <w:rStyle w:val="DecValTok"/>
        </w:rPr>
        <w:t>1</w:t>
      </w:r>
      <w:r>
        <w:rPr>
          <w:rStyle w:val="NormalTok"/>
        </w:rPr>
        <w:t>], winsorization_probs</w:t>
      </w:r>
      <w:r>
        <w:rPr>
          <w:rStyle w:val="SpecialCharTok"/>
        </w:rPr>
        <w:t>$</w:t>
      </w:r>
      <w:r>
        <w:rPr>
          <w:rStyle w:val="NormalTok"/>
        </w:rPr>
        <w:t>Low[</w:t>
      </w:r>
      <w:r>
        <w:rPr>
          <w:rStyle w:val="DecValTok"/>
        </w:rPr>
        <w:t>2</w:t>
      </w:r>
      <w:r>
        <w:rPr>
          <w:rStyle w:val="NormalTok"/>
        </w:rPr>
        <w:t>]),</w:t>
      </w:r>
      <w:r>
        <w:br/>
      </w:r>
      <w:r>
        <w:rPr>
          <w:rStyle w:val="NormalTok"/>
        </w:rPr>
        <w:t xml:space="preserve">    </w:t>
      </w:r>
      <w:r>
        <w:rPr>
          <w:rStyle w:val="AttributeTok"/>
        </w:rPr>
        <w:t>Close =</w:t>
      </w:r>
      <w:r>
        <w:rPr>
          <w:rStyle w:val="NormalTok"/>
        </w:rPr>
        <w:t xml:space="preserve"> </w:t>
      </w:r>
      <w:r>
        <w:rPr>
          <w:rStyle w:val="FunctionTok"/>
        </w:rPr>
        <w:t>winsorize_manual</w:t>
      </w:r>
      <w:r>
        <w:rPr>
          <w:rStyle w:val="NormalTok"/>
        </w:rPr>
        <w:t>(Close, winsorization_probs</w:t>
      </w:r>
      <w:r>
        <w:rPr>
          <w:rStyle w:val="SpecialCharTok"/>
        </w:rPr>
        <w:t>$</w:t>
      </w:r>
      <w:r>
        <w:rPr>
          <w:rStyle w:val="NormalTok"/>
        </w:rPr>
        <w:t>Close[</w:t>
      </w:r>
      <w:r>
        <w:rPr>
          <w:rStyle w:val="DecValTok"/>
        </w:rPr>
        <w:t>1</w:t>
      </w:r>
      <w:r>
        <w:rPr>
          <w:rStyle w:val="NormalTok"/>
        </w:rPr>
        <w:t>], winsorization_probs</w:t>
      </w:r>
      <w:r>
        <w:rPr>
          <w:rStyle w:val="SpecialCharTok"/>
        </w:rPr>
        <w:t>$</w:t>
      </w:r>
      <w:r>
        <w:rPr>
          <w:rStyle w:val="NormalTok"/>
        </w:rPr>
        <w:t>Close[</w:t>
      </w:r>
      <w:r>
        <w:rPr>
          <w:rStyle w:val="DecValTok"/>
        </w:rPr>
        <w:t>2</w:t>
      </w:r>
      <w:r>
        <w:rPr>
          <w:rStyle w:val="NormalTok"/>
        </w:rPr>
        <w:t>]),</w:t>
      </w:r>
      <w:r>
        <w:br/>
      </w:r>
      <w:r>
        <w:rPr>
          <w:rStyle w:val="NormalTok"/>
        </w:rPr>
        <w:t xml:space="preserve">    </w:t>
      </w:r>
      <w:r>
        <w:rPr>
          <w:rStyle w:val="AttributeTok"/>
        </w:rPr>
        <w:t>Volume =</w:t>
      </w:r>
      <w:r>
        <w:rPr>
          <w:rStyle w:val="NormalTok"/>
        </w:rPr>
        <w:t xml:space="preserve"> </w:t>
      </w:r>
      <w:r>
        <w:rPr>
          <w:rStyle w:val="FunctionTok"/>
        </w:rPr>
        <w:t>winsorize_manual</w:t>
      </w:r>
      <w:r>
        <w:rPr>
          <w:rStyle w:val="NormalTok"/>
        </w:rPr>
        <w:t>(Volume, winsorization_probs</w:t>
      </w:r>
      <w:r>
        <w:rPr>
          <w:rStyle w:val="SpecialCharTok"/>
        </w:rPr>
        <w:t>$</w:t>
      </w:r>
      <w:r>
        <w:rPr>
          <w:rStyle w:val="NormalTok"/>
        </w:rPr>
        <w:t>Volume[</w:t>
      </w:r>
      <w:r>
        <w:rPr>
          <w:rStyle w:val="DecValTok"/>
        </w:rPr>
        <w:t>1</w:t>
      </w:r>
      <w:r>
        <w:rPr>
          <w:rStyle w:val="NormalTok"/>
        </w:rPr>
        <w:t>], winsorization_probs</w:t>
      </w:r>
      <w:r>
        <w:rPr>
          <w:rStyle w:val="SpecialCharTok"/>
        </w:rPr>
        <w:t>$</w:t>
      </w:r>
      <w:r>
        <w:rPr>
          <w:rStyle w:val="NormalTok"/>
        </w:rPr>
        <w:t>Volume[</w:t>
      </w:r>
      <w:r>
        <w:rPr>
          <w:rStyle w:val="DecValTok"/>
        </w:rPr>
        <w:t>2</w:t>
      </w:r>
      <w:r>
        <w:rPr>
          <w:rStyle w:val="NormalTok"/>
        </w:rPr>
        <w:t>])</w:t>
      </w:r>
      <w:r>
        <w:br/>
      </w:r>
      <w:r>
        <w:rPr>
          <w:rStyle w:val="NormalTok"/>
        </w:rPr>
        <w:t xml:space="preserve">  )</w:t>
      </w:r>
      <w:r>
        <w:br/>
      </w:r>
      <w:r>
        <w:br/>
      </w:r>
      <w:r>
        <w:rPr>
          <w:rStyle w:val="CommentTok"/>
        </w:rPr>
        <w:t># Check summary to confirm winsorization results</w:t>
      </w:r>
      <w:r>
        <w:br/>
      </w:r>
      <w:r>
        <w:rPr>
          <w:rStyle w:val="FunctionTok"/>
        </w:rPr>
        <w:t>summary</w:t>
      </w:r>
      <w:r>
        <w:rPr>
          <w:rStyle w:val="NormalTok"/>
        </w:rPr>
        <w:t>(Gemini_winsorized)</w:t>
      </w:r>
    </w:p>
    <w:p w14:paraId="36027E63" w14:textId="77777777" w:rsidR="00920626" w:rsidRDefault="00000000" w:rsidP="005202D7">
      <w:pPr>
        <w:pStyle w:val="SourceCode"/>
        <w:spacing w:line="276" w:lineRule="auto"/>
      </w:pPr>
      <w:r>
        <w:rPr>
          <w:rStyle w:val="VerbatimChar"/>
        </w:rPr>
        <w:t xml:space="preserve"> Unix.Timestamp          Date                Open             High       </w:t>
      </w:r>
      <w:r>
        <w:br/>
      </w:r>
      <w:r>
        <w:rPr>
          <w:rStyle w:val="VerbatimChar"/>
        </w:rPr>
        <w:t xml:space="preserve"> Min.   :1.578e+12   Length:658011      Min.   : 38.39   Min.   : 38.40  </w:t>
      </w:r>
      <w:r>
        <w:br/>
      </w:r>
      <w:r>
        <w:rPr>
          <w:rStyle w:val="VerbatimChar"/>
        </w:rPr>
        <w:t xml:space="preserve"> 1st Qu.:1.588e+12   Class :character   1st Qu.: 45.54   1st Qu.: 45.55  </w:t>
      </w:r>
      <w:r>
        <w:br/>
      </w:r>
      <w:r>
        <w:rPr>
          <w:rStyle w:val="VerbatimChar"/>
        </w:rPr>
        <w:t xml:space="preserve"> Median :1.599e+12   Mode  :character   Median : 57.95   Median : 57.96  </w:t>
      </w:r>
      <w:r>
        <w:br/>
      </w:r>
      <w:r>
        <w:rPr>
          <w:rStyle w:val="VerbatimChar"/>
        </w:rPr>
        <w:t xml:space="preserve"> Mean   :1.599e+12                      Mean   : 86.54   Mean   : 86.59  </w:t>
      </w:r>
      <w:r>
        <w:br/>
      </w:r>
      <w:r>
        <w:rPr>
          <w:rStyle w:val="VerbatimChar"/>
        </w:rPr>
        <w:t xml:space="preserve"> 3rd Qu.:1.609e+12                      3rd Qu.:124.06   3rd Qu.:124.17  </w:t>
      </w:r>
      <w:r>
        <w:br/>
      </w:r>
      <w:r>
        <w:rPr>
          <w:rStyle w:val="VerbatimChar"/>
        </w:rPr>
        <w:t xml:space="preserve"> Max.   :1.619e+12                      Max.   :233.71   Max.   :233.90  </w:t>
      </w:r>
      <w:r>
        <w:br/>
      </w:r>
      <w:r>
        <w:rPr>
          <w:rStyle w:val="VerbatimChar"/>
        </w:rPr>
        <w:t xml:space="preserve">      Low             Close            Volume      </w:t>
      </w:r>
      <w:r>
        <w:br/>
      </w:r>
      <w:r>
        <w:rPr>
          <w:rStyle w:val="VerbatimChar"/>
        </w:rPr>
        <w:t xml:space="preserve"> Min.   : 38.38   Min.   : 38.39   Min.   :  0.00  </w:t>
      </w:r>
      <w:r>
        <w:br/>
      </w:r>
      <w:r>
        <w:rPr>
          <w:rStyle w:val="VerbatimChar"/>
        </w:rPr>
        <w:t xml:space="preserve"> 1st Qu.: 45.54   1st Qu.: 45.54   1st Qu.:  0.00  </w:t>
      </w:r>
      <w:r>
        <w:br/>
      </w:r>
      <w:r>
        <w:rPr>
          <w:rStyle w:val="VerbatimChar"/>
        </w:rPr>
        <w:t xml:space="preserve"> Median : 57.93   Median : 57.95   Median :  0.00  </w:t>
      </w:r>
      <w:r>
        <w:br/>
      </w:r>
      <w:r>
        <w:rPr>
          <w:rStyle w:val="VerbatimChar"/>
        </w:rPr>
        <w:t xml:space="preserve"> Mean   : 86.49   Mean   : 86.54   Mean   : 13.75  </w:t>
      </w:r>
      <w:r>
        <w:br/>
      </w:r>
      <w:r>
        <w:rPr>
          <w:rStyle w:val="VerbatimChar"/>
        </w:rPr>
        <w:t xml:space="preserve"> 3rd Qu.:123.97   3rd Qu.:124.06   3rd Qu.:  2.28  </w:t>
      </w:r>
      <w:r>
        <w:br/>
      </w:r>
      <w:r>
        <w:rPr>
          <w:rStyle w:val="VerbatimChar"/>
        </w:rPr>
        <w:t xml:space="preserve"> Max.   :233.52   Max.   :233.71   Max.   :306.34  </w:t>
      </w:r>
      <w:r>
        <w:br/>
      </w:r>
      <w:r>
        <w:rPr>
          <w:rStyle w:val="VerbatimChar"/>
        </w:rPr>
        <w:t xml:space="preserve">    DateTime                     </w:t>
      </w:r>
      <w:r>
        <w:br/>
      </w:r>
      <w:r>
        <w:rPr>
          <w:rStyle w:val="VerbatimChar"/>
        </w:rPr>
        <w:t xml:space="preserve"> Min.   :2020-01-01 00:53:20.00  </w:t>
      </w:r>
      <w:r>
        <w:br/>
      </w:r>
      <w:r>
        <w:rPr>
          <w:rStyle w:val="VerbatimChar"/>
        </w:rPr>
        <w:t xml:space="preserve"> 1st Qu.:2020-05-01 05:13:20.00  </w:t>
      </w:r>
      <w:r>
        <w:br/>
      </w:r>
      <w:r>
        <w:rPr>
          <w:rStyle w:val="VerbatimChar"/>
        </w:rPr>
        <w:t xml:space="preserve"> Median :2020-08-30 12:20:00.00  </w:t>
      </w:r>
      <w:r>
        <w:br/>
      </w:r>
      <w:r>
        <w:rPr>
          <w:rStyle w:val="VerbatimChar"/>
        </w:rPr>
        <w:t xml:space="preserve"> Mean   :2020-08-28 11:24:21.51  </w:t>
      </w:r>
      <w:r>
        <w:br/>
      </w:r>
      <w:r>
        <w:rPr>
          <w:rStyle w:val="VerbatimChar"/>
        </w:rPr>
        <w:t xml:space="preserve"> 3rd Qu.:2020-12-26 16:26:40.00  </w:t>
      </w:r>
      <w:r>
        <w:br/>
      </w:r>
      <w:r>
        <w:rPr>
          <w:rStyle w:val="VerbatimChar"/>
        </w:rPr>
        <w:t xml:space="preserve"> Max.   :2021-04-20 00:53:20.00  </w:t>
      </w:r>
    </w:p>
    <w:p w14:paraId="18B76CF7" w14:textId="77777777" w:rsidR="00920626" w:rsidRPr="005202D7" w:rsidRDefault="00000000" w:rsidP="005202D7">
      <w:pPr>
        <w:pStyle w:val="Heading2"/>
        <w:spacing w:line="276" w:lineRule="auto"/>
        <w:rPr>
          <w:color w:val="auto"/>
        </w:rPr>
      </w:pPr>
      <w:bookmarkStart w:id="16" w:name="visualizing-data-post-winsorization"/>
      <w:bookmarkStart w:id="17" w:name="_Toc181820843"/>
      <w:bookmarkEnd w:id="12"/>
      <w:bookmarkEnd w:id="15"/>
      <w:r w:rsidRPr="005202D7">
        <w:rPr>
          <w:color w:val="auto"/>
        </w:rPr>
        <w:lastRenderedPageBreak/>
        <w:t>3.2 Visualizing Data Post Winsorization</w:t>
      </w:r>
      <w:bookmarkEnd w:id="17"/>
    </w:p>
    <w:p w14:paraId="4FDC00C5" w14:textId="77777777" w:rsidR="00920626" w:rsidRDefault="00000000" w:rsidP="005202D7">
      <w:pPr>
        <w:pStyle w:val="FirstParagraph"/>
        <w:spacing w:line="276" w:lineRule="auto"/>
      </w:pPr>
      <w:r>
        <w:t>The boxplots below visualize the distribution of variables post-winsorization, allowing for assessment of the effectiveness of the technique:</w:t>
      </w:r>
    </w:p>
    <w:p w14:paraId="46165285" w14:textId="77777777" w:rsidR="00920626" w:rsidRDefault="00000000" w:rsidP="005202D7">
      <w:pPr>
        <w:pStyle w:val="SourceCode"/>
        <w:spacing w:line="276" w:lineRule="auto"/>
      </w:pPr>
      <w:r>
        <w:rPr>
          <w:rStyle w:val="NormalTok"/>
        </w:rPr>
        <w:t xml:space="preserve">Gemini_winsorized </w:t>
      </w:r>
      <w:r>
        <w:rPr>
          <w:rStyle w:val="SpecialCharTok"/>
        </w:rPr>
        <w:t>%&gt;%</w:t>
      </w:r>
      <w:r>
        <w:br/>
      </w:r>
      <w:r>
        <w:rPr>
          <w:rStyle w:val="NormalTok"/>
        </w:rPr>
        <w:t xml:space="preserve">  </w:t>
      </w:r>
      <w:r>
        <w:rPr>
          <w:rStyle w:val="FunctionTok"/>
        </w:rPr>
        <w:t>pivot_longer</w:t>
      </w:r>
      <w:r>
        <w:rPr>
          <w:rStyle w:val="NormalTok"/>
        </w:rPr>
        <w:t>(</w:t>
      </w:r>
      <w:r>
        <w:rPr>
          <w:rStyle w:val="AttributeTok"/>
        </w:rPr>
        <w:t>cols =</w:t>
      </w:r>
      <w:r>
        <w:rPr>
          <w:rStyle w:val="NormalTok"/>
        </w:rPr>
        <w:t xml:space="preserve"> </w:t>
      </w:r>
      <w:r>
        <w:rPr>
          <w:rStyle w:val="FunctionTok"/>
        </w:rPr>
        <w:t>c</w:t>
      </w:r>
      <w:r>
        <w:rPr>
          <w:rStyle w:val="NormalTok"/>
        </w:rPr>
        <w:t xml:space="preserve">(Open, High, Low, Close, Volume), </w:t>
      </w:r>
      <w:r>
        <w:rPr>
          <w:rStyle w:val="AttributeTok"/>
        </w:rPr>
        <w:t>names_to =</w:t>
      </w:r>
      <w:r>
        <w:rPr>
          <w:rStyle w:val="NormalTok"/>
        </w:rPr>
        <w:t xml:space="preserve"> </w:t>
      </w:r>
      <w:r>
        <w:rPr>
          <w:rStyle w:val="StringTok"/>
        </w:rPr>
        <w:t>"Variable"</w:t>
      </w:r>
      <w:r>
        <w:rPr>
          <w:rStyle w:val="NormalTok"/>
        </w:rPr>
        <w:t xml:space="preserve">, </w:t>
      </w:r>
      <w:r>
        <w:rPr>
          <w:rStyle w:val="AttributeTok"/>
        </w:rPr>
        <w:t>values_to =</w:t>
      </w:r>
      <w:r>
        <w:rPr>
          <w:rStyle w:val="NormalTok"/>
        </w:rPr>
        <w:t xml:space="preserve"> </w:t>
      </w:r>
      <w:r>
        <w:rPr>
          <w:rStyle w:val="StringTok"/>
        </w:rPr>
        <w:t>"Value"</w:t>
      </w:r>
      <w:r>
        <w:rPr>
          <w:rStyle w:val="NormalTok"/>
        </w:rPr>
        <w:t xml:space="preserv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Variable, </w:t>
      </w:r>
      <w:r>
        <w:rPr>
          <w:rStyle w:val="AttributeTok"/>
        </w:rPr>
        <w:t>y =</w:t>
      </w:r>
      <w:r>
        <w:rPr>
          <w:rStyle w:val="NormalTok"/>
        </w:rPr>
        <w:t xml:space="preserve"> Value)) </w:t>
      </w:r>
      <w:r>
        <w:rPr>
          <w:rStyle w:val="SpecialCharTok"/>
        </w:rPr>
        <w:t>+</w:t>
      </w:r>
      <w:r>
        <w:br/>
      </w:r>
      <w:r>
        <w:rPr>
          <w:rStyle w:val="NormalTok"/>
        </w:rPr>
        <w:t xml:space="preserve">  </w:t>
      </w:r>
      <w:r>
        <w:rPr>
          <w:rStyle w:val="FunctionTok"/>
        </w:rPr>
        <w:t>geom_boxplot</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"Boxplots After Winsorization"</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616880B2" w14:textId="77777777" w:rsidR="00920626" w:rsidRDefault="00000000" w:rsidP="005202D7">
      <w:pPr>
        <w:pStyle w:val="FirstParagraph"/>
        <w:spacing w:line="276" w:lineRule="auto"/>
      </w:pPr>
      <w:r>
        <w:rPr>
          <w:noProof/>
        </w:rPr>
        <w:drawing>
          <wp:inline distT="0" distB="0" distL="0" distR="0" wp14:anchorId="60ADEDFF" wp14:editId="0B9035C4">
            <wp:extent cx="4620126" cy="3696101"/>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Final_Report_files/figure-docx/Visualizing%20data%20post%20winsorization-1.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p>
    <w:p w14:paraId="011E1857" w14:textId="77777777" w:rsidR="00920626" w:rsidRDefault="00000000" w:rsidP="005202D7">
      <w:pPr>
        <w:pStyle w:val="BodyText"/>
        <w:spacing w:line="276" w:lineRule="auto"/>
      </w:pPr>
      <w:r>
        <w:t>Observations:</w:t>
      </w:r>
    </w:p>
    <w:p w14:paraId="7A9875C1" w14:textId="77777777" w:rsidR="00920626" w:rsidRDefault="00000000" w:rsidP="005202D7">
      <w:pPr>
        <w:numPr>
          <w:ilvl w:val="0"/>
          <w:numId w:val="6"/>
        </w:numPr>
        <w:spacing w:line="276" w:lineRule="auto"/>
      </w:pPr>
      <w:r>
        <w:t>After applying winsorization, the boxplots show a reduced number of extreme outliers in all variables.</w:t>
      </w:r>
    </w:p>
    <w:p w14:paraId="45EA5723" w14:textId="77777777" w:rsidR="00920626" w:rsidRDefault="00000000" w:rsidP="005202D7">
      <w:pPr>
        <w:numPr>
          <w:ilvl w:val="0"/>
          <w:numId w:val="6"/>
        </w:numPr>
        <w:spacing w:line="276" w:lineRule="auto"/>
      </w:pPr>
      <w:r>
        <w:t>Volume still has many outliers</w:t>
      </w:r>
    </w:p>
    <w:p w14:paraId="4A1DBFFE" w14:textId="77777777" w:rsidR="00920626" w:rsidRPr="005202D7" w:rsidRDefault="00000000" w:rsidP="005202D7">
      <w:pPr>
        <w:pStyle w:val="Heading3"/>
        <w:spacing w:line="276" w:lineRule="auto"/>
        <w:rPr>
          <w:color w:val="auto"/>
        </w:rPr>
      </w:pPr>
      <w:bookmarkStart w:id="18" w:name="analyzing-volume-data"/>
      <w:r w:rsidRPr="005202D7">
        <w:rPr>
          <w:color w:val="auto"/>
        </w:rPr>
        <w:t>3.2.1 Analyzing Volume Data</w:t>
      </w:r>
    </w:p>
    <w:p w14:paraId="725B4AC9" w14:textId="77777777" w:rsidR="00920626" w:rsidRDefault="00000000" w:rsidP="005202D7">
      <w:pPr>
        <w:pStyle w:val="FirstParagraph"/>
        <w:spacing w:line="276" w:lineRule="auto"/>
      </w:pPr>
      <w:r>
        <w:t>After winsorization, an analysis of the volume column was conducted to check for zero values, which could affect subsequent analyses if not handled:</w:t>
      </w:r>
    </w:p>
    <w:p w14:paraId="33510738" w14:textId="77777777" w:rsidR="00920626" w:rsidRDefault="00000000" w:rsidP="005202D7">
      <w:pPr>
        <w:pStyle w:val="SourceCode"/>
        <w:spacing w:line="276" w:lineRule="auto"/>
      </w:pPr>
      <w:r>
        <w:rPr>
          <w:rStyle w:val="CommentTok"/>
        </w:rPr>
        <w:lastRenderedPageBreak/>
        <w:t># Count the number of zero values in the Volume column after winsorization</w:t>
      </w:r>
      <w:r>
        <w:br/>
      </w:r>
      <w:r>
        <w:rPr>
          <w:rStyle w:val="NormalTok"/>
        </w:rPr>
        <w:t xml:space="preserve">zero_count </w:t>
      </w:r>
      <w:r>
        <w:rPr>
          <w:rStyle w:val="OtherTok"/>
        </w:rPr>
        <w:t>&lt;-</w:t>
      </w:r>
      <w:r>
        <w:rPr>
          <w:rStyle w:val="NormalTok"/>
        </w:rPr>
        <w:t xml:space="preserve"> </w:t>
      </w:r>
      <w:r>
        <w:rPr>
          <w:rStyle w:val="FunctionTok"/>
        </w:rPr>
        <w:t>sum</w:t>
      </w:r>
      <w:r>
        <w:rPr>
          <w:rStyle w:val="NormalTok"/>
        </w:rPr>
        <w:t>(Gemini_winsorized</w:t>
      </w:r>
      <w:r>
        <w:rPr>
          <w:rStyle w:val="SpecialCharTok"/>
        </w:rPr>
        <w:t>$</w:t>
      </w:r>
      <w:r>
        <w:rPr>
          <w:rStyle w:val="NormalTok"/>
        </w:rPr>
        <w:t xml:space="preserve">Volume </w:t>
      </w:r>
      <w:r>
        <w:rPr>
          <w:rStyle w:val="SpecialCharTok"/>
        </w:rPr>
        <w:t>==</w:t>
      </w:r>
      <w:r>
        <w:rPr>
          <w:rStyle w:val="NormalTok"/>
        </w:rPr>
        <w:t xml:space="preserve"> </w:t>
      </w:r>
      <w:r>
        <w:rPr>
          <w:rStyle w:val="DecValTok"/>
        </w:rPr>
        <w:t>0</w:t>
      </w:r>
      <w:r>
        <w:rPr>
          <w:rStyle w:val="NormalTok"/>
        </w:rPr>
        <w:t>)</w:t>
      </w:r>
      <w:r>
        <w:br/>
      </w:r>
      <w:r>
        <w:rPr>
          <w:rStyle w:val="FunctionTok"/>
        </w:rPr>
        <w:t>print</w:t>
      </w:r>
      <w:r>
        <w:rPr>
          <w:rStyle w:val="NormalTok"/>
        </w:rPr>
        <w:t>(zero_count)</w:t>
      </w:r>
    </w:p>
    <w:p w14:paraId="468EAF1C" w14:textId="77777777" w:rsidR="00920626" w:rsidRDefault="00000000" w:rsidP="005202D7">
      <w:pPr>
        <w:pStyle w:val="SourceCode"/>
        <w:spacing w:line="276" w:lineRule="auto"/>
      </w:pPr>
      <w:r>
        <w:rPr>
          <w:rStyle w:val="VerbatimChar"/>
        </w:rPr>
        <w:t>[1] 410624</w:t>
      </w:r>
    </w:p>
    <w:p w14:paraId="6AE08EC0" w14:textId="77777777" w:rsidR="00920626" w:rsidRDefault="00000000" w:rsidP="005202D7">
      <w:pPr>
        <w:pStyle w:val="SourceCode"/>
        <w:spacing w:line="276" w:lineRule="auto"/>
      </w:pPr>
      <w:r>
        <w:rPr>
          <w:rStyle w:val="NormalTok"/>
        </w:rPr>
        <w:t xml:space="preserve">total_count </w:t>
      </w:r>
      <w:r>
        <w:rPr>
          <w:rStyle w:val="OtherTok"/>
        </w:rPr>
        <w:t>&lt;-</w:t>
      </w:r>
      <w:r>
        <w:rPr>
          <w:rStyle w:val="NormalTok"/>
        </w:rPr>
        <w:t xml:space="preserve"> </w:t>
      </w:r>
      <w:r>
        <w:rPr>
          <w:rStyle w:val="FunctionTok"/>
        </w:rPr>
        <w:t>nrow</w:t>
      </w:r>
      <w:r>
        <w:rPr>
          <w:rStyle w:val="NormalTok"/>
        </w:rPr>
        <w:t>(Gemini_winsorized)</w:t>
      </w:r>
      <w:r>
        <w:br/>
      </w:r>
      <w:r>
        <w:rPr>
          <w:rStyle w:val="NormalTok"/>
        </w:rPr>
        <w:t xml:space="preserve">proportion_zeros </w:t>
      </w:r>
      <w:r>
        <w:rPr>
          <w:rStyle w:val="OtherTok"/>
        </w:rPr>
        <w:t>&lt;-</w:t>
      </w:r>
      <w:r>
        <w:rPr>
          <w:rStyle w:val="NormalTok"/>
        </w:rPr>
        <w:t xml:space="preserve"> zero_count </w:t>
      </w:r>
      <w:r>
        <w:rPr>
          <w:rStyle w:val="SpecialCharTok"/>
        </w:rPr>
        <w:t>/</w:t>
      </w:r>
      <w:r>
        <w:rPr>
          <w:rStyle w:val="NormalTok"/>
        </w:rPr>
        <w:t xml:space="preserve"> total_count</w:t>
      </w:r>
      <w:r>
        <w:br/>
      </w:r>
      <w:r>
        <w:rPr>
          <w:rStyle w:val="FunctionTok"/>
        </w:rPr>
        <w:t>print</w:t>
      </w:r>
      <w:r>
        <w:rPr>
          <w:rStyle w:val="NormalTok"/>
        </w:rPr>
        <w:t>(proportion_zeros)</w:t>
      </w:r>
    </w:p>
    <w:p w14:paraId="43D143D3" w14:textId="77777777" w:rsidR="00920626" w:rsidRDefault="00000000" w:rsidP="005202D7">
      <w:pPr>
        <w:pStyle w:val="SourceCode"/>
        <w:spacing w:line="276" w:lineRule="auto"/>
      </w:pPr>
      <w:r>
        <w:rPr>
          <w:rStyle w:val="VerbatimChar"/>
        </w:rPr>
        <w:t>[1] 0.6240382</w:t>
      </w:r>
    </w:p>
    <w:p w14:paraId="4E23DB08" w14:textId="77777777" w:rsidR="00920626" w:rsidRDefault="00000000" w:rsidP="005202D7">
      <w:pPr>
        <w:pStyle w:val="SourceCode"/>
        <w:spacing w:line="276" w:lineRule="auto"/>
      </w:pPr>
      <w:r>
        <w:rPr>
          <w:rStyle w:val="CommentTok"/>
        </w:rPr>
        <w:t># Display the proportion as a percentage</w:t>
      </w:r>
      <w:r>
        <w:br/>
      </w:r>
      <w:r>
        <w:rPr>
          <w:rStyle w:val="FunctionTok"/>
        </w:rPr>
        <w:t>cat</w:t>
      </w:r>
      <w:r>
        <w:rPr>
          <w:rStyle w:val="NormalTok"/>
        </w:rPr>
        <w:t>(</w:t>
      </w:r>
      <w:r>
        <w:rPr>
          <w:rStyle w:val="StringTok"/>
        </w:rPr>
        <w:t>"Proportion of zero values in Volume: "</w:t>
      </w:r>
      <w:r>
        <w:rPr>
          <w:rStyle w:val="NormalTok"/>
        </w:rPr>
        <w:t xml:space="preserve">, proportion_zeros </w:t>
      </w:r>
      <w:r>
        <w:rPr>
          <w:rStyle w:val="SpecialCharTok"/>
        </w:rPr>
        <w:t>*</w:t>
      </w:r>
      <w:r>
        <w:rPr>
          <w:rStyle w:val="NormalTok"/>
        </w:rPr>
        <w:t xml:space="preserve"> </w:t>
      </w:r>
      <w:r>
        <w:rPr>
          <w:rStyle w:val="DecValTok"/>
        </w:rPr>
        <w:t>100</w:t>
      </w:r>
      <w:r>
        <w:rPr>
          <w:rStyle w:val="NormalTok"/>
        </w:rPr>
        <w:t xml:space="preserve">, </w:t>
      </w:r>
      <w:r>
        <w:rPr>
          <w:rStyle w:val="StringTok"/>
        </w:rPr>
        <w:t>"%</w:t>
      </w:r>
      <w:r>
        <w:rPr>
          <w:rStyle w:val="SpecialCharTok"/>
        </w:rPr>
        <w:t>\n</w:t>
      </w:r>
      <w:r>
        <w:rPr>
          <w:rStyle w:val="StringTok"/>
        </w:rPr>
        <w:t>"</w:t>
      </w:r>
      <w:r>
        <w:rPr>
          <w:rStyle w:val="NormalTok"/>
        </w:rPr>
        <w:t>)</w:t>
      </w:r>
    </w:p>
    <w:p w14:paraId="50969287" w14:textId="77777777" w:rsidR="00920626" w:rsidRDefault="00000000" w:rsidP="005202D7">
      <w:pPr>
        <w:pStyle w:val="SourceCode"/>
        <w:spacing w:line="276" w:lineRule="auto"/>
      </w:pPr>
      <w:r>
        <w:rPr>
          <w:rStyle w:val="VerbatimChar"/>
        </w:rPr>
        <w:t>Proportion of zero values in Volume:  62.40382 %</w:t>
      </w:r>
    </w:p>
    <w:p w14:paraId="3B802FF7" w14:textId="77777777" w:rsidR="00920626" w:rsidRDefault="00000000" w:rsidP="005202D7">
      <w:pPr>
        <w:pStyle w:val="SourceCode"/>
        <w:spacing w:line="276" w:lineRule="auto"/>
      </w:pPr>
      <w:r>
        <w:rPr>
          <w:rStyle w:val="CommentTok"/>
        </w:rPr>
        <w:t># Remove rows with zero Volume</w:t>
      </w:r>
      <w:r>
        <w:br/>
      </w:r>
      <w:r>
        <w:rPr>
          <w:rStyle w:val="NormalTok"/>
        </w:rPr>
        <w:t xml:space="preserve">Gemini_winsorized </w:t>
      </w:r>
      <w:r>
        <w:rPr>
          <w:rStyle w:val="OtherTok"/>
        </w:rPr>
        <w:t>&lt;-</w:t>
      </w:r>
      <w:r>
        <w:rPr>
          <w:rStyle w:val="NormalTok"/>
        </w:rPr>
        <w:t xml:space="preserve"> Gemini_winsorized[Gemini_winsorized</w:t>
      </w:r>
      <w:r>
        <w:rPr>
          <w:rStyle w:val="SpecialCharTok"/>
        </w:rPr>
        <w:t>$</w:t>
      </w:r>
      <w:r>
        <w:rPr>
          <w:rStyle w:val="NormalTok"/>
        </w:rPr>
        <w:t xml:space="preserve">Volume </w:t>
      </w:r>
      <w:r>
        <w:rPr>
          <w:rStyle w:val="SpecialCharTok"/>
        </w:rPr>
        <w:t>&gt;</w:t>
      </w:r>
      <w:r>
        <w:rPr>
          <w:rStyle w:val="NormalTok"/>
        </w:rPr>
        <w:t xml:space="preserve"> </w:t>
      </w:r>
      <w:r>
        <w:rPr>
          <w:rStyle w:val="DecValTok"/>
        </w:rPr>
        <w:t>0</w:t>
      </w:r>
      <w:r>
        <w:rPr>
          <w:rStyle w:val="NormalTok"/>
        </w:rPr>
        <w:t>, ]</w:t>
      </w:r>
    </w:p>
    <w:p w14:paraId="3FBCF84A" w14:textId="77777777" w:rsidR="00920626" w:rsidRDefault="00000000" w:rsidP="005202D7">
      <w:pPr>
        <w:pStyle w:val="FirstParagraph"/>
        <w:spacing w:line="276" w:lineRule="auto"/>
      </w:pPr>
      <w:r>
        <w:t>A high proportion of zero trading volumes (62.40%) suggests that a significant number of trades recorded in this dataset did not occur or were inactive during the observed period. This could indicate low market activity or liquidity for Litecoin on the Gemini exchange during that time frame</w:t>
      </w:r>
    </w:p>
    <w:p w14:paraId="4F8DF564" w14:textId="77777777" w:rsidR="00920626" w:rsidRPr="005202D7" w:rsidRDefault="00000000" w:rsidP="005202D7">
      <w:pPr>
        <w:pStyle w:val="Heading3"/>
        <w:spacing w:line="276" w:lineRule="auto"/>
        <w:rPr>
          <w:color w:val="auto"/>
        </w:rPr>
      </w:pPr>
      <w:bookmarkStart w:id="19" w:name="visualizing-volume-distribution"/>
      <w:bookmarkEnd w:id="18"/>
      <w:r w:rsidRPr="005202D7">
        <w:rPr>
          <w:color w:val="auto"/>
        </w:rPr>
        <w:t>3.2.2 Visualizing Volume Distribution</w:t>
      </w:r>
    </w:p>
    <w:p w14:paraId="140BD43F" w14:textId="77777777" w:rsidR="00920626" w:rsidRDefault="00000000" w:rsidP="005202D7">
      <w:pPr>
        <w:pStyle w:val="FirstParagraph"/>
        <w:spacing w:line="276" w:lineRule="auto"/>
      </w:pPr>
      <w:r>
        <w:t>The histogram below visualizes the distribution of Volume after removing zero values:</w:t>
      </w:r>
    </w:p>
    <w:p w14:paraId="24DA4357" w14:textId="77777777" w:rsidR="00920626" w:rsidRDefault="00000000" w:rsidP="005202D7">
      <w:pPr>
        <w:pStyle w:val="SourceCode"/>
        <w:spacing w:line="276" w:lineRule="auto"/>
      </w:pPr>
      <w:r>
        <w:rPr>
          <w:rStyle w:val="FunctionTok"/>
        </w:rPr>
        <w:t>ggplot</w:t>
      </w:r>
      <w:r>
        <w:rPr>
          <w:rStyle w:val="NormalTok"/>
        </w:rPr>
        <w:t xml:space="preserve">(Gemini_winsorized, </w:t>
      </w:r>
      <w:r>
        <w:rPr>
          <w:rStyle w:val="FunctionTok"/>
        </w:rPr>
        <w:t>aes</w:t>
      </w:r>
      <w:r>
        <w:rPr>
          <w:rStyle w:val="NormalTok"/>
        </w:rPr>
        <w:t>(</w:t>
      </w:r>
      <w:r>
        <w:rPr>
          <w:rStyle w:val="AttributeTok"/>
        </w:rPr>
        <w:t>x =</w:t>
      </w:r>
      <w:r>
        <w:rPr>
          <w:rStyle w:val="NormalTok"/>
        </w:rPr>
        <w:t xml:space="preserve"> Volume)) </w:t>
      </w:r>
      <w:r>
        <w:rPr>
          <w:rStyle w:val="SpecialCharTok"/>
        </w:rPr>
        <w:t>+</w:t>
      </w:r>
      <w:r>
        <w:br/>
      </w:r>
      <w:r>
        <w:rPr>
          <w:rStyle w:val="NormalTok"/>
        </w:rPr>
        <w:t xml:space="preserve">  </w:t>
      </w:r>
      <w:r>
        <w:rPr>
          <w:rStyle w:val="FunctionTok"/>
        </w:rPr>
        <w:t>geom_histogram</w:t>
      </w:r>
      <w:r>
        <w:rPr>
          <w:rStyle w:val="NormalTok"/>
        </w:rPr>
        <w:t>(</w:t>
      </w:r>
      <w:r>
        <w:rPr>
          <w:rStyle w:val="AttributeTok"/>
        </w:rPr>
        <w:t>bins =</w:t>
      </w:r>
      <w:r>
        <w:rPr>
          <w:rStyle w:val="NormalTok"/>
        </w:rPr>
        <w:t xml:space="preserve"> </w:t>
      </w:r>
      <w:r>
        <w:rPr>
          <w:rStyle w:val="DecValTok"/>
        </w:rPr>
        <w:t>30</w:t>
      </w:r>
      <w:r>
        <w:rPr>
          <w:rStyle w:val="NormalTok"/>
        </w:rPr>
        <w:t xml:space="preserve">, </w:t>
      </w:r>
      <w:r>
        <w:rPr>
          <w:rStyle w:val="AttributeTok"/>
        </w:rPr>
        <w:t>fill =</w:t>
      </w:r>
      <w:r>
        <w:rPr>
          <w:rStyle w:val="NormalTok"/>
        </w:rPr>
        <w:t xml:space="preserve"> </w:t>
      </w:r>
      <w:r>
        <w:rPr>
          <w:rStyle w:val="StringTok"/>
        </w:rPr>
        <w:t>"blue"</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AttributeTok"/>
        </w:rPr>
        <w:t>alpha =</w:t>
      </w:r>
      <w:r>
        <w:rPr>
          <w:rStyle w:val="NormalTok"/>
        </w:rPr>
        <w:t xml:space="preserve"> </w:t>
      </w:r>
      <w:r>
        <w:rPr>
          <w:rStyle w:val="FloatTok"/>
        </w:rPr>
        <w:t>0.7</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"Histogram of Volume (After Removing Zeros)"</w:t>
      </w:r>
      <w:r>
        <w:rPr>
          <w:rStyle w:val="NormalTok"/>
        </w:rPr>
        <w:t xml:space="preserve">, </w:t>
      </w:r>
      <w:r>
        <w:rPr>
          <w:rStyle w:val="AttributeTok"/>
        </w:rPr>
        <w:t>x =</w:t>
      </w:r>
      <w:r>
        <w:rPr>
          <w:rStyle w:val="NormalTok"/>
        </w:rPr>
        <w:t xml:space="preserve"> </w:t>
      </w:r>
      <w:r>
        <w:rPr>
          <w:rStyle w:val="StringTok"/>
        </w:rPr>
        <w:t>"Volume"</w:t>
      </w:r>
      <w:r>
        <w:rPr>
          <w:rStyle w:val="NormalTok"/>
        </w:rPr>
        <w:t xml:space="preserve">, </w:t>
      </w:r>
      <w:r>
        <w:rPr>
          <w:rStyle w:val="AttributeTok"/>
        </w:rPr>
        <w:t>y =</w:t>
      </w:r>
      <w:r>
        <w:rPr>
          <w:rStyle w:val="NormalTok"/>
        </w:rPr>
        <w:t xml:space="preserve"> </w:t>
      </w:r>
      <w:r>
        <w:rPr>
          <w:rStyle w:val="StringTok"/>
        </w:rPr>
        <w:t>"Frequency"</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64561AE6" w14:textId="77777777" w:rsidR="00920626" w:rsidRDefault="00000000" w:rsidP="005202D7">
      <w:pPr>
        <w:pStyle w:val="FirstParagraph"/>
        <w:spacing w:line="276" w:lineRule="auto"/>
      </w:pPr>
      <w:r>
        <w:rPr>
          <w:noProof/>
        </w:rPr>
        <w:lastRenderedPageBreak/>
        <w:drawing>
          <wp:inline distT="0" distB="0" distL="0" distR="0" wp14:anchorId="366B69C9" wp14:editId="51C605BB">
            <wp:extent cx="4620126" cy="3696101"/>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Final_Report_files/figure-docx/Histogram%20of%20Volume%20after%20removing%20zeros-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5652CF88" w14:textId="77777777" w:rsidR="00920626" w:rsidRDefault="00000000" w:rsidP="005202D7">
      <w:pPr>
        <w:pStyle w:val="BodyText"/>
        <w:spacing w:line="276" w:lineRule="auto"/>
      </w:pPr>
      <w:r>
        <w:t>The histogram shows the following insights:</w:t>
      </w:r>
    </w:p>
    <w:p w14:paraId="41F0766A" w14:textId="77777777" w:rsidR="00920626" w:rsidRDefault="00000000" w:rsidP="005202D7">
      <w:pPr>
        <w:numPr>
          <w:ilvl w:val="0"/>
          <w:numId w:val="7"/>
        </w:numPr>
        <w:spacing w:line="276" w:lineRule="auto"/>
      </w:pPr>
      <w:r>
        <w:t>Right Skewness: The distribution of volume values is right-skewed, indicating that many transactions occur at low volumes while only a few have significantly higher volumes.</w:t>
      </w:r>
    </w:p>
    <w:p w14:paraId="40FB8A76" w14:textId="77777777" w:rsidR="00920626" w:rsidRDefault="00000000" w:rsidP="005202D7">
      <w:pPr>
        <w:numPr>
          <w:ilvl w:val="0"/>
          <w:numId w:val="7"/>
        </w:numPr>
        <w:spacing w:line="276" w:lineRule="auto"/>
      </w:pPr>
      <w:r>
        <w:t>Concentration near Zero: Even after removing zeros, there’s a notable concentration of values close to zero, suggesting a lot of low-volume transactions.</w:t>
      </w:r>
    </w:p>
    <w:p w14:paraId="0CFBB56D" w14:textId="77777777" w:rsidR="00920626" w:rsidRDefault="00000000" w:rsidP="005202D7">
      <w:pPr>
        <w:numPr>
          <w:ilvl w:val="0"/>
          <w:numId w:val="7"/>
        </w:numPr>
        <w:spacing w:line="276" w:lineRule="auto"/>
      </w:pPr>
      <w:r>
        <w:t>Outliers: Potential outliers may still exist in the higher range of volume values.</w:t>
      </w:r>
    </w:p>
    <w:p w14:paraId="2F6BC0EF" w14:textId="77777777" w:rsidR="00920626" w:rsidRPr="005202D7" w:rsidRDefault="00000000" w:rsidP="005202D7">
      <w:pPr>
        <w:pStyle w:val="Heading2"/>
        <w:spacing w:line="276" w:lineRule="auto"/>
        <w:rPr>
          <w:color w:val="auto"/>
        </w:rPr>
      </w:pPr>
      <w:bookmarkStart w:id="20" w:name="further-normalization"/>
      <w:bookmarkStart w:id="21" w:name="_Toc181820844"/>
      <w:bookmarkEnd w:id="16"/>
      <w:bookmarkEnd w:id="19"/>
      <w:r w:rsidRPr="005202D7">
        <w:rPr>
          <w:color w:val="auto"/>
        </w:rPr>
        <w:t>3.3 Further Normalization</w:t>
      </w:r>
      <w:bookmarkEnd w:id="21"/>
    </w:p>
    <w:p w14:paraId="53D55C5A" w14:textId="77777777" w:rsidR="00920626" w:rsidRPr="005202D7" w:rsidRDefault="00000000" w:rsidP="005202D7">
      <w:pPr>
        <w:pStyle w:val="Heading3"/>
        <w:spacing w:line="276" w:lineRule="auto"/>
        <w:rPr>
          <w:color w:val="auto"/>
        </w:rPr>
      </w:pPr>
      <w:bookmarkStart w:id="22" w:name="square-root-transformation-of-volume"/>
      <w:r w:rsidRPr="005202D7">
        <w:rPr>
          <w:color w:val="auto"/>
        </w:rPr>
        <w:t>3.3.1 Square Root Transformation of Volume</w:t>
      </w:r>
    </w:p>
    <w:p w14:paraId="3B44C622" w14:textId="77777777" w:rsidR="00920626" w:rsidRDefault="00000000" w:rsidP="005202D7">
      <w:pPr>
        <w:pStyle w:val="FirstParagraph"/>
        <w:spacing w:line="276" w:lineRule="auto"/>
      </w:pPr>
      <w:r>
        <w:t>To further stabilize variance, a square root transformation was applied to the Volume data. The square root transformation can be effective, especially when dealing with right-skewed distributions, as it can help reduce the impact of larger values and make the data more normally distributed (MBA Skool, n.d.).</w:t>
      </w:r>
    </w:p>
    <w:p w14:paraId="5871CD3C" w14:textId="77777777" w:rsidR="00920626" w:rsidRDefault="00000000" w:rsidP="005202D7">
      <w:pPr>
        <w:pStyle w:val="SourceCode"/>
        <w:spacing w:line="276" w:lineRule="auto"/>
      </w:pPr>
      <w:r>
        <w:rPr>
          <w:rStyle w:val="NormalTok"/>
        </w:rPr>
        <w:t xml:space="preserve">Gemini_winsorized </w:t>
      </w:r>
      <w:r>
        <w:rPr>
          <w:rStyle w:val="OtherTok"/>
        </w:rPr>
        <w:t>&lt;-</w:t>
      </w:r>
      <w:r>
        <w:rPr>
          <w:rStyle w:val="NormalTok"/>
        </w:rPr>
        <w:t xml:space="preserve"> Gemini_winsorized </w:t>
      </w:r>
      <w:r>
        <w:rPr>
          <w:rStyle w:val="SpecialCharTok"/>
        </w:rPr>
        <w:t>%&gt;%</w:t>
      </w:r>
      <w:r>
        <w:br/>
      </w:r>
      <w:r>
        <w:rPr>
          <w:rStyle w:val="NormalTok"/>
        </w:rPr>
        <w:t xml:space="preserve">  </w:t>
      </w:r>
      <w:r>
        <w:rPr>
          <w:rStyle w:val="FunctionTok"/>
        </w:rPr>
        <w:t>mutate</w:t>
      </w:r>
      <w:r>
        <w:rPr>
          <w:rStyle w:val="NormalTok"/>
        </w:rPr>
        <w:t>(</w:t>
      </w:r>
      <w:r>
        <w:rPr>
          <w:rStyle w:val="AttributeTok"/>
        </w:rPr>
        <w:t>Sqrt_Volume =</w:t>
      </w:r>
      <w:r>
        <w:rPr>
          <w:rStyle w:val="NormalTok"/>
        </w:rPr>
        <w:t xml:space="preserve"> </w:t>
      </w:r>
      <w:r>
        <w:rPr>
          <w:rStyle w:val="FunctionTok"/>
        </w:rPr>
        <w:t>sqrt</w:t>
      </w:r>
      <w:r>
        <w:rPr>
          <w:rStyle w:val="NormalTok"/>
        </w:rPr>
        <w:t>(Volume))</w:t>
      </w:r>
      <w:r>
        <w:br/>
      </w:r>
      <w:r>
        <w:br/>
      </w:r>
      <w:r>
        <w:rPr>
          <w:rStyle w:val="CommentTok"/>
        </w:rPr>
        <w:t># Visualize the square root transformed Volume</w:t>
      </w:r>
      <w:r>
        <w:br/>
      </w:r>
      <w:r>
        <w:rPr>
          <w:rStyle w:val="FunctionTok"/>
        </w:rPr>
        <w:lastRenderedPageBreak/>
        <w:t>ggplot</w:t>
      </w:r>
      <w:r>
        <w:rPr>
          <w:rStyle w:val="NormalTok"/>
        </w:rPr>
        <w:t xml:space="preserve">(Gemini_winsorized, </w:t>
      </w:r>
      <w:r>
        <w:rPr>
          <w:rStyle w:val="FunctionTok"/>
        </w:rPr>
        <w:t>aes</w:t>
      </w:r>
      <w:r>
        <w:rPr>
          <w:rStyle w:val="NormalTok"/>
        </w:rPr>
        <w:t>(</w:t>
      </w:r>
      <w:r>
        <w:rPr>
          <w:rStyle w:val="AttributeTok"/>
        </w:rPr>
        <w:t>x =</w:t>
      </w:r>
      <w:r>
        <w:rPr>
          <w:rStyle w:val="NormalTok"/>
        </w:rPr>
        <w:t xml:space="preserve"> Sqrt_Volume)) </w:t>
      </w:r>
      <w:r>
        <w:rPr>
          <w:rStyle w:val="SpecialCharTok"/>
        </w:rPr>
        <w:t>+</w:t>
      </w:r>
      <w:r>
        <w:br/>
      </w:r>
      <w:r>
        <w:rPr>
          <w:rStyle w:val="NormalTok"/>
        </w:rPr>
        <w:t xml:space="preserve">  </w:t>
      </w:r>
      <w:r>
        <w:rPr>
          <w:rStyle w:val="FunctionTok"/>
        </w:rPr>
        <w:t>geom_histogram</w:t>
      </w:r>
      <w:r>
        <w:rPr>
          <w:rStyle w:val="NormalTok"/>
        </w:rPr>
        <w:t>(</w:t>
      </w:r>
      <w:r>
        <w:rPr>
          <w:rStyle w:val="AttributeTok"/>
        </w:rPr>
        <w:t>bins =</w:t>
      </w:r>
      <w:r>
        <w:rPr>
          <w:rStyle w:val="NormalTok"/>
        </w:rPr>
        <w:t xml:space="preserve"> </w:t>
      </w:r>
      <w:r>
        <w:rPr>
          <w:rStyle w:val="DecValTok"/>
        </w:rPr>
        <w:t>30</w:t>
      </w:r>
      <w:r>
        <w:rPr>
          <w:rStyle w:val="NormalTok"/>
        </w:rPr>
        <w:t xml:space="preserve">, </w:t>
      </w:r>
      <w:r>
        <w:rPr>
          <w:rStyle w:val="AttributeTok"/>
        </w:rPr>
        <w:t>fill =</w:t>
      </w:r>
      <w:r>
        <w:rPr>
          <w:rStyle w:val="NormalTok"/>
        </w:rPr>
        <w:t xml:space="preserve"> </w:t>
      </w:r>
      <w:r>
        <w:rPr>
          <w:rStyle w:val="StringTok"/>
        </w:rPr>
        <w:t>"blue"</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AttributeTok"/>
        </w:rPr>
        <w:t>alpha =</w:t>
      </w:r>
      <w:r>
        <w:rPr>
          <w:rStyle w:val="NormalTok"/>
        </w:rPr>
        <w:t xml:space="preserve"> </w:t>
      </w:r>
      <w:r>
        <w:rPr>
          <w:rStyle w:val="FloatTok"/>
        </w:rPr>
        <w:t>0.7</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"Histogram of Square Root Transformed Volume"</w:t>
      </w:r>
      <w:r>
        <w:rPr>
          <w:rStyle w:val="NormalTok"/>
        </w:rPr>
        <w:t xml:space="preserve">, </w:t>
      </w:r>
      <w:r>
        <w:br/>
      </w:r>
      <w:r>
        <w:rPr>
          <w:rStyle w:val="NormalTok"/>
        </w:rPr>
        <w:t xml:space="preserve">       </w:t>
      </w:r>
      <w:r>
        <w:rPr>
          <w:rStyle w:val="AttributeTok"/>
        </w:rPr>
        <w:t>x =</w:t>
      </w:r>
      <w:r>
        <w:rPr>
          <w:rStyle w:val="NormalTok"/>
        </w:rPr>
        <w:t xml:space="preserve"> </w:t>
      </w:r>
      <w:r>
        <w:rPr>
          <w:rStyle w:val="StringTok"/>
        </w:rPr>
        <w:t>"Square Root Transformed Volume"</w:t>
      </w:r>
      <w:r>
        <w:rPr>
          <w:rStyle w:val="NormalTok"/>
        </w:rPr>
        <w:t xml:space="preserve">, </w:t>
      </w:r>
      <w:r>
        <w:br/>
      </w:r>
      <w:r>
        <w:rPr>
          <w:rStyle w:val="NormalTok"/>
        </w:rPr>
        <w:t xml:space="preserve">       </w:t>
      </w:r>
      <w:r>
        <w:rPr>
          <w:rStyle w:val="AttributeTok"/>
        </w:rPr>
        <w:t>y =</w:t>
      </w:r>
      <w:r>
        <w:rPr>
          <w:rStyle w:val="NormalTok"/>
        </w:rPr>
        <w:t xml:space="preserve"> </w:t>
      </w:r>
      <w:r>
        <w:rPr>
          <w:rStyle w:val="StringTok"/>
        </w:rPr>
        <w:t>"Frequency"</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p>
    <w:p w14:paraId="20DB4A32" w14:textId="77777777" w:rsidR="00920626" w:rsidRDefault="00000000" w:rsidP="005202D7">
      <w:pPr>
        <w:pStyle w:val="FirstParagraph"/>
        <w:spacing w:line="276" w:lineRule="auto"/>
      </w:pPr>
      <w:r>
        <w:rPr>
          <w:noProof/>
        </w:rPr>
        <w:drawing>
          <wp:inline distT="0" distB="0" distL="0" distR="0" wp14:anchorId="34D6BC3D" wp14:editId="2D0039D1">
            <wp:extent cx="4620126" cy="3696101"/>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Final_Report_files/figure-docx/square%20root%20transformation-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14:paraId="17BA1A03" w14:textId="77777777" w:rsidR="00920626" w:rsidRDefault="00000000" w:rsidP="005202D7">
      <w:pPr>
        <w:pStyle w:val="BodyText"/>
        <w:spacing w:line="276" w:lineRule="auto"/>
      </w:pPr>
      <w:r>
        <w:t>The histogram for square root transformed Volume demonstrates a more normalized distribution compared to the original. This transformation helps to stabilize variance and reduce the influence of larger volume values, making the data more suitable for analysis.</w:t>
      </w:r>
    </w:p>
    <w:p w14:paraId="5984A142" w14:textId="77777777" w:rsidR="00920626" w:rsidRPr="005202D7" w:rsidRDefault="00000000" w:rsidP="005202D7">
      <w:pPr>
        <w:pStyle w:val="Heading4"/>
        <w:spacing w:line="276" w:lineRule="auto"/>
        <w:rPr>
          <w:color w:val="auto"/>
        </w:rPr>
      </w:pPr>
      <w:bookmarkStart w:id="23" w:name="comparing-distributions-of-key-variables"/>
      <w:r w:rsidRPr="005202D7">
        <w:rPr>
          <w:color w:val="auto"/>
        </w:rPr>
        <w:t>3.3.1.1 Comparing Distributions of Key Variables</w:t>
      </w:r>
    </w:p>
    <w:p w14:paraId="502B3558" w14:textId="77777777" w:rsidR="00920626" w:rsidRDefault="00000000" w:rsidP="005202D7">
      <w:pPr>
        <w:pStyle w:val="FirstParagraph"/>
        <w:spacing w:line="276" w:lineRule="auto"/>
      </w:pPr>
      <w:r>
        <w:t>Finally, a comparison of distributions for key variables is conducted to observe any changes post-winsorization and square root transformation:</w:t>
      </w:r>
    </w:p>
    <w:p w14:paraId="24AA5F0A" w14:textId="77777777" w:rsidR="00920626" w:rsidRDefault="00000000" w:rsidP="005202D7">
      <w:pPr>
        <w:pStyle w:val="CaptionedFigure"/>
        <w:spacing w:line="276" w:lineRule="auto"/>
      </w:pPr>
      <w:r>
        <w:rPr>
          <w:noProof/>
        </w:rPr>
        <w:lastRenderedPageBreak/>
        <w:drawing>
          <wp:inline distT="0" distB="0" distL="0" distR="0" wp14:anchorId="7CB6CF9A" wp14:editId="0C474E7E">
            <wp:extent cx="4620126" cy="3696101"/>
            <wp:effectExtent l="0" t="0" r="0" b="0"/>
            <wp:docPr id="44" name="Picture" descr="distributions for key variables"/>
            <wp:cNvGraphicFramePr/>
            <a:graphic xmlns:a="http://schemas.openxmlformats.org/drawingml/2006/main">
              <a:graphicData uri="http://schemas.openxmlformats.org/drawingml/2006/picture">
                <pic:pic xmlns:pic="http://schemas.openxmlformats.org/drawingml/2006/picture">
                  <pic:nvPicPr>
                    <pic:cNvPr id="45" name="Picture" descr="Final_Report_files/figure-docx/distributions%20of%20key%20variables-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370CD5F4" w14:textId="77777777" w:rsidR="00920626" w:rsidRDefault="00000000" w:rsidP="005202D7">
      <w:pPr>
        <w:pStyle w:val="ImageCaption"/>
        <w:spacing w:line="276" w:lineRule="auto"/>
      </w:pPr>
      <w:r>
        <w:t>distributions for key variables</w:t>
      </w:r>
    </w:p>
    <w:p w14:paraId="0278CAE2" w14:textId="77777777" w:rsidR="00920626" w:rsidRDefault="00000000" w:rsidP="005202D7">
      <w:pPr>
        <w:pStyle w:val="BodyText"/>
        <w:spacing w:line="276" w:lineRule="auto"/>
      </w:pPr>
      <w:r>
        <w:t>Distribution of Key Variables:</w:t>
      </w:r>
    </w:p>
    <w:p w14:paraId="6F0C0063" w14:textId="77777777" w:rsidR="00920626" w:rsidRDefault="00000000" w:rsidP="005202D7">
      <w:pPr>
        <w:pStyle w:val="BodyText"/>
        <w:spacing w:line="276" w:lineRule="auto"/>
      </w:pPr>
      <w:r>
        <w:rPr>
          <w:b/>
          <w:bCs/>
        </w:rPr>
        <w:t>• Close, High, Low, Open</w:t>
      </w:r>
      <w:r>
        <w:t>: These histograms show the distribution of key price-related variables for the LTCUSD data. Most of the values for these variables appear to be concentrated in the lower ranges (around $50–100 USD). This suggests that for much of the time period analyzed, the LTC price stayed in this range, although there are some higher values extending above $150 USD.</w:t>
      </w:r>
    </w:p>
    <w:p w14:paraId="3A77D053" w14:textId="77777777" w:rsidR="00920626" w:rsidRDefault="00000000" w:rsidP="005202D7">
      <w:pPr>
        <w:pStyle w:val="BodyText"/>
        <w:spacing w:line="276" w:lineRule="auto"/>
      </w:pPr>
      <w:r>
        <w:t xml:space="preserve">• </w:t>
      </w:r>
      <w:r>
        <w:rPr>
          <w:b/>
          <w:bCs/>
        </w:rPr>
        <w:t>Volume</w:t>
      </w:r>
      <w:r>
        <w:t>: The volume histogram shows that the majority of trading volume values are clustered at the lower end. There is a sharp peak near zero, suggesting that low trading volumes were frequent, while high volumes were less common.</w:t>
      </w:r>
    </w:p>
    <w:p w14:paraId="217FE263" w14:textId="77777777" w:rsidR="00920626" w:rsidRDefault="00000000" w:rsidP="005202D7">
      <w:pPr>
        <w:pStyle w:val="BodyText"/>
        <w:spacing w:line="276" w:lineRule="auto"/>
      </w:pPr>
      <w:r>
        <w:rPr>
          <w:b/>
          <w:bCs/>
        </w:rPr>
        <w:t>Note</w:t>
      </w:r>
      <w:r>
        <w:t>:The summary statistics for the key variables can be re-checked to ensure the transformations have been appropriately applied.</w:t>
      </w:r>
    </w:p>
    <w:p w14:paraId="421CA876" w14:textId="77777777" w:rsidR="00920626" w:rsidRDefault="00000000" w:rsidP="005202D7">
      <w:pPr>
        <w:spacing w:line="276" w:lineRule="auto"/>
      </w:pPr>
      <w:r>
        <w:br w:type="page"/>
      </w:r>
    </w:p>
    <w:p w14:paraId="60778F0E" w14:textId="77777777" w:rsidR="00920626" w:rsidRPr="005202D7" w:rsidRDefault="00000000" w:rsidP="005202D7">
      <w:pPr>
        <w:pStyle w:val="Heading1"/>
        <w:spacing w:line="276" w:lineRule="auto"/>
        <w:rPr>
          <w:color w:val="auto"/>
        </w:rPr>
      </w:pPr>
      <w:bookmarkStart w:id="24" w:name="data-visualizations"/>
      <w:bookmarkStart w:id="25" w:name="_Toc181820845"/>
      <w:bookmarkEnd w:id="10"/>
      <w:bookmarkEnd w:id="20"/>
      <w:bookmarkEnd w:id="22"/>
      <w:bookmarkEnd w:id="23"/>
      <w:r w:rsidRPr="005202D7">
        <w:rPr>
          <w:color w:val="auto"/>
        </w:rPr>
        <w:lastRenderedPageBreak/>
        <w:t>4. Data Visualizations</w:t>
      </w:r>
      <w:bookmarkEnd w:id="25"/>
    </w:p>
    <w:p w14:paraId="65B80445" w14:textId="77777777" w:rsidR="00920626" w:rsidRPr="005202D7" w:rsidRDefault="00000000" w:rsidP="005202D7">
      <w:pPr>
        <w:pStyle w:val="FirstParagraph"/>
        <w:spacing w:line="276" w:lineRule="auto"/>
      </w:pPr>
      <w:r w:rsidRPr="005202D7">
        <w:t xml:space="preserve">The primary visualizations produced for the analysis of Litecoin (LTC) trading data include scatterplots, bar charts, line charts, and moving averages. </w:t>
      </w:r>
      <w:proofErr w:type="gramStart"/>
      <w:r w:rsidRPr="005202D7">
        <w:t>However</w:t>
      </w:r>
      <w:proofErr w:type="gramEnd"/>
      <w:r w:rsidRPr="005202D7">
        <w:t xml:space="preserve"> some are in the Interactive visualizations section where explanations of intearactive features for user engagement are given.</w:t>
      </w:r>
    </w:p>
    <w:p w14:paraId="5F88B264" w14:textId="77777777" w:rsidR="00920626" w:rsidRPr="005202D7" w:rsidRDefault="00000000" w:rsidP="005202D7">
      <w:pPr>
        <w:pStyle w:val="Heading2"/>
        <w:spacing w:line="276" w:lineRule="auto"/>
        <w:rPr>
          <w:color w:val="auto"/>
        </w:rPr>
      </w:pPr>
      <w:bookmarkStart w:id="26" w:name="scatterplot-of-open-vs-close-prices"/>
      <w:bookmarkStart w:id="27" w:name="_Toc181820846"/>
      <w:r w:rsidRPr="005202D7">
        <w:rPr>
          <w:color w:val="auto"/>
        </w:rPr>
        <w:t>4.1 Scatterplot of Open vs Close Prices</w:t>
      </w:r>
      <w:bookmarkEnd w:id="27"/>
    </w:p>
    <w:p w14:paraId="1A3092AD" w14:textId="77777777" w:rsidR="00920626" w:rsidRDefault="00000000" w:rsidP="005202D7">
      <w:pPr>
        <w:pStyle w:val="FirstParagraph"/>
        <w:spacing w:line="276" w:lineRule="auto"/>
      </w:pPr>
      <w:r>
        <w:t>• Description: This scatterplot visualizes the relationship between the opening and closing prices of LTC. Each point represents a day’s trading activity.</w:t>
      </w:r>
    </w:p>
    <w:p w14:paraId="5477C359" w14:textId="77777777" w:rsidR="00920626" w:rsidRDefault="00000000" w:rsidP="005202D7">
      <w:pPr>
        <w:pStyle w:val="BodyText"/>
        <w:spacing w:line="276" w:lineRule="auto"/>
      </w:pPr>
      <w:r>
        <w:t>• Variables Visualized: Open Price (X-axis) and Close Price (Y-axis).</w:t>
      </w:r>
    </w:p>
    <w:p w14:paraId="118E18A2" w14:textId="77777777" w:rsidR="00920626" w:rsidRDefault="00000000" w:rsidP="005202D7">
      <w:pPr>
        <w:pStyle w:val="CaptionedFigure"/>
        <w:spacing w:line="276" w:lineRule="auto"/>
      </w:pPr>
      <w:r>
        <w:rPr>
          <w:noProof/>
        </w:rPr>
        <w:drawing>
          <wp:inline distT="0" distB="0" distL="0" distR="0" wp14:anchorId="269B01E1" wp14:editId="23A3E0DE">
            <wp:extent cx="4620126" cy="3696101"/>
            <wp:effectExtent l="0" t="0" r="0" b="0"/>
            <wp:docPr id="51" name="Picture" descr="Scatterplot of Open vs Close Prices"/>
            <wp:cNvGraphicFramePr/>
            <a:graphic xmlns:a="http://schemas.openxmlformats.org/drawingml/2006/main">
              <a:graphicData uri="http://schemas.openxmlformats.org/drawingml/2006/picture">
                <pic:pic xmlns:pic="http://schemas.openxmlformats.org/drawingml/2006/picture">
                  <pic:nvPicPr>
                    <pic:cNvPr id="52" name="Picture" descr="Final_Report_files/figure-docx/scatter%20plot-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1353B687" w14:textId="77777777" w:rsidR="00920626" w:rsidRDefault="00000000" w:rsidP="005202D7">
      <w:pPr>
        <w:pStyle w:val="ImageCaption"/>
        <w:spacing w:line="276" w:lineRule="auto"/>
      </w:pPr>
      <w:r>
        <w:t>Scatterplot of Open vs Close Prices</w:t>
      </w:r>
    </w:p>
    <w:p w14:paraId="0D8E0AF3" w14:textId="77777777" w:rsidR="00920626" w:rsidRDefault="00000000" w:rsidP="005202D7">
      <w:pPr>
        <w:pStyle w:val="BodyText"/>
        <w:spacing w:line="276" w:lineRule="auto"/>
      </w:pPr>
      <w:r>
        <w:t>• The scatterplot reveals a strong positive correlation (cor(Gemini_winsorized</w:t>
      </w:r>
      <m:oMath>
        <m:r>
          <w:rPr>
            <w:rFonts w:ascii="Cambria Math" w:hAnsi="Cambria Math"/>
          </w:rPr>
          <m:t>Open</m:t>
        </m:r>
        <m:r>
          <m:rPr>
            <m:sty m:val="p"/>
          </m:rPr>
          <w:rPr>
            <w:rFonts w:ascii="Cambria Math" w:hAnsi="Cambria Math"/>
          </w:rPr>
          <m:t>,</m:t>
        </m:r>
        <m:r>
          <w:rPr>
            <w:rFonts w:ascii="Cambria Math" w:hAnsi="Cambria Math"/>
          </w:rPr>
          <m:t>Gemin</m:t>
        </m:r>
        <m:sSub>
          <m:sSubPr>
            <m:ctrlPr>
              <w:rPr>
                <w:rFonts w:ascii="Cambria Math" w:hAnsi="Cambria Math"/>
              </w:rPr>
            </m:ctrlPr>
          </m:sSubPr>
          <m:e>
            <m:r>
              <w:rPr>
                <w:rFonts w:ascii="Cambria Math" w:hAnsi="Cambria Math"/>
              </w:rPr>
              <m:t>i</m:t>
            </m:r>
          </m:e>
          <m:sub>
            <m:r>
              <w:rPr>
                <w:rFonts w:ascii="Cambria Math" w:hAnsi="Cambria Math"/>
              </w:rPr>
              <m:t>w</m:t>
            </m:r>
          </m:sub>
        </m:sSub>
        <m:r>
          <w:rPr>
            <w:rFonts w:ascii="Cambria Math" w:hAnsi="Cambria Math"/>
          </w:rPr>
          <m:t>insorized</m:t>
        </m:r>
      </m:oMath>
      <w:r>
        <w:t>Close) ≈ 0.98). This trend implies that daily opening prices closely mirror closing prices, indicating trading consistency.</w:t>
      </w:r>
    </w:p>
    <w:p w14:paraId="1D46BEB5" w14:textId="77777777" w:rsidR="00920626" w:rsidRDefault="00000000" w:rsidP="005202D7">
      <w:pPr>
        <w:pStyle w:val="BodyText"/>
        <w:spacing w:line="276" w:lineRule="auto"/>
      </w:pPr>
      <w:r>
        <w:t xml:space="preserve">For example, when the opening price was around $132.13, the closing price tended to be around $131.98, and similarly for an opening price of $101.27, with the closing price at </w:t>
      </w:r>
      <w:r>
        <w:lastRenderedPageBreak/>
        <w:t>around $103.10. This suggests a consistent trading behavior where investors react similarly to price movements.</w:t>
      </w:r>
    </w:p>
    <w:p w14:paraId="3E0EE299" w14:textId="55625C66" w:rsidR="00920626" w:rsidRDefault="00000000" w:rsidP="005202D7">
      <w:pPr>
        <w:pStyle w:val="BodyText"/>
        <w:spacing w:line="276" w:lineRule="auto"/>
      </w:pPr>
      <w:r>
        <w:rPr>
          <w:b/>
          <w:bCs/>
        </w:rPr>
        <w:t>Note:</w:t>
      </w:r>
      <w:r>
        <w:t xml:space="preserve"> For an interactive version of the scatter plot, where you can explore the data points in detail, please follow this link: </w:t>
      </w:r>
      <w:hyperlink r:id="rId13" w:history="1">
        <w:r>
          <w:rPr>
            <w:rStyle w:val="Hyperlink"/>
          </w:rPr>
          <w:t>Scatter Plot of Volume vs. Time</w:t>
        </w:r>
      </w:hyperlink>
    </w:p>
    <w:p w14:paraId="5C17CDF0" w14:textId="77777777" w:rsidR="00920626" w:rsidRPr="005202D7" w:rsidRDefault="00000000" w:rsidP="005202D7">
      <w:pPr>
        <w:pStyle w:val="Heading2"/>
        <w:spacing w:line="276" w:lineRule="auto"/>
        <w:rPr>
          <w:color w:val="auto"/>
        </w:rPr>
      </w:pPr>
      <w:bookmarkStart w:id="28" w:name="bar-chart-of-monthly-trading-volumes"/>
      <w:bookmarkStart w:id="29" w:name="_Toc181820847"/>
      <w:bookmarkEnd w:id="26"/>
      <w:r w:rsidRPr="005202D7">
        <w:rPr>
          <w:color w:val="auto"/>
        </w:rPr>
        <w:t>4.2 Bar Chart of Monthly Trading Volumes</w:t>
      </w:r>
      <w:bookmarkEnd w:id="29"/>
    </w:p>
    <w:p w14:paraId="18445F89" w14:textId="77777777" w:rsidR="00920626" w:rsidRDefault="00000000" w:rsidP="005202D7">
      <w:pPr>
        <w:pStyle w:val="FirstParagraph"/>
        <w:spacing w:line="276" w:lineRule="auto"/>
      </w:pPr>
      <w:r>
        <w:t>• Description: This bar chart displays the total trading volume of LTC aggregated by month.</w:t>
      </w:r>
    </w:p>
    <w:p w14:paraId="1211BB1A" w14:textId="77777777" w:rsidR="00920626" w:rsidRDefault="00000000" w:rsidP="005202D7">
      <w:pPr>
        <w:pStyle w:val="BodyText"/>
        <w:spacing w:line="276" w:lineRule="auto"/>
      </w:pPr>
      <w:r>
        <w:t>• Variables Visualized: Month (X-axis) and Total Volume (Y-axis).</w:t>
      </w:r>
    </w:p>
    <w:p w14:paraId="4D438DFD" w14:textId="77777777" w:rsidR="00920626" w:rsidRDefault="00000000" w:rsidP="005202D7">
      <w:pPr>
        <w:pStyle w:val="SourceCode"/>
        <w:spacing w:line="276" w:lineRule="auto"/>
      </w:pPr>
      <w:r>
        <w:rPr>
          <w:rStyle w:val="VerbatimChar"/>
        </w:rPr>
        <w:t xml:space="preserve"> [1] "Unix.Timestamp" "Date"           "Open"           "High"          </w:t>
      </w:r>
      <w:r>
        <w:br/>
      </w:r>
      <w:r>
        <w:rPr>
          <w:rStyle w:val="VerbatimChar"/>
        </w:rPr>
        <w:t xml:space="preserve"> [5] "Low"            "Close"          "Volume"         "DateTime"      </w:t>
      </w:r>
      <w:r>
        <w:br/>
      </w:r>
      <w:r>
        <w:rPr>
          <w:rStyle w:val="VerbatimChar"/>
        </w:rPr>
        <w:t xml:space="preserve"> [9] "Sqrt_Volume"    "Month"         </w:t>
      </w:r>
    </w:p>
    <w:p w14:paraId="33AB0FEF" w14:textId="77777777" w:rsidR="00920626" w:rsidRDefault="00000000" w:rsidP="005202D7">
      <w:pPr>
        <w:pStyle w:val="CaptionedFigure"/>
        <w:spacing w:line="276" w:lineRule="auto"/>
      </w:pPr>
      <w:r>
        <w:rPr>
          <w:noProof/>
        </w:rPr>
        <w:drawing>
          <wp:inline distT="0" distB="0" distL="0" distR="0" wp14:anchorId="60F66D1A" wp14:editId="68C47115">
            <wp:extent cx="4620126" cy="3696101"/>
            <wp:effectExtent l="0" t="0" r="0" b="0"/>
            <wp:docPr id="56" name="Picture" descr="Total Trading Volumes Per Month"/>
            <wp:cNvGraphicFramePr/>
            <a:graphic xmlns:a="http://schemas.openxmlformats.org/drawingml/2006/main">
              <a:graphicData uri="http://schemas.openxmlformats.org/drawingml/2006/picture">
                <pic:pic xmlns:pic="http://schemas.openxmlformats.org/drawingml/2006/picture">
                  <pic:nvPicPr>
                    <pic:cNvPr id="57" name="Picture" descr="Final_Report_files/figure-docx/Bar%20Chart%20of%20Monthly%20Trading%20Volumes-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448F0251" w14:textId="77777777" w:rsidR="00920626" w:rsidRDefault="00000000" w:rsidP="005202D7">
      <w:pPr>
        <w:pStyle w:val="ImageCaption"/>
        <w:spacing w:line="276" w:lineRule="auto"/>
      </w:pPr>
      <w:r>
        <w:t>Total Trading Volumes Per Month</w:t>
      </w:r>
    </w:p>
    <w:p w14:paraId="3D58A3A2" w14:textId="77777777" w:rsidR="00920626" w:rsidRDefault="00000000" w:rsidP="005202D7">
      <w:pPr>
        <w:pStyle w:val="BodyText"/>
        <w:spacing w:line="276" w:lineRule="auto"/>
      </w:pPr>
      <w:r>
        <w:t>Patterns Observed:</w:t>
      </w:r>
    </w:p>
    <w:p w14:paraId="0C8A5F43" w14:textId="77777777" w:rsidR="00920626" w:rsidRDefault="00000000" w:rsidP="005202D7">
      <w:pPr>
        <w:pStyle w:val="Compact"/>
        <w:numPr>
          <w:ilvl w:val="0"/>
          <w:numId w:val="8"/>
        </w:numPr>
        <w:spacing w:line="276" w:lineRule="auto"/>
      </w:pPr>
      <w:r>
        <w:t>General Trend: The overall trading volume shows significant fluctuations between 2020 and early 2021.ersion, please follow this link:</w:t>
      </w:r>
    </w:p>
    <w:p w14:paraId="337545E9" w14:textId="229E3717" w:rsidR="00920626" w:rsidRDefault="00000000" w:rsidP="005202D7">
      <w:pPr>
        <w:pStyle w:val="FirstParagraph"/>
        <w:spacing w:line="276" w:lineRule="auto"/>
      </w:pPr>
      <w:r>
        <w:t xml:space="preserve">Note: This chart is a static representation. for an interactive version using the ggplotly package, please follow this link: </w:t>
      </w:r>
      <w:hyperlink r:id="rId15" w:history="1">
        <w:r>
          <w:rPr>
            <w:rStyle w:val="Hyperlink"/>
          </w:rPr>
          <w:t>Trading Volume over time</w:t>
        </w:r>
      </w:hyperlink>
    </w:p>
    <w:p w14:paraId="3507DACE" w14:textId="77777777" w:rsidR="00920626" w:rsidRDefault="00000000" w:rsidP="005202D7">
      <w:pPr>
        <w:numPr>
          <w:ilvl w:val="0"/>
          <w:numId w:val="9"/>
        </w:numPr>
        <w:spacing w:line="276" w:lineRule="auto"/>
      </w:pPr>
      <w:r>
        <w:lastRenderedPageBreak/>
        <w:t>Initial Increase: Trading volume started at 293,338 in January 2020. Notable increases were observed in February (370,491) and March (814,067), likely due to growing interest in cryptocurrencies.</w:t>
      </w:r>
    </w:p>
    <w:p w14:paraId="0961DE8A" w14:textId="77777777" w:rsidR="00920626" w:rsidRDefault="00000000" w:rsidP="005202D7">
      <w:pPr>
        <w:numPr>
          <w:ilvl w:val="0"/>
          <w:numId w:val="9"/>
        </w:numPr>
        <w:spacing w:line="276" w:lineRule="auto"/>
      </w:pPr>
      <w:r>
        <w:t>Peak Volume: The highest trading volume was recorded in January 2021 at 1,175,756. This peak suggests increased trading activity possibly triggered by significant market events.</w:t>
      </w:r>
    </w:p>
    <w:p w14:paraId="0AA31579" w14:textId="77777777" w:rsidR="00920626" w:rsidRDefault="00000000" w:rsidP="005202D7">
      <w:pPr>
        <w:numPr>
          <w:ilvl w:val="0"/>
          <w:numId w:val="9"/>
        </w:numPr>
        <w:spacing w:line="276" w:lineRule="auto"/>
      </w:pPr>
      <w:r>
        <w:t>Seasonal Patterns: High trading volumes are noted towards the end of the year (e.g., December 2020: 901,766) and the beginning of the following year (e.g., January 2021). Increased activity during this period may correlate with year-end strategies or investor behavior.</w:t>
      </w:r>
    </w:p>
    <w:p w14:paraId="2D7B856B" w14:textId="77777777" w:rsidR="00920626" w:rsidRDefault="00000000" w:rsidP="005202D7">
      <w:pPr>
        <w:numPr>
          <w:ilvl w:val="0"/>
          <w:numId w:val="9"/>
        </w:numPr>
        <w:spacing w:line="276" w:lineRule="auto"/>
      </w:pPr>
      <w:r>
        <w:t>Declining Volume Post-Peak After reaching the peak in January 2021, trading volume declined in February (1,149,316) and March (759,261). Although there was an increase in April (915,264), it remained below January’s figures, indicating a possible cooling-off period.</w:t>
      </w:r>
    </w:p>
    <w:p w14:paraId="76BA3821" w14:textId="77777777" w:rsidR="00920626" w:rsidRDefault="00000000" w:rsidP="005202D7">
      <w:pPr>
        <w:numPr>
          <w:ilvl w:val="0"/>
          <w:numId w:val="9"/>
        </w:numPr>
        <w:spacing w:line="276" w:lineRule="auto"/>
      </w:pPr>
      <w:r>
        <w:t>Volatility in 2020 Significant drops in trading volume were observed in June (211,021) and July (249,432). This decline may reflect market trends or external economic factors affecting investor sentiment.</w:t>
      </w:r>
    </w:p>
    <w:p w14:paraId="61083728" w14:textId="77777777" w:rsidR="00920626" w:rsidRDefault="00000000" w:rsidP="005202D7">
      <w:pPr>
        <w:spacing w:line="276" w:lineRule="auto"/>
      </w:pPr>
      <w:r>
        <w:br w:type="page"/>
      </w:r>
    </w:p>
    <w:p w14:paraId="1338EC66" w14:textId="77777777" w:rsidR="00920626" w:rsidRPr="005202D7" w:rsidRDefault="00000000" w:rsidP="005202D7">
      <w:pPr>
        <w:pStyle w:val="Heading1"/>
        <w:spacing w:line="276" w:lineRule="auto"/>
        <w:rPr>
          <w:color w:val="auto"/>
        </w:rPr>
      </w:pPr>
      <w:bookmarkStart w:id="30" w:name="interactive-visualizations"/>
      <w:bookmarkStart w:id="31" w:name="_Toc181820848"/>
      <w:bookmarkEnd w:id="24"/>
      <w:bookmarkEnd w:id="28"/>
      <w:r w:rsidRPr="005202D7">
        <w:rPr>
          <w:color w:val="auto"/>
        </w:rPr>
        <w:lastRenderedPageBreak/>
        <w:t>5. Interactive visualizations</w:t>
      </w:r>
      <w:bookmarkEnd w:id="31"/>
    </w:p>
    <w:p w14:paraId="09D1C9FE" w14:textId="77777777" w:rsidR="00920626" w:rsidRDefault="00000000" w:rsidP="005202D7">
      <w:pPr>
        <w:pStyle w:val="FirstParagraph"/>
        <w:spacing w:line="276" w:lineRule="auto"/>
      </w:pPr>
      <w:r>
        <w:t>In this section, interactive visualizations are created using Plotly and Shiny. These visualizations allow users to dynamically interact with the data, enhancing understanding through features like zooming, panning, and tooltips.</w:t>
      </w:r>
    </w:p>
    <w:p w14:paraId="503ECCF2" w14:textId="77777777" w:rsidR="00920626" w:rsidRDefault="00000000" w:rsidP="005202D7">
      <w:pPr>
        <w:pStyle w:val="BodyText"/>
        <w:spacing w:line="276" w:lineRule="auto"/>
      </w:pPr>
      <w:r>
        <w:rPr>
          <w:b/>
          <w:bCs/>
        </w:rPr>
        <w:t>Key Features and Implementations:</w:t>
      </w:r>
    </w:p>
    <w:p w14:paraId="1449382F" w14:textId="77777777" w:rsidR="00920626" w:rsidRDefault="00000000" w:rsidP="005202D7">
      <w:pPr>
        <w:numPr>
          <w:ilvl w:val="0"/>
          <w:numId w:val="10"/>
        </w:numPr>
        <w:spacing w:line="276" w:lineRule="auto"/>
      </w:pPr>
      <w:r>
        <w:rPr>
          <w:b/>
          <w:bCs/>
        </w:rPr>
        <w:t>Dynamic Exploration:</w:t>
      </w:r>
    </w:p>
    <w:p w14:paraId="57FD1580" w14:textId="77777777" w:rsidR="00920626" w:rsidRDefault="00000000" w:rsidP="005202D7">
      <w:pPr>
        <w:numPr>
          <w:ilvl w:val="1"/>
          <w:numId w:val="11"/>
        </w:numPr>
        <w:spacing w:line="276" w:lineRule="auto"/>
      </w:pPr>
      <w:r>
        <w:t>Users can hover over data points to view precise values, enabling better insight into specific dates and prices.</w:t>
      </w:r>
    </w:p>
    <w:p w14:paraId="232EB2B5" w14:textId="77777777" w:rsidR="00920626" w:rsidRDefault="00000000" w:rsidP="005202D7">
      <w:pPr>
        <w:numPr>
          <w:ilvl w:val="1"/>
          <w:numId w:val="11"/>
        </w:numPr>
        <w:spacing w:line="276" w:lineRule="auto"/>
      </w:pPr>
      <w:r>
        <w:t>Zoom and pan functionalities allow users to focus on particular timeframes, making it easier to analyze trends and fluctuations.</w:t>
      </w:r>
    </w:p>
    <w:p w14:paraId="518A901C" w14:textId="77777777" w:rsidR="00920626" w:rsidRDefault="00000000" w:rsidP="005202D7">
      <w:pPr>
        <w:numPr>
          <w:ilvl w:val="0"/>
          <w:numId w:val="10"/>
        </w:numPr>
        <w:spacing w:line="276" w:lineRule="auto"/>
      </w:pPr>
      <w:r>
        <w:rPr>
          <w:b/>
          <w:bCs/>
        </w:rPr>
        <w:t>Multiple Visualizations:</w:t>
      </w:r>
    </w:p>
    <w:p w14:paraId="4BC77184" w14:textId="77777777" w:rsidR="00920626" w:rsidRDefault="00000000" w:rsidP="005202D7">
      <w:pPr>
        <w:numPr>
          <w:ilvl w:val="1"/>
          <w:numId w:val="12"/>
        </w:numPr>
        <w:spacing w:line="276" w:lineRule="auto"/>
      </w:pPr>
      <w:r>
        <w:t>Line Charts: The Close price over time was plotted using a line chart, facilitating an understanding of price trends..</w:t>
      </w:r>
    </w:p>
    <w:p w14:paraId="3D5AABA5" w14:textId="77777777" w:rsidR="00920626" w:rsidRDefault="00000000" w:rsidP="005202D7">
      <w:pPr>
        <w:numPr>
          <w:ilvl w:val="1"/>
          <w:numId w:val="12"/>
        </w:numPr>
        <w:spacing w:line="276" w:lineRule="auto"/>
      </w:pPr>
      <w:r>
        <w:t>Daily Returns: A dedicated line chart visualizing daily returns helps in assessing price volatility, with features to explore specific periods and values.</w:t>
      </w:r>
    </w:p>
    <w:p w14:paraId="5A77B8D9" w14:textId="77777777" w:rsidR="00920626" w:rsidRDefault="00000000" w:rsidP="005202D7">
      <w:pPr>
        <w:numPr>
          <w:ilvl w:val="1"/>
          <w:numId w:val="12"/>
        </w:numPr>
        <w:spacing w:line="276" w:lineRule="auto"/>
      </w:pPr>
      <w:r>
        <w:t>Moving Averages: Interactive plots incorporated multiple moving averages (MA5, MA10, MA20, MA50, MA100, MA200) to help users identify trends and smoothing effects over different periods</w:t>
      </w:r>
    </w:p>
    <w:p w14:paraId="3DFB49DA" w14:textId="77777777" w:rsidR="00920626" w:rsidRDefault="00000000" w:rsidP="005202D7">
      <w:pPr>
        <w:numPr>
          <w:ilvl w:val="0"/>
          <w:numId w:val="10"/>
        </w:numPr>
        <w:spacing w:line="276" w:lineRule="auto"/>
      </w:pPr>
      <w:r>
        <w:rPr>
          <w:b/>
          <w:bCs/>
        </w:rPr>
        <w:t>Forecasting:</w:t>
      </w:r>
    </w:p>
    <w:p w14:paraId="6C4D150C" w14:textId="77777777" w:rsidR="00920626" w:rsidRDefault="00000000" w:rsidP="005202D7">
      <w:pPr>
        <w:pStyle w:val="Compact"/>
        <w:numPr>
          <w:ilvl w:val="1"/>
          <w:numId w:val="13"/>
        </w:numPr>
        <w:spacing w:line="276" w:lineRule="auto"/>
      </w:pPr>
      <w:r>
        <w:t>An ARIMA model was fitted to historical closing prices, providing a 30-day forecast with a confidence interval. The forecast plot allows users to compare historical data with projected trends interactively, further facilitating strategic decision-making.</w:t>
      </w:r>
    </w:p>
    <w:p w14:paraId="642D59EE" w14:textId="77777777" w:rsidR="00920626" w:rsidRDefault="00000000" w:rsidP="005202D7">
      <w:pPr>
        <w:numPr>
          <w:ilvl w:val="0"/>
          <w:numId w:val="10"/>
        </w:numPr>
        <w:spacing w:line="276" w:lineRule="auto"/>
      </w:pPr>
      <w:r>
        <w:rPr>
          <w:b/>
          <w:bCs/>
        </w:rPr>
        <w:t>Shiny Dashboard:</w:t>
      </w:r>
    </w:p>
    <w:p w14:paraId="3ADFE0F1" w14:textId="77777777" w:rsidR="00920626" w:rsidRDefault="00000000" w:rsidP="005202D7">
      <w:pPr>
        <w:numPr>
          <w:ilvl w:val="1"/>
          <w:numId w:val="14"/>
        </w:numPr>
        <w:spacing w:line="276" w:lineRule="auto"/>
      </w:pPr>
      <w:r>
        <w:t>A Shiny dashboard was developed to create an organized and interactive user interface. Users can select date ranges to filter data dynamically, affecting all displayed visualizations simultaneously.</w:t>
      </w:r>
    </w:p>
    <w:p w14:paraId="39C56374" w14:textId="77777777" w:rsidR="00920626" w:rsidRDefault="00000000" w:rsidP="005202D7">
      <w:pPr>
        <w:numPr>
          <w:ilvl w:val="1"/>
          <w:numId w:val="14"/>
        </w:numPr>
        <w:spacing w:line="276" w:lineRule="auto"/>
      </w:pPr>
      <w:r>
        <w:t>The dashboard features multiple tabs, including Market Analysis and Forecast, allowing users to navigate through different analyses seamlessly.</w:t>
      </w:r>
    </w:p>
    <w:p w14:paraId="6485342D" w14:textId="77777777" w:rsidR="00920626" w:rsidRDefault="00000000" w:rsidP="005202D7">
      <w:pPr>
        <w:numPr>
          <w:ilvl w:val="0"/>
          <w:numId w:val="10"/>
        </w:numPr>
        <w:spacing w:line="276" w:lineRule="auto"/>
      </w:pPr>
      <w:r>
        <w:rPr>
          <w:b/>
          <w:bCs/>
        </w:rPr>
        <w:t>Enhanced User Engagement:</w:t>
      </w:r>
    </w:p>
    <w:p w14:paraId="652F96C9" w14:textId="77777777" w:rsidR="00920626" w:rsidRDefault="00000000" w:rsidP="005202D7">
      <w:pPr>
        <w:numPr>
          <w:ilvl w:val="1"/>
          <w:numId w:val="15"/>
        </w:numPr>
        <w:spacing w:line="276" w:lineRule="auto"/>
      </w:pPr>
      <w:r>
        <w:lastRenderedPageBreak/>
        <w:t>Tooltips provide context for each data point, while hover and click interactions reveal underlying data, enhancing user engagement and understanding.</w:t>
      </w:r>
    </w:p>
    <w:p w14:paraId="6DB88132" w14:textId="77777777" w:rsidR="00920626" w:rsidRDefault="00000000" w:rsidP="005202D7">
      <w:pPr>
        <w:numPr>
          <w:ilvl w:val="1"/>
          <w:numId w:val="15"/>
        </w:numPr>
        <w:spacing w:line="276" w:lineRule="auto"/>
      </w:pPr>
      <w:r>
        <w:t>The responsive design of the Shiny dashboard allows users to interact with visualizations across different devices, promoting accessibility.</w:t>
      </w:r>
    </w:p>
    <w:p w14:paraId="5A4155BF" w14:textId="77777777" w:rsidR="00920626" w:rsidRPr="005202D7" w:rsidRDefault="00000000" w:rsidP="005202D7">
      <w:pPr>
        <w:pStyle w:val="Heading2"/>
        <w:spacing w:line="276" w:lineRule="auto"/>
        <w:rPr>
          <w:color w:val="auto"/>
        </w:rPr>
      </w:pPr>
      <w:bookmarkStart w:id="32" w:name="line-chart-of-ltc-close-prices"/>
      <w:bookmarkStart w:id="33" w:name="_Toc181820849"/>
      <w:r w:rsidRPr="005202D7">
        <w:rPr>
          <w:color w:val="auto"/>
        </w:rPr>
        <w:t>5.1 Line Chart of LTC Close Prices</w:t>
      </w:r>
      <w:bookmarkEnd w:id="33"/>
    </w:p>
    <w:p w14:paraId="17836086" w14:textId="77777777" w:rsidR="00920626" w:rsidRDefault="00000000" w:rsidP="005202D7">
      <w:pPr>
        <w:numPr>
          <w:ilvl w:val="0"/>
          <w:numId w:val="16"/>
        </w:numPr>
        <w:spacing w:line="276" w:lineRule="auto"/>
      </w:pPr>
      <w:r>
        <w:t>Description: This line chart displays the closing prices of Litecoin (LTC) over time. Each point on the line represents the close price on a specific date, illustrating price trends throughout the selected period.</w:t>
      </w:r>
    </w:p>
    <w:p w14:paraId="261AA9E1" w14:textId="77777777" w:rsidR="00920626" w:rsidRDefault="00000000" w:rsidP="005202D7">
      <w:pPr>
        <w:numPr>
          <w:ilvl w:val="0"/>
          <w:numId w:val="16"/>
        </w:numPr>
        <w:spacing w:line="276" w:lineRule="auto"/>
      </w:pPr>
      <w:r>
        <w:t>Variables Visualized:</w:t>
      </w:r>
    </w:p>
    <w:p w14:paraId="67F3F53A" w14:textId="77777777" w:rsidR="00920626" w:rsidRDefault="00000000" w:rsidP="005202D7">
      <w:pPr>
        <w:numPr>
          <w:ilvl w:val="1"/>
          <w:numId w:val="17"/>
        </w:numPr>
        <w:spacing w:line="276" w:lineRule="auto"/>
      </w:pPr>
      <w:r>
        <w:t>X-Axis : Date (representing the timeline of the closing price)</w:t>
      </w:r>
    </w:p>
    <w:p w14:paraId="15139FC5" w14:textId="77777777" w:rsidR="00920626" w:rsidRDefault="00000000" w:rsidP="005202D7">
      <w:pPr>
        <w:numPr>
          <w:ilvl w:val="1"/>
          <w:numId w:val="17"/>
        </w:numPr>
        <w:spacing w:line="276" w:lineRule="auto"/>
      </w:pPr>
      <w:r>
        <w:t>Y- axis: Close Price (in USD)</w:t>
      </w:r>
    </w:p>
    <w:p w14:paraId="2CE4F90C" w14:textId="77777777" w:rsidR="00920626" w:rsidRDefault="00000000" w:rsidP="005202D7">
      <w:pPr>
        <w:pStyle w:val="CaptionedFigure"/>
        <w:spacing w:line="276" w:lineRule="auto"/>
      </w:pPr>
      <w:r>
        <w:rPr>
          <w:noProof/>
        </w:rPr>
        <w:drawing>
          <wp:inline distT="0" distB="0" distL="0" distR="0" wp14:anchorId="53332F62" wp14:editId="6DADACFF">
            <wp:extent cx="4620126" cy="3696101"/>
            <wp:effectExtent l="0" t="0" r="0" b="0"/>
            <wp:docPr id="62" name="Picture" descr="LTC Close Price over time"/>
            <wp:cNvGraphicFramePr/>
            <a:graphic xmlns:a="http://schemas.openxmlformats.org/drawingml/2006/main">
              <a:graphicData uri="http://schemas.openxmlformats.org/drawingml/2006/picture">
                <pic:pic xmlns:pic="http://schemas.openxmlformats.org/drawingml/2006/picture">
                  <pic:nvPicPr>
                    <pic:cNvPr id="63" name="Picture" descr="Final_Report_files/figure-docx/LTC%20Close%20Price%20over%20time-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673308D7" w14:textId="77777777" w:rsidR="00920626" w:rsidRDefault="00000000" w:rsidP="005202D7">
      <w:pPr>
        <w:pStyle w:val="ImageCaption"/>
        <w:spacing w:line="276" w:lineRule="auto"/>
      </w:pPr>
      <w:r>
        <w:t>LTC Close Price over time</w:t>
      </w:r>
    </w:p>
    <w:p w14:paraId="2BE704E3" w14:textId="77777777" w:rsidR="00920626" w:rsidRDefault="00000000" w:rsidP="005202D7">
      <w:pPr>
        <w:pStyle w:val="BodyText"/>
        <w:spacing w:line="276" w:lineRule="auto"/>
      </w:pPr>
      <w:r>
        <w:t xml:space="preserve">This line chart shows the </w:t>
      </w:r>
      <w:r>
        <w:rPr>
          <w:b/>
          <w:bCs/>
        </w:rPr>
        <w:t>LTC (Litecoin) Close Price</w:t>
      </w:r>
      <w:r>
        <w:t xml:space="preserve"> over time from early 2020 to mid-2021.</w:t>
      </w:r>
    </w:p>
    <w:p w14:paraId="58B337B4" w14:textId="77777777" w:rsidR="00920626" w:rsidRDefault="00000000" w:rsidP="005202D7">
      <w:pPr>
        <w:pStyle w:val="BodyText"/>
        <w:spacing w:line="276" w:lineRule="auto"/>
      </w:pPr>
      <w:r>
        <w:t>An overview of what it looks like upon hovering:</w:t>
      </w:r>
    </w:p>
    <w:p w14:paraId="6E6CD9EA" w14:textId="77777777" w:rsidR="00920626" w:rsidRDefault="00000000" w:rsidP="005202D7">
      <w:pPr>
        <w:pStyle w:val="CaptionedFigure"/>
        <w:spacing w:line="276" w:lineRule="auto"/>
      </w:pPr>
      <w:r>
        <w:rPr>
          <w:noProof/>
        </w:rPr>
        <w:lastRenderedPageBreak/>
        <w:drawing>
          <wp:inline distT="0" distB="0" distL="0" distR="0" wp14:anchorId="3AD2B024" wp14:editId="3FBC3882">
            <wp:extent cx="4429125" cy="4175373"/>
            <wp:effectExtent l="0" t="0" r="0" b="0"/>
            <wp:docPr id="65" name="Picture" descr="LTC Close price over Time"/>
            <wp:cNvGraphicFramePr/>
            <a:graphic xmlns:a="http://schemas.openxmlformats.org/drawingml/2006/main">
              <a:graphicData uri="http://schemas.openxmlformats.org/drawingml/2006/picture">
                <pic:pic xmlns:pic="http://schemas.openxmlformats.org/drawingml/2006/picture">
                  <pic:nvPicPr>
                    <pic:cNvPr id="66" name="Picture" descr="images/Screenshot%20(432).png"/>
                    <pic:cNvPicPr>
                      <a:picLocks noChangeAspect="1" noChangeArrowheads="1"/>
                    </pic:cNvPicPr>
                  </pic:nvPicPr>
                  <pic:blipFill>
                    <a:blip r:embed="rId17"/>
                    <a:stretch>
                      <a:fillRect/>
                    </a:stretch>
                  </pic:blipFill>
                  <pic:spPr bwMode="auto">
                    <a:xfrm>
                      <a:off x="0" y="0"/>
                      <a:ext cx="4429125" cy="4175373"/>
                    </a:xfrm>
                    <a:prstGeom prst="rect">
                      <a:avLst/>
                    </a:prstGeom>
                    <a:noFill/>
                    <a:ln w="9525">
                      <a:noFill/>
                      <a:headEnd/>
                      <a:tailEnd/>
                    </a:ln>
                  </pic:spPr>
                </pic:pic>
              </a:graphicData>
            </a:graphic>
          </wp:inline>
        </w:drawing>
      </w:r>
    </w:p>
    <w:p w14:paraId="60F0EAEE" w14:textId="77777777" w:rsidR="00920626" w:rsidRDefault="00000000" w:rsidP="005202D7">
      <w:pPr>
        <w:pStyle w:val="ImageCaption"/>
        <w:spacing w:line="276" w:lineRule="auto"/>
      </w:pPr>
      <w:r>
        <w:t>LTC Close price over Time</w:t>
      </w:r>
    </w:p>
    <w:p w14:paraId="15718F4B" w14:textId="0854FD55" w:rsidR="00920626" w:rsidRDefault="00000000" w:rsidP="005202D7">
      <w:pPr>
        <w:pStyle w:val="BodyText"/>
        <w:spacing w:line="276" w:lineRule="auto"/>
      </w:pPr>
      <w:r>
        <w:t>follow this link to interact with the graph :</w:t>
      </w:r>
      <w:hyperlink r:id="rId18" w:history="1">
        <w:r>
          <w:rPr>
            <w:rStyle w:val="Hyperlink"/>
          </w:rPr>
          <w:t>LTC (</w:t>
        </w:r>
        <w:proofErr w:type="spellStart"/>
        <w:r>
          <w:rPr>
            <w:rStyle w:val="Hyperlink"/>
          </w:rPr>
          <w:t>LiteCoin</w:t>
        </w:r>
        <w:proofErr w:type="spellEnd"/>
        <w:r>
          <w:rPr>
            <w:rStyle w:val="Hyperlink"/>
          </w:rPr>
          <w:t>) Close Price Over Time Interactive line Chart</w:t>
        </w:r>
      </w:hyperlink>
    </w:p>
    <w:p w14:paraId="4092FA20" w14:textId="77777777" w:rsidR="00920626" w:rsidRDefault="00000000" w:rsidP="005202D7">
      <w:pPr>
        <w:pStyle w:val="BodyText"/>
        <w:spacing w:line="276" w:lineRule="auto"/>
      </w:pPr>
      <w:r>
        <w:t>These are the observations seen from the chart:</w:t>
      </w:r>
    </w:p>
    <w:p w14:paraId="61927B35" w14:textId="77777777" w:rsidR="00920626" w:rsidRPr="005202D7" w:rsidRDefault="00000000" w:rsidP="005202D7">
      <w:pPr>
        <w:pStyle w:val="Heading3"/>
        <w:spacing w:line="276" w:lineRule="auto"/>
        <w:rPr>
          <w:color w:val="auto"/>
        </w:rPr>
      </w:pPr>
      <w:bookmarkStart w:id="34" w:name="summary-of-observations-from-the-chart"/>
      <w:r w:rsidRPr="005202D7">
        <w:rPr>
          <w:color w:val="auto"/>
        </w:rPr>
        <w:t>5.1.1 Summary of Observations from the Chart</w:t>
      </w:r>
    </w:p>
    <w:p w14:paraId="4B8D9B70" w14:textId="77777777" w:rsidR="00920626" w:rsidRDefault="00000000" w:rsidP="005202D7">
      <w:pPr>
        <w:pStyle w:val="FirstParagraph"/>
        <w:spacing w:line="276" w:lineRule="auto"/>
      </w:pPr>
      <w:r>
        <w:rPr>
          <w:b/>
          <w:bCs/>
        </w:rPr>
        <w:t>LTC Price Trends (Early 2020 - Mid 2021)</w:t>
      </w:r>
    </w:p>
    <w:p w14:paraId="1290E2D8" w14:textId="77777777" w:rsidR="00920626" w:rsidRDefault="00000000" w:rsidP="005202D7">
      <w:pPr>
        <w:pStyle w:val="Compact"/>
        <w:numPr>
          <w:ilvl w:val="0"/>
          <w:numId w:val="18"/>
        </w:numPr>
        <w:spacing w:line="276" w:lineRule="auto"/>
      </w:pPr>
      <w:r>
        <w:t>Initial Stability (2020):</w:t>
      </w:r>
    </w:p>
    <w:p w14:paraId="5B5B3310" w14:textId="77777777" w:rsidR="00920626" w:rsidRDefault="00000000" w:rsidP="005202D7">
      <w:pPr>
        <w:numPr>
          <w:ilvl w:val="1"/>
          <w:numId w:val="19"/>
        </w:numPr>
        <w:spacing w:line="276" w:lineRule="auto"/>
      </w:pPr>
      <w:r>
        <w:t>Price Range: $40-$60</w:t>
      </w:r>
    </w:p>
    <w:p w14:paraId="54C2C84D" w14:textId="77777777" w:rsidR="00920626" w:rsidRDefault="00000000" w:rsidP="005202D7">
      <w:pPr>
        <w:numPr>
          <w:ilvl w:val="1"/>
          <w:numId w:val="19"/>
        </w:numPr>
        <w:spacing w:line="276" w:lineRule="auto"/>
      </w:pPr>
      <w:r>
        <w:t>Characteristics: Prices remained stable with low volatility, except for a brief spike at around $83.87 in mid February before returning to around $40. This indicates minimal price changes during this period.</w:t>
      </w:r>
    </w:p>
    <w:p w14:paraId="4F8B037E" w14:textId="77777777" w:rsidR="00920626" w:rsidRDefault="00000000" w:rsidP="005202D7">
      <w:pPr>
        <w:pStyle w:val="Compact"/>
        <w:numPr>
          <w:ilvl w:val="0"/>
          <w:numId w:val="18"/>
        </w:numPr>
        <w:spacing w:line="276" w:lineRule="auto"/>
      </w:pPr>
      <w:r>
        <w:t>Gradual Increase with Volatility (Mid-2020 to Late 2020):</w:t>
      </w:r>
    </w:p>
    <w:p w14:paraId="2311EA97" w14:textId="77777777" w:rsidR="00920626" w:rsidRDefault="00000000" w:rsidP="005202D7">
      <w:pPr>
        <w:numPr>
          <w:ilvl w:val="1"/>
          <w:numId w:val="20"/>
        </w:numPr>
        <w:spacing w:line="276" w:lineRule="auto"/>
      </w:pPr>
      <w:r>
        <w:t>Price Range: Reached $80-$90($93.78) by late 2020.</w:t>
      </w:r>
    </w:p>
    <w:p w14:paraId="01617954" w14:textId="77777777" w:rsidR="00920626" w:rsidRDefault="00000000" w:rsidP="005202D7">
      <w:pPr>
        <w:numPr>
          <w:ilvl w:val="1"/>
          <w:numId w:val="20"/>
        </w:numPr>
        <w:spacing w:line="276" w:lineRule="auto"/>
      </w:pPr>
      <w:r>
        <w:lastRenderedPageBreak/>
        <w:t>Characteristics: The period experienced a gradual uptrend with increased volatility, evidenced by noticeable short-term peaks and dips.</w:t>
      </w:r>
    </w:p>
    <w:p w14:paraId="13783029" w14:textId="77777777" w:rsidR="00920626" w:rsidRDefault="00000000" w:rsidP="005202D7">
      <w:pPr>
        <w:pStyle w:val="Compact"/>
        <w:numPr>
          <w:ilvl w:val="0"/>
          <w:numId w:val="18"/>
        </w:numPr>
        <w:spacing w:line="276" w:lineRule="auto"/>
      </w:pPr>
      <w:r>
        <w:t>Rapid Growth Phase (Late 2020 to Early 2021):</w:t>
      </w:r>
    </w:p>
    <w:p w14:paraId="04DC418F" w14:textId="77777777" w:rsidR="00920626" w:rsidRDefault="00000000" w:rsidP="005202D7">
      <w:pPr>
        <w:numPr>
          <w:ilvl w:val="1"/>
          <w:numId w:val="21"/>
        </w:numPr>
        <w:spacing w:line="276" w:lineRule="auto"/>
      </w:pPr>
      <w:r>
        <w:t>Price Surge: LTC prices surged from approximately $80 to over $200 by early 2021, marking a 150% increase.</w:t>
      </w:r>
    </w:p>
    <w:p w14:paraId="10CBAD75" w14:textId="77777777" w:rsidR="00920626" w:rsidRDefault="00000000" w:rsidP="005202D7">
      <w:pPr>
        <w:numPr>
          <w:ilvl w:val="1"/>
          <w:numId w:val="21"/>
        </w:numPr>
        <w:spacing w:line="276" w:lineRule="auto"/>
      </w:pPr>
      <w:r>
        <w:t>Investor Sentiment: This dramatic rise reflects heightened investor interest, likely spurred by a broader cryptocurrency rally.</w:t>
      </w:r>
    </w:p>
    <w:p w14:paraId="70CA1A8F" w14:textId="77777777" w:rsidR="00920626" w:rsidRDefault="00000000" w:rsidP="005202D7">
      <w:pPr>
        <w:pStyle w:val="Compact"/>
        <w:numPr>
          <w:ilvl w:val="0"/>
          <w:numId w:val="18"/>
        </w:numPr>
        <w:spacing w:line="276" w:lineRule="auto"/>
      </w:pPr>
      <w:r>
        <w:t>High Volatility at Elevated Levels (2021):</w:t>
      </w:r>
    </w:p>
    <w:p w14:paraId="1469D939" w14:textId="77777777" w:rsidR="00920626" w:rsidRDefault="00000000" w:rsidP="005202D7">
      <w:pPr>
        <w:numPr>
          <w:ilvl w:val="1"/>
          <w:numId w:val="22"/>
        </w:numPr>
        <w:spacing w:line="276" w:lineRule="auto"/>
      </w:pPr>
      <w:r>
        <w:t>Price Range: Prices fluctuated between $139-$233.</w:t>
      </w:r>
    </w:p>
    <w:p w14:paraId="3BBF25EA" w14:textId="77777777" w:rsidR="00920626" w:rsidRDefault="00000000" w:rsidP="005202D7">
      <w:pPr>
        <w:numPr>
          <w:ilvl w:val="1"/>
          <w:numId w:val="22"/>
        </w:numPr>
        <w:spacing w:line="276" w:lineRule="auto"/>
      </w:pPr>
      <w:r>
        <w:t>Characteristics: Marked by high volatility and frequent price fluctuations, indicative of profit-taking behavior and underlying market uncertainties.</w:t>
      </w:r>
    </w:p>
    <w:p w14:paraId="2F1E636A" w14:textId="77777777" w:rsidR="00920626" w:rsidRDefault="00000000" w:rsidP="005202D7">
      <w:pPr>
        <w:pStyle w:val="FirstParagraph"/>
        <w:spacing w:line="276" w:lineRule="auto"/>
      </w:pPr>
      <w:r>
        <w:rPr>
          <w:b/>
          <w:bCs/>
        </w:rPr>
        <w:t>Market Sentiment and Speculation</w:t>
      </w:r>
    </w:p>
    <w:p w14:paraId="3BD8B871" w14:textId="77777777" w:rsidR="00920626" w:rsidRDefault="00000000" w:rsidP="005202D7">
      <w:pPr>
        <w:pStyle w:val="BodyText"/>
        <w:spacing w:line="276" w:lineRule="auto"/>
      </w:pPr>
      <w:r>
        <w:t>Upward Trends: Driven by technological advancements, favorable regulatory changes, and increasing institutional adoption.</w:t>
      </w:r>
    </w:p>
    <w:p w14:paraId="0428A637" w14:textId="77777777" w:rsidR="00920626" w:rsidRDefault="00000000" w:rsidP="005202D7">
      <w:pPr>
        <w:pStyle w:val="BodyText"/>
        <w:spacing w:line="276" w:lineRule="auto"/>
      </w:pPr>
      <w:r>
        <w:t>Downward Trends: Potentially triggered by regulatory concerns or broader market corrections (Kriptomat, n.d.).</w:t>
      </w:r>
    </w:p>
    <w:p w14:paraId="267D3352" w14:textId="77777777" w:rsidR="00920626" w:rsidRDefault="00000000" w:rsidP="005202D7">
      <w:pPr>
        <w:pStyle w:val="BodyText"/>
        <w:spacing w:line="276" w:lineRule="auto"/>
      </w:pPr>
      <w:r>
        <w:rPr>
          <w:b/>
          <w:bCs/>
        </w:rPr>
        <w:t>Volatility Insights</w:t>
      </w:r>
    </w:p>
    <w:p w14:paraId="2C269221" w14:textId="77777777" w:rsidR="00920626" w:rsidRDefault="00000000" w:rsidP="005202D7">
      <w:pPr>
        <w:pStyle w:val="BodyText"/>
        <w:spacing w:line="276" w:lineRule="auto"/>
      </w:pPr>
      <w:r>
        <w:t>High Volatility: Frequent price fluctuations highlight the speculative trading environment common in cryptocurrency markets.</w:t>
      </w:r>
    </w:p>
    <w:p w14:paraId="5EC0BE73" w14:textId="77777777" w:rsidR="00920626" w:rsidRDefault="00000000" w:rsidP="005202D7">
      <w:pPr>
        <w:pStyle w:val="BodyText"/>
        <w:spacing w:line="276" w:lineRule="auto"/>
      </w:pPr>
      <w:r>
        <w:t>Stability Periods: Episodes of lower volatility may indicate market maturity or a balanced interaction between buyers and sellers.</w:t>
      </w:r>
    </w:p>
    <w:p w14:paraId="2357200A" w14:textId="77777777" w:rsidR="00920626" w:rsidRDefault="00000000" w:rsidP="005202D7">
      <w:pPr>
        <w:pStyle w:val="BodyText"/>
        <w:spacing w:line="276" w:lineRule="auto"/>
      </w:pPr>
      <w:r>
        <w:rPr>
          <w:b/>
          <w:bCs/>
        </w:rPr>
        <w:t>Impact of External Events</w:t>
      </w:r>
    </w:p>
    <w:p w14:paraId="6074E670" w14:textId="77777777" w:rsidR="00920626" w:rsidRDefault="00000000" w:rsidP="005202D7">
      <w:pPr>
        <w:pStyle w:val="BodyText"/>
        <w:spacing w:line="276" w:lineRule="auto"/>
      </w:pPr>
      <w:r>
        <w:t>Correlation with Events: Price changes often align with significant external events, such as regulatory announcements or shifts in Bitcoin prices, showcasing LTC’s sensitivity to market news.</w:t>
      </w:r>
    </w:p>
    <w:p w14:paraId="7FB94979" w14:textId="77777777" w:rsidR="00920626" w:rsidRDefault="00000000" w:rsidP="005202D7">
      <w:pPr>
        <w:pStyle w:val="BodyText"/>
        <w:spacing w:line="276" w:lineRule="auto"/>
      </w:pPr>
      <w:r>
        <w:rPr>
          <w:b/>
          <w:bCs/>
        </w:rPr>
        <w:t>Potential for Cyclical Patterns</w:t>
      </w:r>
    </w:p>
    <w:p w14:paraId="0244B1A7" w14:textId="77777777" w:rsidR="00920626" w:rsidRDefault="00000000" w:rsidP="005202D7">
      <w:pPr>
        <w:pStyle w:val="BodyText"/>
        <w:spacing w:line="276" w:lineRule="auto"/>
      </w:pPr>
      <w:r>
        <w:t>Recurring Patterns: Observations of predictable rises and falls may suggest seasonal trading behaviors related to broader economic or Bitcoin cycles.</w:t>
      </w:r>
    </w:p>
    <w:p w14:paraId="20600F8A" w14:textId="77777777" w:rsidR="00920626" w:rsidRDefault="00000000" w:rsidP="005202D7">
      <w:pPr>
        <w:pStyle w:val="BodyText"/>
        <w:spacing w:line="276" w:lineRule="auto"/>
      </w:pPr>
      <w:r>
        <w:rPr>
          <w:b/>
          <w:bCs/>
        </w:rPr>
        <w:t>Overall Implications</w:t>
      </w:r>
    </w:p>
    <w:p w14:paraId="2040D9A2" w14:textId="77777777" w:rsidR="00920626" w:rsidRPr="005202D7" w:rsidRDefault="00000000" w:rsidP="005202D7">
      <w:pPr>
        <w:pStyle w:val="BodyText"/>
        <w:spacing w:line="276" w:lineRule="auto"/>
      </w:pPr>
      <w:r>
        <w:lastRenderedPageBreak/>
        <w:t xml:space="preserve">Investors should recognize LTC’s sensitivity to market sentiment and external factors, making it suitable for active trading strategies. Long-term holders should </w:t>
      </w:r>
      <w:proofErr w:type="gramStart"/>
      <w:r>
        <w:t>carefully</w:t>
      </w:r>
      <w:proofErr w:type="gramEnd"/>
      <w:r>
        <w:t xml:space="preserve"> time </w:t>
      </w:r>
      <w:r w:rsidRPr="005202D7">
        <w:t>entry and exit points to optimize returns and minimize risks.</w:t>
      </w:r>
    </w:p>
    <w:p w14:paraId="72E9E4AE" w14:textId="77777777" w:rsidR="00920626" w:rsidRPr="005202D7" w:rsidRDefault="00000000" w:rsidP="005202D7">
      <w:pPr>
        <w:pStyle w:val="Heading2"/>
        <w:spacing w:line="276" w:lineRule="auto"/>
        <w:rPr>
          <w:color w:val="auto"/>
        </w:rPr>
      </w:pPr>
      <w:bookmarkStart w:id="35" w:name="daily-returns-of-litecoin-ltc"/>
      <w:bookmarkStart w:id="36" w:name="_Toc181820850"/>
      <w:bookmarkEnd w:id="32"/>
      <w:bookmarkEnd w:id="34"/>
      <w:r w:rsidRPr="005202D7">
        <w:rPr>
          <w:color w:val="auto"/>
        </w:rPr>
        <w:t>5.2 Daily Returns of LiteCoin (LTC)</w:t>
      </w:r>
      <w:bookmarkEnd w:id="36"/>
    </w:p>
    <w:p w14:paraId="11F6D655" w14:textId="77777777" w:rsidR="00920626" w:rsidRPr="005202D7" w:rsidRDefault="00000000" w:rsidP="005202D7">
      <w:pPr>
        <w:pStyle w:val="Heading3"/>
        <w:spacing w:line="276" w:lineRule="auto"/>
        <w:rPr>
          <w:color w:val="auto"/>
        </w:rPr>
      </w:pPr>
      <w:bookmarkStart w:id="37" w:name="calculating-daily-returns"/>
      <w:r w:rsidRPr="005202D7">
        <w:rPr>
          <w:color w:val="auto"/>
        </w:rPr>
        <w:t>5.2.1 Calculating Daily Returns</w:t>
      </w:r>
    </w:p>
    <w:p w14:paraId="45893CBE" w14:textId="77777777" w:rsidR="00920626" w:rsidRDefault="00000000" w:rsidP="005202D7">
      <w:pPr>
        <w:pStyle w:val="FirstParagraph"/>
        <w:spacing w:line="276" w:lineRule="auto"/>
      </w:pPr>
      <w:r>
        <w:t>Daily returns represent the percentage change in the close price from one day to the next. This is calculated using the formula:</w:t>
      </w:r>
    </w:p>
    <w:p w14:paraId="3CEC11E6" w14:textId="77777777" w:rsidR="00920626" w:rsidRDefault="00000000" w:rsidP="005202D7">
      <w:pPr>
        <w:pStyle w:val="BodyText"/>
        <w:spacing w:line="276" w:lineRule="auto"/>
      </w:pPr>
      <m:oMathPara>
        <m:oMathParaPr>
          <m:jc m:val="center"/>
        </m:oMathParaPr>
        <m:oMath>
          <m:r>
            <m:rPr>
              <m:nor/>
            </m:rPr>
            <m:t>Daily Return</m:t>
          </m:r>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nor/>
                        </m:rPr>
                        <m:t>Close</m:t>
                      </m:r>
                    </m:e>
                    <m:sub>
                      <m:r>
                        <m:rPr>
                          <m:nor/>
                        </m:rPr>
                        <m:t>today</m:t>
                      </m:r>
                    </m:sub>
                  </m:sSub>
                </m:num>
                <m:den>
                  <m:sSub>
                    <m:sSubPr>
                      <m:ctrlPr>
                        <w:rPr>
                          <w:rFonts w:ascii="Cambria Math" w:hAnsi="Cambria Math"/>
                        </w:rPr>
                      </m:ctrlPr>
                    </m:sSubPr>
                    <m:e>
                      <m:r>
                        <m:rPr>
                          <m:nor/>
                        </m:rPr>
                        <m:t>Close</m:t>
                      </m:r>
                    </m:e>
                    <m:sub>
                      <m:r>
                        <m:rPr>
                          <m:nor/>
                        </m:rPr>
                        <m:t>yesterday</m:t>
                      </m:r>
                    </m:sub>
                  </m:sSub>
                </m:den>
              </m:f>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100</m:t>
          </m:r>
        </m:oMath>
      </m:oMathPara>
    </w:p>
    <w:p w14:paraId="47778C55" w14:textId="77777777" w:rsidR="00920626" w:rsidRDefault="00000000" w:rsidP="005202D7">
      <w:pPr>
        <w:pStyle w:val="SourceCode"/>
        <w:spacing w:line="276" w:lineRule="auto"/>
      </w:pPr>
      <w:r>
        <w:rPr>
          <w:rStyle w:val="NormalTok"/>
        </w:rPr>
        <w:t xml:space="preserve">Gemini_winsorized </w:t>
      </w:r>
      <w:r>
        <w:rPr>
          <w:rStyle w:val="OtherTok"/>
        </w:rPr>
        <w:t>&lt;-</w:t>
      </w:r>
      <w:r>
        <w:rPr>
          <w:rStyle w:val="NormalTok"/>
        </w:rPr>
        <w:t xml:space="preserve"> Gemini_winsorized </w:t>
      </w:r>
      <w:r>
        <w:rPr>
          <w:rStyle w:val="SpecialCharTok"/>
        </w:rPr>
        <w:t>%&gt;%</w:t>
      </w:r>
      <w:r>
        <w:br/>
      </w:r>
      <w:r>
        <w:rPr>
          <w:rStyle w:val="NormalTok"/>
        </w:rPr>
        <w:t xml:space="preserve">  </w:t>
      </w:r>
      <w:r>
        <w:rPr>
          <w:rStyle w:val="FunctionTok"/>
        </w:rPr>
        <w:t>mutate</w:t>
      </w:r>
      <w:r>
        <w:rPr>
          <w:rStyle w:val="NormalTok"/>
        </w:rPr>
        <w:t>(</w:t>
      </w:r>
      <w:r>
        <w:rPr>
          <w:rStyle w:val="AttributeTok"/>
        </w:rPr>
        <w:t>Daily_Return =</w:t>
      </w:r>
      <w:r>
        <w:rPr>
          <w:rStyle w:val="NormalTok"/>
        </w:rPr>
        <w:t xml:space="preserve"> (Close </w:t>
      </w:r>
      <w:r>
        <w:rPr>
          <w:rStyle w:val="SpecialCharTok"/>
        </w:rPr>
        <w:t>/</w:t>
      </w:r>
      <w:r>
        <w:rPr>
          <w:rStyle w:val="NormalTok"/>
        </w:rPr>
        <w:t xml:space="preserve"> </w:t>
      </w:r>
      <w:r>
        <w:rPr>
          <w:rStyle w:val="FunctionTok"/>
        </w:rPr>
        <w:t>lag</w:t>
      </w:r>
      <w:r>
        <w:rPr>
          <w:rStyle w:val="NormalTok"/>
        </w:rPr>
        <w:t xml:space="preserve">(Close)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DecValTok"/>
        </w:rPr>
        <w:t>100</w:t>
      </w:r>
      <w:r>
        <w:rPr>
          <w:rStyle w:val="NormalTok"/>
        </w:rPr>
        <w:t>)</w:t>
      </w:r>
    </w:p>
    <w:p w14:paraId="504F624F" w14:textId="77777777" w:rsidR="00920626" w:rsidRPr="005202D7" w:rsidRDefault="00000000" w:rsidP="005202D7">
      <w:pPr>
        <w:pStyle w:val="FirstParagraph"/>
        <w:spacing w:line="276" w:lineRule="auto"/>
      </w:pPr>
      <w:r>
        <w:t xml:space="preserve">Purpose: Daily returns provide insight into the volatility and performance of LTC on a day-to-day basis. Positive returns indicate a price increase, while negative returns indicate a </w:t>
      </w:r>
      <w:r w:rsidRPr="005202D7">
        <w:t>decrease.</w:t>
      </w:r>
    </w:p>
    <w:p w14:paraId="107B4AD7" w14:textId="77777777" w:rsidR="00920626" w:rsidRPr="005202D7" w:rsidRDefault="00000000" w:rsidP="005202D7">
      <w:pPr>
        <w:pStyle w:val="Heading3"/>
        <w:spacing w:line="276" w:lineRule="auto"/>
        <w:rPr>
          <w:color w:val="auto"/>
        </w:rPr>
      </w:pPr>
      <w:bookmarkStart w:id="38" w:name="plotting-daily-returns"/>
      <w:bookmarkEnd w:id="37"/>
      <w:r w:rsidRPr="005202D7">
        <w:rPr>
          <w:color w:val="auto"/>
        </w:rPr>
        <w:t>5.2.2 Plotting Daily Returns</w:t>
      </w:r>
    </w:p>
    <w:p w14:paraId="64F2E149" w14:textId="77777777" w:rsidR="00920626" w:rsidRDefault="00000000" w:rsidP="005202D7">
      <w:pPr>
        <w:pStyle w:val="FirstParagraph"/>
        <w:spacing w:line="276" w:lineRule="auto"/>
      </w:pPr>
      <w:r>
        <w:t>Description: This line graph displays the daily returns over time, providing a visual representation of LTC’s volatility.</w:t>
      </w:r>
    </w:p>
    <w:p w14:paraId="54B99CC9" w14:textId="77777777" w:rsidR="00920626" w:rsidRDefault="00000000" w:rsidP="005202D7">
      <w:pPr>
        <w:pStyle w:val="BodyText"/>
        <w:spacing w:line="276" w:lineRule="auto"/>
      </w:pPr>
      <w:r>
        <w:t>This is what the chart looks like upon hovering:</w:t>
      </w:r>
    </w:p>
    <w:p w14:paraId="6FC0C11B" w14:textId="77777777" w:rsidR="00920626" w:rsidRDefault="00000000" w:rsidP="005202D7">
      <w:pPr>
        <w:pStyle w:val="BodyText"/>
        <w:spacing w:line="276" w:lineRule="auto"/>
      </w:pPr>
      <w:r>
        <w:rPr>
          <w:noProof/>
        </w:rPr>
        <w:lastRenderedPageBreak/>
        <w:drawing>
          <wp:inline distT="0" distB="0" distL="0" distR="0" wp14:anchorId="32D0AE7E" wp14:editId="0AC2D465">
            <wp:extent cx="4533900" cy="4326312"/>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images/Screenshot%20(433).png"/>
                    <pic:cNvPicPr>
                      <a:picLocks noChangeAspect="1" noChangeArrowheads="1"/>
                    </pic:cNvPicPr>
                  </pic:nvPicPr>
                  <pic:blipFill>
                    <a:blip r:embed="rId19"/>
                    <a:stretch>
                      <a:fillRect/>
                    </a:stretch>
                  </pic:blipFill>
                  <pic:spPr bwMode="auto">
                    <a:xfrm>
                      <a:off x="0" y="0"/>
                      <a:ext cx="4533900" cy="4326312"/>
                    </a:xfrm>
                    <a:prstGeom prst="rect">
                      <a:avLst/>
                    </a:prstGeom>
                    <a:noFill/>
                    <a:ln w="9525">
                      <a:noFill/>
                      <a:headEnd/>
                      <a:tailEnd/>
                    </a:ln>
                  </pic:spPr>
                </pic:pic>
              </a:graphicData>
            </a:graphic>
          </wp:inline>
        </w:drawing>
      </w:r>
    </w:p>
    <w:p w14:paraId="50BD0CD6" w14:textId="019A8437" w:rsidR="00920626" w:rsidRDefault="00000000" w:rsidP="005202D7">
      <w:pPr>
        <w:pStyle w:val="BodyText"/>
        <w:spacing w:line="276" w:lineRule="auto"/>
      </w:pPr>
      <w:r>
        <w:t xml:space="preserve">To view the interactive line chart , click the link: </w:t>
      </w:r>
      <w:hyperlink r:id="rId20" w:history="1">
        <w:r>
          <w:rPr>
            <w:rStyle w:val="Hyperlink"/>
          </w:rPr>
          <w:t xml:space="preserve">Daily Returns of </w:t>
        </w:r>
        <w:proofErr w:type="spellStart"/>
        <w:r>
          <w:rPr>
            <w:rStyle w:val="Hyperlink"/>
          </w:rPr>
          <w:t>LiteCoin</w:t>
        </w:r>
        <w:proofErr w:type="spellEnd"/>
        <w:r>
          <w:rPr>
            <w:rStyle w:val="Hyperlink"/>
          </w:rPr>
          <w:t xml:space="preserve"> (LTC)</w:t>
        </w:r>
      </w:hyperlink>
    </w:p>
    <w:p w14:paraId="7FA25A76" w14:textId="77777777" w:rsidR="00920626" w:rsidRPr="005202D7" w:rsidRDefault="00000000" w:rsidP="005202D7">
      <w:pPr>
        <w:pStyle w:val="Heading4"/>
        <w:spacing w:line="276" w:lineRule="auto"/>
        <w:rPr>
          <w:color w:val="auto"/>
        </w:rPr>
      </w:pPr>
      <w:bookmarkStart w:id="39" w:name="Xc8592e91fd58df4810564933849dfb918dd0c71"/>
      <w:r w:rsidRPr="005202D7">
        <w:rPr>
          <w:color w:val="auto"/>
        </w:rPr>
        <w:t>5.2.2.1</w:t>
      </w:r>
      <w:proofErr w:type="gramStart"/>
      <w:r w:rsidRPr="005202D7">
        <w:rPr>
          <w:color w:val="auto"/>
        </w:rPr>
        <w:t xml:space="preserve"> Summary</w:t>
      </w:r>
      <w:proofErr w:type="gramEnd"/>
      <w:r w:rsidRPr="005202D7">
        <w:rPr>
          <w:color w:val="auto"/>
        </w:rPr>
        <w:t xml:space="preserve"> of Daily Returns of Litecoin (LTC) from January 2020 to May 2021</w:t>
      </w:r>
    </w:p>
    <w:p w14:paraId="12755037" w14:textId="77777777" w:rsidR="00920626" w:rsidRDefault="00000000" w:rsidP="005202D7">
      <w:pPr>
        <w:pStyle w:val="FirstParagraph"/>
        <w:spacing w:line="276" w:lineRule="auto"/>
      </w:pPr>
      <w:r>
        <w:t>The line graph of daily returns (percent change) for Litecoin (LTC) from January 2020 to May 2021 reveals several key insights:</w:t>
      </w:r>
    </w:p>
    <w:p w14:paraId="3992FE76" w14:textId="77777777" w:rsidR="00920626" w:rsidRDefault="00000000" w:rsidP="005202D7">
      <w:pPr>
        <w:numPr>
          <w:ilvl w:val="0"/>
          <w:numId w:val="23"/>
        </w:numPr>
        <w:spacing w:line="276" w:lineRule="auto"/>
      </w:pPr>
      <w:r>
        <w:t>High Volatility: Daily returns exhibit significant fluctuations, reflecting the unpredictable nature of cryptocurrency markets.</w:t>
      </w:r>
    </w:p>
    <w:p w14:paraId="5738BC59" w14:textId="77777777" w:rsidR="00920626" w:rsidRDefault="00000000" w:rsidP="005202D7">
      <w:pPr>
        <w:numPr>
          <w:ilvl w:val="0"/>
          <w:numId w:val="23"/>
        </w:numPr>
        <w:spacing w:line="276" w:lineRule="auto"/>
      </w:pPr>
      <w:r>
        <w:t>Consistent Range: Most returns remain within -5% to +5%, indicating moderate daily fluctuations despite volatility.</w:t>
      </w:r>
    </w:p>
    <w:p w14:paraId="369E871D" w14:textId="77777777" w:rsidR="00920626" w:rsidRDefault="00000000" w:rsidP="005202D7">
      <w:pPr>
        <w:numPr>
          <w:ilvl w:val="0"/>
          <w:numId w:val="23"/>
        </w:numPr>
        <w:spacing w:line="276" w:lineRule="auto"/>
      </w:pPr>
      <w:r>
        <w:t>Occasional Outliers: Notable spikes, such as sharp declines at -4 % in early 2020 and increases at around +5% in mid-2020, highlight reactions to significant market events.</w:t>
      </w:r>
    </w:p>
    <w:p w14:paraId="7AB222C5" w14:textId="77777777" w:rsidR="00920626" w:rsidRDefault="00000000" w:rsidP="005202D7">
      <w:pPr>
        <w:numPr>
          <w:ilvl w:val="0"/>
          <w:numId w:val="23"/>
        </w:numPr>
        <w:spacing w:line="276" w:lineRule="auto"/>
      </w:pPr>
      <w:r>
        <w:t>Clustering of Volatility: Periods of heightened volatility are followed by stability, suggesting market responses to specific events.</w:t>
      </w:r>
    </w:p>
    <w:p w14:paraId="1EECEB76" w14:textId="77777777" w:rsidR="00920626" w:rsidRDefault="00000000" w:rsidP="005202D7">
      <w:pPr>
        <w:numPr>
          <w:ilvl w:val="0"/>
          <w:numId w:val="23"/>
        </w:numPr>
        <w:spacing w:line="276" w:lineRule="auto"/>
      </w:pPr>
      <w:r>
        <w:lastRenderedPageBreak/>
        <w:t>No Clear Trend: The chart shows regular fluctuations without a discernible price trend, suggesting that short-term trading strategies may be more effective.</w:t>
      </w:r>
    </w:p>
    <w:p w14:paraId="0211C624" w14:textId="77777777" w:rsidR="00920626" w:rsidRDefault="00000000" w:rsidP="005202D7">
      <w:pPr>
        <w:numPr>
          <w:ilvl w:val="0"/>
          <w:numId w:val="23"/>
        </w:numPr>
        <w:spacing w:line="276" w:lineRule="auto"/>
      </w:pPr>
      <w:r>
        <w:t>Stable Periods: Late 2020 and early 2021 exhibit reduced volatility, possibly due to decreased speculation.</w:t>
      </w:r>
    </w:p>
    <w:p w14:paraId="7EEB165C" w14:textId="77777777" w:rsidR="00920626" w:rsidRDefault="00000000" w:rsidP="005202D7">
      <w:pPr>
        <w:pStyle w:val="FirstParagraph"/>
        <w:spacing w:line="276" w:lineRule="auto"/>
      </w:pPr>
      <w:r>
        <w:t>The graph indicates that LTC is a high-risk asset with frequent daily fluctuations. While there is a consistent range of returns, outliers and clusters of volatility reflect market dynamics. This analysis is particularly relevant for short-term traders rather than long-term investors.</w:t>
      </w:r>
    </w:p>
    <w:p w14:paraId="1BC5CBFA" w14:textId="77777777" w:rsidR="00920626" w:rsidRDefault="00000000" w:rsidP="005202D7">
      <w:pPr>
        <w:spacing w:line="276" w:lineRule="auto"/>
      </w:pPr>
      <w:r>
        <w:br w:type="page"/>
      </w:r>
    </w:p>
    <w:p w14:paraId="0E2EE64D" w14:textId="77777777" w:rsidR="00920626" w:rsidRPr="005202D7" w:rsidRDefault="00000000" w:rsidP="005202D7">
      <w:pPr>
        <w:pStyle w:val="Heading1"/>
        <w:spacing w:line="276" w:lineRule="auto"/>
        <w:rPr>
          <w:color w:val="auto"/>
        </w:rPr>
      </w:pPr>
      <w:bookmarkStart w:id="40" w:name="time-series-analysis"/>
      <w:bookmarkStart w:id="41" w:name="_Toc181820851"/>
      <w:bookmarkEnd w:id="30"/>
      <w:bookmarkEnd w:id="35"/>
      <w:bookmarkEnd w:id="38"/>
      <w:bookmarkEnd w:id="39"/>
      <w:r w:rsidRPr="005202D7">
        <w:rPr>
          <w:color w:val="auto"/>
        </w:rPr>
        <w:lastRenderedPageBreak/>
        <w:t>6. Time Series Analysis</w:t>
      </w:r>
      <w:bookmarkEnd w:id="41"/>
    </w:p>
    <w:p w14:paraId="3845DF74" w14:textId="77777777" w:rsidR="00920626" w:rsidRPr="005202D7" w:rsidRDefault="00000000" w:rsidP="005202D7">
      <w:pPr>
        <w:pStyle w:val="Heading2"/>
        <w:spacing w:line="276" w:lineRule="auto"/>
        <w:rPr>
          <w:color w:val="auto"/>
        </w:rPr>
      </w:pPr>
      <w:bookmarkStart w:id="42" w:name="moving-averages"/>
      <w:bookmarkStart w:id="43" w:name="_Toc181820852"/>
      <w:r w:rsidRPr="005202D7">
        <w:rPr>
          <w:color w:val="auto"/>
        </w:rPr>
        <w:t>6.1 Moving Averages</w:t>
      </w:r>
      <w:bookmarkEnd w:id="43"/>
    </w:p>
    <w:p w14:paraId="6B9A49EB" w14:textId="77777777" w:rsidR="00920626" w:rsidRDefault="00000000" w:rsidP="005202D7">
      <w:pPr>
        <w:pStyle w:val="FirstParagraph"/>
        <w:spacing w:line="276" w:lineRule="auto"/>
      </w:pPr>
      <w:r>
        <w:t>Moving averages are a key tool in time series analysis, allowing for the smoothing of short-term fluctuations and highlighting longer-term trends (ProjectPro, 2024). In this analysis, the following moving averages were calculated using the Simple Moving Average (SMA) function from the TTR library:</w:t>
      </w:r>
    </w:p>
    <w:p w14:paraId="1912A1FA" w14:textId="77777777" w:rsidR="00920626" w:rsidRDefault="00000000" w:rsidP="005202D7">
      <w:pPr>
        <w:numPr>
          <w:ilvl w:val="0"/>
          <w:numId w:val="24"/>
        </w:numPr>
        <w:spacing w:line="276" w:lineRule="auto"/>
      </w:pPr>
      <w:r>
        <w:t>5-Day Moving Average (MA5): This moving average captures the average closing price over the last 5 days, helping to identify short-term trends.</w:t>
      </w:r>
    </w:p>
    <w:p w14:paraId="7ADCB2FB" w14:textId="77777777" w:rsidR="00920626" w:rsidRDefault="00000000" w:rsidP="005202D7">
      <w:pPr>
        <w:numPr>
          <w:ilvl w:val="0"/>
          <w:numId w:val="24"/>
        </w:numPr>
        <w:spacing w:line="276" w:lineRule="auto"/>
      </w:pPr>
      <w:r>
        <w:t>10-Day Moving Average (MA10): This average smooths the data over a 10-day window, providing a clearer view of recent price movements.</w:t>
      </w:r>
    </w:p>
    <w:p w14:paraId="7FCB4C1A" w14:textId="77777777" w:rsidR="00920626" w:rsidRDefault="00000000" w:rsidP="005202D7">
      <w:pPr>
        <w:numPr>
          <w:ilvl w:val="0"/>
          <w:numId w:val="24"/>
        </w:numPr>
        <w:spacing w:line="276" w:lineRule="auto"/>
      </w:pPr>
      <w:r>
        <w:t>20-Day Moving Average (MA20): Useful for identifying intermediate trends, balancing short- and long-term perspectives.</w:t>
      </w:r>
    </w:p>
    <w:p w14:paraId="35338AA4" w14:textId="77777777" w:rsidR="00920626" w:rsidRDefault="00000000" w:rsidP="005202D7">
      <w:pPr>
        <w:numPr>
          <w:ilvl w:val="0"/>
          <w:numId w:val="24"/>
        </w:numPr>
        <w:spacing w:line="276" w:lineRule="auto"/>
      </w:pPr>
      <w:r>
        <w:t>50-Day Moving Average (MA50): A longer-term moving average that helps identify sustained trends, filtering out daily price fluctuations.</w:t>
      </w:r>
    </w:p>
    <w:p w14:paraId="155A7F89" w14:textId="77777777" w:rsidR="00920626" w:rsidRDefault="00000000" w:rsidP="005202D7">
      <w:pPr>
        <w:numPr>
          <w:ilvl w:val="0"/>
          <w:numId w:val="24"/>
        </w:numPr>
        <w:spacing w:line="276" w:lineRule="auto"/>
      </w:pPr>
      <w:r>
        <w:t>100-Day Moving Average (MA100): Provides further smoothing, emphasizing long-term trends.</w:t>
      </w:r>
    </w:p>
    <w:p w14:paraId="4BDB68F6" w14:textId="77777777" w:rsidR="00920626" w:rsidRDefault="00000000" w:rsidP="005202D7">
      <w:pPr>
        <w:numPr>
          <w:ilvl w:val="0"/>
          <w:numId w:val="24"/>
        </w:numPr>
        <w:spacing w:line="276" w:lineRule="auto"/>
      </w:pPr>
      <w:r>
        <w:t>200-Day Moving Average (MA200): Commonly used by traders to gauge the overall direction of the market, providing a broad view of price trends over an extended period</w:t>
      </w:r>
    </w:p>
    <w:p w14:paraId="3B567611" w14:textId="77777777" w:rsidR="00920626" w:rsidRDefault="00000000" w:rsidP="005202D7">
      <w:pPr>
        <w:pStyle w:val="SourceCode"/>
        <w:spacing w:line="276" w:lineRule="auto"/>
      </w:pPr>
      <w:r>
        <w:rPr>
          <w:rStyle w:val="NormalTok"/>
        </w:rPr>
        <w:t xml:space="preserve">Gemini_winsorized </w:t>
      </w:r>
      <w:r>
        <w:rPr>
          <w:rStyle w:val="OtherTok"/>
        </w:rPr>
        <w:t>&lt;-</w:t>
      </w:r>
      <w:r>
        <w:rPr>
          <w:rStyle w:val="NormalTok"/>
        </w:rPr>
        <w:t xml:space="preserve"> Gemini_winsorized </w:t>
      </w:r>
      <w:r>
        <w:rPr>
          <w:rStyle w:val="SpecialCharTok"/>
        </w:rPr>
        <w:t>%&gt;%</w:t>
      </w:r>
      <w:r>
        <w:br/>
      </w:r>
      <w:r>
        <w:rPr>
          <w:rStyle w:val="NormalTok"/>
        </w:rPr>
        <w:t xml:space="preserve">  </w:t>
      </w:r>
      <w:r>
        <w:rPr>
          <w:rStyle w:val="FunctionTok"/>
        </w:rPr>
        <w:t>mutate</w:t>
      </w:r>
      <w:r>
        <w:rPr>
          <w:rStyle w:val="NormalTok"/>
        </w:rPr>
        <w:t>(</w:t>
      </w:r>
      <w:r>
        <w:br/>
      </w:r>
      <w:r>
        <w:rPr>
          <w:rStyle w:val="NormalTok"/>
        </w:rPr>
        <w:t xml:space="preserve">    </w:t>
      </w:r>
      <w:r>
        <w:rPr>
          <w:rStyle w:val="AttributeTok"/>
        </w:rPr>
        <w:t>MA5 =</w:t>
      </w:r>
      <w:r>
        <w:rPr>
          <w:rStyle w:val="NormalTok"/>
        </w:rPr>
        <w:t xml:space="preserve"> </w:t>
      </w:r>
      <w:r>
        <w:rPr>
          <w:rStyle w:val="FunctionTok"/>
        </w:rPr>
        <w:t>SMA</w:t>
      </w:r>
      <w:r>
        <w:rPr>
          <w:rStyle w:val="NormalTok"/>
        </w:rPr>
        <w:t xml:space="preserve">(Close, </w:t>
      </w:r>
      <w:r>
        <w:rPr>
          <w:rStyle w:val="AttributeTok"/>
        </w:rPr>
        <w:t>n =</w:t>
      </w:r>
      <w:r>
        <w:rPr>
          <w:rStyle w:val="NormalTok"/>
        </w:rPr>
        <w:t xml:space="preserve"> </w:t>
      </w:r>
      <w:r>
        <w:rPr>
          <w:rStyle w:val="DecValTok"/>
        </w:rPr>
        <w:t>5</w:t>
      </w:r>
      <w:r>
        <w:rPr>
          <w:rStyle w:val="NormalTok"/>
        </w:rPr>
        <w:t>),</w:t>
      </w:r>
      <w:r>
        <w:br/>
      </w:r>
      <w:r>
        <w:rPr>
          <w:rStyle w:val="NormalTok"/>
        </w:rPr>
        <w:t xml:space="preserve">    </w:t>
      </w:r>
      <w:r>
        <w:rPr>
          <w:rStyle w:val="AttributeTok"/>
        </w:rPr>
        <w:t>MA10 =</w:t>
      </w:r>
      <w:r>
        <w:rPr>
          <w:rStyle w:val="NormalTok"/>
        </w:rPr>
        <w:t xml:space="preserve"> </w:t>
      </w:r>
      <w:r>
        <w:rPr>
          <w:rStyle w:val="FunctionTok"/>
        </w:rPr>
        <w:t>SMA</w:t>
      </w:r>
      <w:r>
        <w:rPr>
          <w:rStyle w:val="NormalTok"/>
        </w:rPr>
        <w:t xml:space="preserve">(Close, </w:t>
      </w:r>
      <w:r>
        <w:rPr>
          <w:rStyle w:val="AttributeTok"/>
        </w:rPr>
        <w:t>n =</w:t>
      </w:r>
      <w:r>
        <w:rPr>
          <w:rStyle w:val="NormalTok"/>
        </w:rPr>
        <w:t xml:space="preserve"> </w:t>
      </w:r>
      <w:r>
        <w:rPr>
          <w:rStyle w:val="DecValTok"/>
        </w:rPr>
        <w:t>10</w:t>
      </w:r>
      <w:r>
        <w:rPr>
          <w:rStyle w:val="NormalTok"/>
        </w:rPr>
        <w:t>),</w:t>
      </w:r>
      <w:r>
        <w:br/>
      </w:r>
      <w:r>
        <w:rPr>
          <w:rStyle w:val="NormalTok"/>
        </w:rPr>
        <w:t xml:space="preserve">    </w:t>
      </w:r>
      <w:r>
        <w:rPr>
          <w:rStyle w:val="AttributeTok"/>
        </w:rPr>
        <w:t>MA20 =</w:t>
      </w:r>
      <w:r>
        <w:rPr>
          <w:rStyle w:val="NormalTok"/>
        </w:rPr>
        <w:t xml:space="preserve"> </w:t>
      </w:r>
      <w:r>
        <w:rPr>
          <w:rStyle w:val="FunctionTok"/>
        </w:rPr>
        <w:t>SMA</w:t>
      </w:r>
      <w:r>
        <w:rPr>
          <w:rStyle w:val="NormalTok"/>
        </w:rPr>
        <w:t xml:space="preserve">(Close, </w:t>
      </w:r>
      <w:r>
        <w:rPr>
          <w:rStyle w:val="AttributeTok"/>
        </w:rPr>
        <w:t>n =</w:t>
      </w:r>
      <w:r>
        <w:rPr>
          <w:rStyle w:val="NormalTok"/>
        </w:rPr>
        <w:t xml:space="preserve"> </w:t>
      </w:r>
      <w:r>
        <w:rPr>
          <w:rStyle w:val="DecValTok"/>
        </w:rPr>
        <w:t>20</w:t>
      </w:r>
      <w:r>
        <w:rPr>
          <w:rStyle w:val="NormalTok"/>
        </w:rPr>
        <w:t>),</w:t>
      </w:r>
      <w:r>
        <w:br/>
      </w:r>
      <w:r>
        <w:rPr>
          <w:rStyle w:val="NormalTok"/>
        </w:rPr>
        <w:t xml:space="preserve">    </w:t>
      </w:r>
      <w:r>
        <w:rPr>
          <w:rStyle w:val="AttributeTok"/>
        </w:rPr>
        <w:t>MA50 =</w:t>
      </w:r>
      <w:r>
        <w:rPr>
          <w:rStyle w:val="NormalTok"/>
        </w:rPr>
        <w:t xml:space="preserve"> </w:t>
      </w:r>
      <w:r>
        <w:rPr>
          <w:rStyle w:val="FunctionTok"/>
        </w:rPr>
        <w:t>SMA</w:t>
      </w:r>
      <w:r>
        <w:rPr>
          <w:rStyle w:val="NormalTok"/>
        </w:rPr>
        <w:t xml:space="preserve">(Close, </w:t>
      </w:r>
      <w:r>
        <w:rPr>
          <w:rStyle w:val="AttributeTok"/>
        </w:rPr>
        <w:t>n =</w:t>
      </w:r>
      <w:r>
        <w:rPr>
          <w:rStyle w:val="NormalTok"/>
        </w:rPr>
        <w:t xml:space="preserve"> </w:t>
      </w:r>
      <w:r>
        <w:rPr>
          <w:rStyle w:val="DecValTok"/>
        </w:rPr>
        <w:t>50</w:t>
      </w:r>
      <w:r>
        <w:rPr>
          <w:rStyle w:val="NormalTok"/>
        </w:rPr>
        <w:t>),</w:t>
      </w:r>
      <w:r>
        <w:br/>
      </w:r>
      <w:r>
        <w:rPr>
          <w:rStyle w:val="NormalTok"/>
        </w:rPr>
        <w:t xml:space="preserve">    </w:t>
      </w:r>
      <w:r>
        <w:rPr>
          <w:rStyle w:val="AttributeTok"/>
        </w:rPr>
        <w:t>MA100 =</w:t>
      </w:r>
      <w:r>
        <w:rPr>
          <w:rStyle w:val="NormalTok"/>
        </w:rPr>
        <w:t xml:space="preserve"> </w:t>
      </w:r>
      <w:r>
        <w:rPr>
          <w:rStyle w:val="FunctionTok"/>
        </w:rPr>
        <w:t>SMA</w:t>
      </w:r>
      <w:r>
        <w:rPr>
          <w:rStyle w:val="NormalTok"/>
        </w:rPr>
        <w:t xml:space="preserve">(Close, </w:t>
      </w:r>
      <w:r>
        <w:rPr>
          <w:rStyle w:val="AttributeTok"/>
        </w:rPr>
        <w:t>n =</w:t>
      </w:r>
      <w:r>
        <w:rPr>
          <w:rStyle w:val="NormalTok"/>
        </w:rPr>
        <w:t xml:space="preserve"> </w:t>
      </w:r>
      <w:r>
        <w:rPr>
          <w:rStyle w:val="DecValTok"/>
        </w:rPr>
        <w:t>100</w:t>
      </w:r>
      <w:r>
        <w:rPr>
          <w:rStyle w:val="NormalTok"/>
        </w:rPr>
        <w:t>),</w:t>
      </w:r>
      <w:r>
        <w:br/>
      </w:r>
      <w:r>
        <w:rPr>
          <w:rStyle w:val="NormalTok"/>
        </w:rPr>
        <w:t xml:space="preserve">    </w:t>
      </w:r>
      <w:r>
        <w:rPr>
          <w:rStyle w:val="AttributeTok"/>
        </w:rPr>
        <w:t>MA200 =</w:t>
      </w:r>
      <w:r>
        <w:rPr>
          <w:rStyle w:val="NormalTok"/>
        </w:rPr>
        <w:t xml:space="preserve"> </w:t>
      </w:r>
      <w:r>
        <w:rPr>
          <w:rStyle w:val="FunctionTok"/>
        </w:rPr>
        <w:t>SMA</w:t>
      </w:r>
      <w:r>
        <w:rPr>
          <w:rStyle w:val="NormalTok"/>
        </w:rPr>
        <w:t xml:space="preserve">(Close, </w:t>
      </w:r>
      <w:r>
        <w:rPr>
          <w:rStyle w:val="AttributeTok"/>
        </w:rPr>
        <w:t>n =</w:t>
      </w:r>
      <w:r>
        <w:rPr>
          <w:rStyle w:val="NormalTok"/>
        </w:rPr>
        <w:t xml:space="preserve"> </w:t>
      </w:r>
      <w:r>
        <w:rPr>
          <w:rStyle w:val="DecValTok"/>
        </w:rPr>
        <w:t>200</w:t>
      </w:r>
      <w:r>
        <w:rPr>
          <w:rStyle w:val="NormalTok"/>
        </w:rPr>
        <w:t>)</w:t>
      </w:r>
      <w:r>
        <w:br/>
      </w:r>
      <w:r>
        <w:rPr>
          <w:rStyle w:val="NormalTok"/>
        </w:rPr>
        <w:t xml:space="preserve">  )</w:t>
      </w:r>
    </w:p>
    <w:p w14:paraId="7EFC35B3" w14:textId="77777777" w:rsidR="00920626" w:rsidRDefault="00000000" w:rsidP="005202D7">
      <w:pPr>
        <w:pStyle w:val="FirstParagraph"/>
        <w:spacing w:line="276" w:lineRule="auto"/>
      </w:pPr>
      <w:r>
        <w:t>The moving averages are plotted against LTC Close Price.</w:t>
      </w:r>
    </w:p>
    <w:p w14:paraId="2CA517D4" w14:textId="77777777" w:rsidR="00920626" w:rsidRDefault="00000000" w:rsidP="005202D7">
      <w:pPr>
        <w:pStyle w:val="CaptionedFigure"/>
        <w:spacing w:line="276" w:lineRule="auto"/>
      </w:pPr>
      <w:r>
        <w:rPr>
          <w:noProof/>
        </w:rPr>
        <w:lastRenderedPageBreak/>
        <w:drawing>
          <wp:inline distT="0" distB="0" distL="0" distR="0" wp14:anchorId="6F5AD824" wp14:editId="0B22D8CA">
            <wp:extent cx="4620126" cy="3696101"/>
            <wp:effectExtent l="0" t="0" r="0" b="0"/>
            <wp:docPr id="80" name="Picture" descr="LTC Close Price with Moving Averages"/>
            <wp:cNvGraphicFramePr/>
            <a:graphic xmlns:a="http://schemas.openxmlformats.org/drawingml/2006/main">
              <a:graphicData uri="http://schemas.openxmlformats.org/drawingml/2006/picture">
                <pic:pic xmlns:pic="http://schemas.openxmlformats.org/drawingml/2006/picture">
                  <pic:nvPicPr>
                    <pic:cNvPr id="81" name="Picture" descr="Final_Report_files/figure-docx/SMAs%20and%20LTC%20Close%20Price-1.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14:paraId="548FE6F9" w14:textId="77777777" w:rsidR="00920626" w:rsidRDefault="00000000" w:rsidP="005202D7">
      <w:pPr>
        <w:pStyle w:val="ImageCaption"/>
        <w:spacing w:line="276" w:lineRule="auto"/>
      </w:pPr>
      <w:r>
        <w:t>LTC Close Price with Moving Averages</w:t>
      </w:r>
    </w:p>
    <w:p w14:paraId="2F9CB8D2" w14:textId="44453CB3" w:rsidR="00920626" w:rsidRDefault="00000000" w:rsidP="005202D7">
      <w:pPr>
        <w:pStyle w:val="BodyText"/>
        <w:spacing w:line="276" w:lineRule="auto"/>
      </w:pPr>
      <w:r>
        <w:t xml:space="preserve">To view an interact with the graph click </w:t>
      </w:r>
      <w:hyperlink r:id="rId22" w:history="1">
        <w:r>
          <w:rPr>
            <w:rStyle w:val="Hyperlink"/>
          </w:rPr>
          <w:t>here</w:t>
        </w:r>
      </w:hyperlink>
      <w:r>
        <w:t>. The package plotly was used and several key features which enhance data exploration and understanding in the graph include:</w:t>
      </w:r>
    </w:p>
    <w:p w14:paraId="2A6B2C61" w14:textId="77777777" w:rsidR="00920626" w:rsidRDefault="00000000" w:rsidP="005202D7">
      <w:pPr>
        <w:pStyle w:val="Compact"/>
        <w:numPr>
          <w:ilvl w:val="0"/>
          <w:numId w:val="25"/>
        </w:numPr>
        <w:spacing w:line="276" w:lineRule="auto"/>
      </w:pPr>
      <w:r>
        <w:t>Zooming and Panning: Users can zoom into specific periods by selecting and dragging over the chart area, or by using the range slider below the x-axis. Panning is also supported, allowing for focused analysis on particular time frames within the dataset.</w:t>
      </w:r>
    </w:p>
    <w:p w14:paraId="6C9241C7" w14:textId="77777777" w:rsidR="00920626" w:rsidRDefault="00000000" w:rsidP="005202D7">
      <w:pPr>
        <w:pStyle w:val="Compact"/>
        <w:numPr>
          <w:ilvl w:val="0"/>
          <w:numId w:val="25"/>
        </w:numPr>
        <w:spacing w:line="276" w:lineRule="auto"/>
      </w:pPr>
      <w:r>
        <w:t>Tooltips: Hovering over any point on the plot reveals detailed data values (like date and price) for the Close Price and various Moving Averages. This feature provides immediate, context-sensitive information, aiding quick insights into trend changes.</w:t>
      </w:r>
    </w:p>
    <w:p w14:paraId="41F26681" w14:textId="77777777" w:rsidR="00920626" w:rsidRDefault="00000000" w:rsidP="005202D7">
      <w:pPr>
        <w:pStyle w:val="Compact"/>
        <w:numPr>
          <w:ilvl w:val="0"/>
          <w:numId w:val="25"/>
        </w:numPr>
        <w:spacing w:line="276" w:lineRule="auto"/>
      </w:pPr>
      <w:r>
        <w:t>Legend Interactivity: Users can click on items in the legend to toggle the visibility of individual Moving Averages, enabling selective focus on different time periods (e.g., shorter vs. longer-term trends) to compare market momentum.</w:t>
      </w:r>
    </w:p>
    <w:p w14:paraId="0B533C68" w14:textId="77777777" w:rsidR="00920626" w:rsidRDefault="00000000" w:rsidP="005202D7">
      <w:pPr>
        <w:pStyle w:val="FirstParagraph"/>
        <w:spacing w:line="276" w:lineRule="auto"/>
      </w:pPr>
      <w:r>
        <w:t>Here is an overview of what the chart looks like, having filtered out the other MAs, focusing on 50-min MA vs Close Price:</w:t>
      </w:r>
    </w:p>
    <w:p w14:paraId="13411795" w14:textId="77777777" w:rsidR="00920626" w:rsidRDefault="00000000" w:rsidP="005202D7">
      <w:pPr>
        <w:pStyle w:val="CaptionedFigure"/>
        <w:spacing w:line="276" w:lineRule="auto"/>
      </w:pPr>
      <w:r>
        <w:rPr>
          <w:noProof/>
        </w:rPr>
        <w:lastRenderedPageBreak/>
        <w:drawing>
          <wp:inline distT="0" distB="0" distL="0" distR="0" wp14:anchorId="52E36CA9" wp14:editId="79CC80D5">
            <wp:extent cx="5334000" cy="2500312"/>
            <wp:effectExtent l="0" t="0" r="0" b="0"/>
            <wp:docPr id="84" name="Picture" descr="LTC Close Price with 50-min Moving Average"/>
            <wp:cNvGraphicFramePr/>
            <a:graphic xmlns:a="http://schemas.openxmlformats.org/drawingml/2006/main">
              <a:graphicData uri="http://schemas.openxmlformats.org/drawingml/2006/picture">
                <pic:pic xmlns:pic="http://schemas.openxmlformats.org/drawingml/2006/picture">
                  <pic:nvPicPr>
                    <pic:cNvPr id="85" name="Picture" descr="images/Screenshot%20(434).png"/>
                    <pic:cNvPicPr>
                      <a:picLocks noChangeAspect="1" noChangeArrowheads="1"/>
                    </pic:cNvPicPr>
                  </pic:nvPicPr>
                  <pic:blipFill>
                    <a:blip r:embed="rId23"/>
                    <a:stretch>
                      <a:fillRect/>
                    </a:stretch>
                  </pic:blipFill>
                  <pic:spPr bwMode="auto">
                    <a:xfrm>
                      <a:off x="0" y="0"/>
                      <a:ext cx="5334000" cy="2500312"/>
                    </a:xfrm>
                    <a:prstGeom prst="rect">
                      <a:avLst/>
                    </a:prstGeom>
                    <a:noFill/>
                    <a:ln w="9525">
                      <a:noFill/>
                      <a:headEnd/>
                      <a:tailEnd/>
                    </a:ln>
                  </pic:spPr>
                </pic:pic>
              </a:graphicData>
            </a:graphic>
          </wp:inline>
        </w:drawing>
      </w:r>
    </w:p>
    <w:p w14:paraId="433272A4" w14:textId="77777777" w:rsidR="00920626" w:rsidRDefault="00000000" w:rsidP="005202D7">
      <w:pPr>
        <w:pStyle w:val="ImageCaption"/>
        <w:spacing w:line="276" w:lineRule="auto"/>
      </w:pPr>
      <w:r>
        <w:t>LTC Close Price with 50-min Moving Average</w:t>
      </w:r>
    </w:p>
    <w:p w14:paraId="0164CA4F" w14:textId="77777777" w:rsidR="00920626" w:rsidRPr="005202D7" w:rsidRDefault="00000000" w:rsidP="005202D7">
      <w:pPr>
        <w:pStyle w:val="Heading3"/>
        <w:spacing w:line="276" w:lineRule="auto"/>
        <w:rPr>
          <w:color w:val="auto"/>
        </w:rPr>
      </w:pPr>
      <w:bookmarkStart w:id="44" w:name="key-observations"/>
      <w:r w:rsidRPr="005202D7">
        <w:rPr>
          <w:color w:val="auto"/>
        </w:rPr>
        <w:t>6.1.1 Key Observations:</w:t>
      </w:r>
    </w:p>
    <w:p w14:paraId="12B1EC2E" w14:textId="77777777" w:rsidR="00920626" w:rsidRDefault="00000000" w:rsidP="005202D7">
      <w:pPr>
        <w:numPr>
          <w:ilvl w:val="0"/>
          <w:numId w:val="26"/>
        </w:numPr>
        <w:spacing w:line="276" w:lineRule="auto"/>
      </w:pPr>
      <w:proofErr w:type="gramStart"/>
      <w:r>
        <w:t>Overall</w:t>
      </w:r>
      <w:proofErr w:type="gramEnd"/>
      <w:r>
        <w:t xml:space="preserve"> Price Growth: LTC’s price shows a clear upward trend, rising from around $50 in mid-2020 to over $200 by May 2021, especially noticeable from late 2020 onward.</w:t>
      </w:r>
    </w:p>
    <w:p w14:paraId="4EBE4C05" w14:textId="77777777" w:rsidR="00920626" w:rsidRDefault="00000000" w:rsidP="005202D7">
      <w:pPr>
        <w:numPr>
          <w:ilvl w:val="0"/>
          <w:numId w:val="26"/>
        </w:numPr>
        <w:spacing w:line="276" w:lineRule="auto"/>
      </w:pPr>
      <w:r>
        <w:t>Price Stability and Volatility:</w:t>
      </w:r>
    </w:p>
    <w:p w14:paraId="757740B4" w14:textId="77777777" w:rsidR="00920626" w:rsidRDefault="00000000" w:rsidP="005202D7">
      <w:pPr>
        <w:numPr>
          <w:ilvl w:val="1"/>
          <w:numId w:val="27"/>
        </w:numPr>
        <w:spacing w:line="276" w:lineRule="auto"/>
      </w:pPr>
      <w:r>
        <w:t>January 2020 to September 2020: Prices are relatively stable, fluctuating between $40 and $60 without a clear trend.</w:t>
      </w:r>
    </w:p>
    <w:p w14:paraId="7AFA3CA9" w14:textId="77777777" w:rsidR="00920626" w:rsidRDefault="00000000" w:rsidP="005202D7">
      <w:pPr>
        <w:numPr>
          <w:ilvl w:val="1"/>
          <w:numId w:val="27"/>
        </w:numPr>
        <w:spacing w:line="276" w:lineRule="auto"/>
      </w:pPr>
      <w:r>
        <w:t>October 2020 Onward: Prices begin to climb steadily, with a sharper increase around November 2020, likely influenced by overall market optimism.</w:t>
      </w:r>
    </w:p>
    <w:p w14:paraId="6CF62896" w14:textId="77777777" w:rsidR="00920626" w:rsidRDefault="00000000" w:rsidP="005202D7">
      <w:pPr>
        <w:numPr>
          <w:ilvl w:val="0"/>
          <w:numId w:val="26"/>
        </w:numPr>
        <w:spacing w:line="276" w:lineRule="auto"/>
      </w:pPr>
      <w:r>
        <w:t>Moving Averages: The moving averages help smooth out short-term fluctuations.</w:t>
      </w:r>
    </w:p>
    <w:p w14:paraId="3A7FF2CF" w14:textId="77777777" w:rsidR="00920626" w:rsidRDefault="00000000" w:rsidP="005202D7">
      <w:pPr>
        <w:numPr>
          <w:ilvl w:val="1"/>
          <w:numId w:val="28"/>
        </w:numPr>
        <w:spacing w:line="276" w:lineRule="auto"/>
      </w:pPr>
      <w:r>
        <w:t>When the price consistently stays above the moving averages, it suggests a positive trend.</w:t>
      </w:r>
    </w:p>
    <w:p w14:paraId="5992D3D4" w14:textId="77777777" w:rsidR="00920626" w:rsidRDefault="00000000" w:rsidP="005202D7">
      <w:pPr>
        <w:numPr>
          <w:ilvl w:val="1"/>
          <w:numId w:val="28"/>
        </w:numPr>
        <w:spacing w:line="276" w:lineRule="auto"/>
      </w:pPr>
      <w:r>
        <w:t>From late 2020, the price mostly remains above the moving averages, indicating strong momentum.</w:t>
      </w:r>
    </w:p>
    <w:p w14:paraId="70D543AE" w14:textId="77777777" w:rsidR="00920626" w:rsidRDefault="00000000" w:rsidP="005202D7">
      <w:pPr>
        <w:numPr>
          <w:ilvl w:val="0"/>
          <w:numId w:val="26"/>
        </w:numPr>
        <w:spacing w:line="276" w:lineRule="auto"/>
      </w:pPr>
      <w:r>
        <w:t>Short-Term Corrections: Despite the upward trend, there are brief pullbacks, particularly in early 2021. However, these dips are short-lived, and the price tends to bounce back quickly.</w:t>
      </w:r>
    </w:p>
    <w:p w14:paraId="409257FB" w14:textId="77777777" w:rsidR="00920626" w:rsidRDefault="00000000" w:rsidP="005202D7">
      <w:pPr>
        <w:numPr>
          <w:ilvl w:val="0"/>
          <w:numId w:val="26"/>
        </w:numPr>
        <w:spacing w:line="276" w:lineRule="auto"/>
      </w:pPr>
      <w:r>
        <w:t>Highlighted Data Point: A specific point at the end of February 2021 shows the 50-day MA at $163.37, indicating this level acted as a significant support level during the upward price movement.</w:t>
      </w:r>
    </w:p>
    <w:p w14:paraId="49461612" w14:textId="77777777" w:rsidR="00920626" w:rsidRDefault="00000000" w:rsidP="005202D7">
      <w:pPr>
        <w:numPr>
          <w:ilvl w:val="0"/>
          <w:numId w:val="1"/>
        </w:numPr>
        <w:spacing w:line="276" w:lineRule="auto"/>
      </w:pPr>
      <w:r>
        <w:lastRenderedPageBreak/>
        <w:t>The chart illustrates a substantial price increase in Litecoin from late 2020 through early 2021. The moving averages provide insights into price behavior across different timeframes, with shorter MAs indicating rapid changes and longer MAs presenting a smoother trend that reflects overall market momentum. The crossover patterns suggest a transition to a more favorable price movement that began in late 2020 and continued into 2021.</w:t>
      </w:r>
    </w:p>
    <w:p w14:paraId="20C97ADF" w14:textId="77777777" w:rsidR="00920626" w:rsidRDefault="00000000" w:rsidP="005202D7">
      <w:pPr>
        <w:spacing w:line="276" w:lineRule="auto"/>
      </w:pPr>
      <w:r>
        <w:br w:type="page"/>
      </w:r>
    </w:p>
    <w:p w14:paraId="6C7B77AE" w14:textId="77777777" w:rsidR="00920626" w:rsidRPr="005202D7" w:rsidRDefault="00000000" w:rsidP="005202D7">
      <w:pPr>
        <w:pStyle w:val="Heading1"/>
        <w:spacing w:line="276" w:lineRule="auto"/>
        <w:rPr>
          <w:color w:val="auto"/>
        </w:rPr>
      </w:pPr>
      <w:bookmarkStart w:id="45" w:name="X6fe8559494d1975c952f4e9a6efc47fbf7e961d"/>
      <w:bookmarkStart w:id="46" w:name="_Toc181820853"/>
      <w:bookmarkEnd w:id="40"/>
      <w:bookmarkEnd w:id="42"/>
      <w:bookmarkEnd w:id="44"/>
      <w:r w:rsidRPr="005202D7">
        <w:rPr>
          <w:color w:val="auto"/>
        </w:rPr>
        <w:lastRenderedPageBreak/>
        <w:t>7. Forecasting Litecoin (LTC) Daily Close Price with ARIMA</w:t>
      </w:r>
      <w:bookmarkEnd w:id="46"/>
    </w:p>
    <w:p w14:paraId="57AB30AA" w14:textId="7E6CC45B" w:rsidR="00920626" w:rsidRPr="005202D7" w:rsidRDefault="00000000" w:rsidP="005202D7">
      <w:pPr>
        <w:pStyle w:val="FirstParagraph"/>
        <w:spacing w:line="276" w:lineRule="auto"/>
      </w:pPr>
      <w:r w:rsidRPr="005202D7">
        <w:t xml:space="preserve">In this section, an ARIMA (Auto-Regressive Integrated Moving Average) model is used to forecast the daily closing price of Litecoin (LTC) for the next 30 days. ARIMA is widely used in time series forecasting due to its effectiveness in capturing trends, seasonality, and noise (Ranjani Chandrasekaran, 2022). This method was selected based on its ability to model </w:t>
      </w:r>
      <w:r w:rsidR="005202D7" w:rsidRPr="005202D7">
        <w:t>autocorrelations</w:t>
      </w:r>
      <w:r w:rsidRPr="005202D7">
        <w:t xml:space="preserve"> within the time series data.</w:t>
      </w:r>
    </w:p>
    <w:p w14:paraId="5D76DDAC" w14:textId="77777777" w:rsidR="00920626" w:rsidRPr="005202D7" w:rsidRDefault="00000000" w:rsidP="005202D7">
      <w:pPr>
        <w:pStyle w:val="BodyText"/>
        <w:spacing w:line="276" w:lineRule="auto"/>
      </w:pPr>
      <w:r w:rsidRPr="005202D7">
        <w:t>Libraries:</w:t>
      </w:r>
    </w:p>
    <w:p w14:paraId="3422E940" w14:textId="77777777" w:rsidR="00920626" w:rsidRPr="005202D7" w:rsidRDefault="00000000" w:rsidP="005202D7">
      <w:pPr>
        <w:pStyle w:val="BodyText"/>
        <w:spacing w:line="276" w:lineRule="auto"/>
      </w:pPr>
      <w:r w:rsidRPr="005202D7">
        <w:t xml:space="preserve">The </w:t>
      </w:r>
      <w:r w:rsidRPr="005202D7">
        <w:rPr>
          <w:b/>
          <w:bCs/>
        </w:rPr>
        <w:t>forecast</w:t>
      </w:r>
      <w:r w:rsidRPr="005202D7">
        <w:t xml:space="preserve"> package provides functions to fit the ARIMA model and generate forecasts, while ggplot2 is used for data visualization. Additionally, we will use ggplotly to make our visualization interactive.</w:t>
      </w:r>
    </w:p>
    <w:p w14:paraId="3A5B06F4" w14:textId="77777777" w:rsidR="00920626" w:rsidRPr="005202D7" w:rsidRDefault="00000000" w:rsidP="005202D7">
      <w:pPr>
        <w:pStyle w:val="Heading2"/>
        <w:spacing w:line="276" w:lineRule="auto"/>
        <w:rPr>
          <w:color w:val="auto"/>
        </w:rPr>
      </w:pPr>
      <w:bookmarkStart w:id="47" w:name="methododogy"/>
      <w:bookmarkStart w:id="48" w:name="_Toc181820854"/>
      <w:r w:rsidRPr="005202D7">
        <w:rPr>
          <w:color w:val="auto"/>
        </w:rPr>
        <w:t>7.1 Methododogy</w:t>
      </w:r>
      <w:bookmarkEnd w:id="48"/>
    </w:p>
    <w:p w14:paraId="51269C27" w14:textId="77777777" w:rsidR="00920626" w:rsidRDefault="00000000" w:rsidP="005202D7">
      <w:pPr>
        <w:numPr>
          <w:ilvl w:val="0"/>
          <w:numId w:val="29"/>
        </w:numPr>
        <w:spacing w:line="276" w:lineRule="auto"/>
      </w:pPr>
      <w:r>
        <w:t>Data Aggregation</w:t>
      </w:r>
    </w:p>
    <w:p w14:paraId="51415205" w14:textId="77777777" w:rsidR="00920626" w:rsidRDefault="00000000" w:rsidP="005202D7">
      <w:pPr>
        <w:pStyle w:val="SourceCode"/>
        <w:numPr>
          <w:ilvl w:val="0"/>
          <w:numId w:val="1"/>
        </w:numPr>
        <w:spacing w:line="276" w:lineRule="auto"/>
      </w:pPr>
      <w:r>
        <w:rPr>
          <w:rStyle w:val="FunctionTok"/>
        </w:rPr>
        <w:t>library</w:t>
      </w:r>
      <w:r>
        <w:rPr>
          <w:rStyle w:val="NormalTok"/>
        </w:rPr>
        <w:t>(forecast)</w:t>
      </w:r>
      <w:r>
        <w:br/>
      </w:r>
      <w:r>
        <w:br/>
      </w:r>
      <w:r>
        <w:rPr>
          <w:rStyle w:val="NormalTok"/>
        </w:rPr>
        <w:t xml:space="preserve">daily_data </w:t>
      </w:r>
      <w:r>
        <w:rPr>
          <w:rStyle w:val="OtherTok"/>
        </w:rPr>
        <w:t>&lt;-</w:t>
      </w:r>
      <w:r>
        <w:rPr>
          <w:rStyle w:val="NormalTok"/>
        </w:rPr>
        <w:t xml:space="preserve"> Gemini_winsorized </w:t>
      </w:r>
      <w:r>
        <w:rPr>
          <w:rStyle w:val="SpecialCharTok"/>
        </w:rPr>
        <w:t>%&gt;%</w:t>
      </w:r>
      <w:r>
        <w:br/>
      </w:r>
      <w:r>
        <w:rPr>
          <w:rStyle w:val="NormalTok"/>
        </w:rPr>
        <w:t xml:space="preserve">  </w:t>
      </w:r>
      <w:r>
        <w:rPr>
          <w:rStyle w:val="FunctionTok"/>
        </w:rPr>
        <w:t>group_by</w:t>
      </w:r>
      <w:r>
        <w:rPr>
          <w:rStyle w:val="NormalTok"/>
        </w:rPr>
        <w:t>(</w:t>
      </w:r>
      <w:r>
        <w:rPr>
          <w:rStyle w:val="AttributeTok"/>
        </w:rPr>
        <w:t>Date =</w:t>
      </w:r>
      <w:r>
        <w:rPr>
          <w:rStyle w:val="NormalTok"/>
        </w:rPr>
        <w:t xml:space="preserve"> </w:t>
      </w:r>
      <w:r>
        <w:rPr>
          <w:rStyle w:val="FunctionTok"/>
        </w:rPr>
        <w:t>as.Date</w:t>
      </w:r>
      <w:r>
        <w:rPr>
          <w:rStyle w:val="NormalTok"/>
        </w:rPr>
        <w:t xml:space="preserve">(DateTime)) </w:t>
      </w:r>
      <w:r>
        <w:rPr>
          <w:rStyle w:val="SpecialCharTok"/>
        </w:rPr>
        <w:t>%&gt;%</w:t>
      </w:r>
      <w:r>
        <w:br/>
      </w:r>
      <w:r>
        <w:rPr>
          <w:rStyle w:val="NormalTok"/>
        </w:rPr>
        <w:t xml:space="preserve">  </w:t>
      </w:r>
      <w:r>
        <w:rPr>
          <w:rStyle w:val="FunctionTok"/>
        </w:rPr>
        <w:t>summarise</w:t>
      </w:r>
      <w:r>
        <w:rPr>
          <w:rStyle w:val="NormalTok"/>
        </w:rPr>
        <w:t>(</w:t>
      </w:r>
      <w:r>
        <w:rPr>
          <w:rStyle w:val="AttributeTok"/>
        </w:rPr>
        <w:t>Daily_Close =</w:t>
      </w:r>
      <w:r>
        <w:rPr>
          <w:rStyle w:val="NormalTok"/>
        </w:rPr>
        <w:t xml:space="preserve"> </w:t>
      </w:r>
      <w:r>
        <w:rPr>
          <w:rStyle w:val="FunctionTok"/>
        </w:rPr>
        <w:t>last</w:t>
      </w:r>
      <w:r>
        <w:rPr>
          <w:rStyle w:val="NormalTok"/>
        </w:rPr>
        <w:t xml:space="preserve">(Close), </w:t>
      </w:r>
      <w:r>
        <w:rPr>
          <w:rStyle w:val="AttributeTok"/>
        </w:rPr>
        <w:t>.groups =</w:t>
      </w:r>
      <w:r>
        <w:rPr>
          <w:rStyle w:val="NormalTok"/>
        </w:rPr>
        <w:t xml:space="preserve"> </w:t>
      </w:r>
      <w:r>
        <w:rPr>
          <w:rStyle w:val="StringTok"/>
        </w:rPr>
        <w:t>'drop'</w:t>
      </w:r>
      <w:r>
        <w:rPr>
          <w:rStyle w:val="NormalTok"/>
        </w:rPr>
        <w:t>)</w:t>
      </w:r>
    </w:p>
    <w:p w14:paraId="51F45917" w14:textId="77777777" w:rsidR="00920626" w:rsidRDefault="00000000" w:rsidP="005202D7">
      <w:pPr>
        <w:pStyle w:val="Compact"/>
        <w:numPr>
          <w:ilvl w:val="1"/>
          <w:numId w:val="30"/>
        </w:numPr>
        <w:spacing w:line="276" w:lineRule="auto"/>
      </w:pPr>
      <w:r>
        <w:t>Data at daily level is aggregated by extracting the closing plsie (Close) at the end of each day. This creates a daily time series required for ARIMA modeling.</w:t>
      </w:r>
    </w:p>
    <w:p w14:paraId="260AA7F1" w14:textId="77777777" w:rsidR="00920626" w:rsidRDefault="00000000" w:rsidP="005202D7">
      <w:pPr>
        <w:numPr>
          <w:ilvl w:val="0"/>
          <w:numId w:val="29"/>
        </w:numPr>
        <w:spacing w:line="276" w:lineRule="auto"/>
      </w:pPr>
      <w:r>
        <w:t>Model Fitting Using ARIMA</w:t>
      </w:r>
    </w:p>
    <w:p w14:paraId="01D98133" w14:textId="77777777" w:rsidR="00920626" w:rsidRDefault="00000000" w:rsidP="005202D7">
      <w:pPr>
        <w:pStyle w:val="SourceCode"/>
        <w:numPr>
          <w:ilvl w:val="0"/>
          <w:numId w:val="1"/>
        </w:numPr>
        <w:spacing w:line="276" w:lineRule="auto"/>
      </w:pPr>
      <w:r>
        <w:rPr>
          <w:rStyle w:val="NormalTok"/>
        </w:rPr>
        <w:t xml:space="preserve">arima_model </w:t>
      </w:r>
      <w:r>
        <w:rPr>
          <w:rStyle w:val="OtherTok"/>
        </w:rPr>
        <w:t>&lt;-</w:t>
      </w:r>
      <w:r>
        <w:rPr>
          <w:rStyle w:val="NormalTok"/>
        </w:rPr>
        <w:t xml:space="preserve"> </w:t>
      </w:r>
      <w:r>
        <w:rPr>
          <w:rStyle w:val="FunctionTok"/>
        </w:rPr>
        <w:t>auto.arima</w:t>
      </w:r>
      <w:r>
        <w:rPr>
          <w:rStyle w:val="NormalTok"/>
        </w:rPr>
        <w:t>(daily_data</w:t>
      </w:r>
      <w:r>
        <w:rPr>
          <w:rStyle w:val="SpecialCharTok"/>
        </w:rPr>
        <w:t>$</w:t>
      </w:r>
      <w:r>
        <w:rPr>
          <w:rStyle w:val="NormalTok"/>
        </w:rPr>
        <w:t>Daily_Close)</w:t>
      </w:r>
    </w:p>
    <w:p w14:paraId="103E414B" w14:textId="77777777" w:rsidR="00920626" w:rsidRDefault="00000000" w:rsidP="005202D7">
      <w:pPr>
        <w:numPr>
          <w:ilvl w:val="0"/>
          <w:numId w:val="31"/>
        </w:numPr>
        <w:spacing w:line="276" w:lineRule="auto"/>
      </w:pPr>
      <w:r>
        <w:t xml:space="preserve">Here, the </w:t>
      </w:r>
      <w:r>
        <w:rPr>
          <w:rStyle w:val="VerbatimChar"/>
        </w:rPr>
        <w:t>auto.arima</w:t>
      </w:r>
      <w:r>
        <w:t xml:space="preserve"> function automatically selects the optimal ARIMA model parameters based on the Akaike Information Citeration (AIC), balancing model complexity with accuracy (Hyndman &amp; Anthanasopoulos, 2018). ARIMA works by modeling three main components:</w:t>
      </w:r>
    </w:p>
    <w:p w14:paraId="3F5BA3D4" w14:textId="77777777" w:rsidR="00920626" w:rsidRDefault="00000000" w:rsidP="005202D7">
      <w:pPr>
        <w:numPr>
          <w:ilvl w:val="1"/>
          <w:numId w:val="32"/>
        </w:numPr>
        <w:spacing w:line="276" w:lineRule="auto"/>
      </w:pPr>
      <w:r>
        <w:t>AR (Auto-Regressive): Past values influence future values.</w:t>
      </w:r>
    </w:p>
    <w:p w14:paraId="39A8D4BB" w14:textId="77777777" w:rsidR="00920626" w:rsidRDefault="00000000" w:rsidP="005202D7">
      <w:pPr>
        <w:numPr>
          <w:ilvl w:val="1"/>
          <w:numId w:val="32"/>
        </w:numPr>
        <w:spacing w:line="276" w:lineRule="auto"/>
      </w:pPr>
      <w:r>
        <w:t>I (Integrated): Differencing applied to make the data stationary.</w:t>
      </w:r>
    </w:p>
    <w:p w14:paraId="1CF5E62C" w14:textId="77777777" w:rsidR="00920626" w:rsidRDefault="00000000" w:rsidP="005202D7">
      <w:pPr>
        <w:numPr>
          <w:ilvl w:val="1"/>
          <w:numId w:val="32"/>
        </w:numPr>
        <w:spacing w:line="276" w:lineRule="auto"/>
      </w:pPr>
      <w:r>
        <w:t>MA (Moving Average): Past forecast errors influence future values.</w:t>
      </w:r>
    </w:p>
    <w:p w14:paraId="208BF077" w14:textId="77777777" w:rsidR="00920626" w:rsidRDefault="00000000" w:rsidP="005202D7">
      <w:pPr>
        <w:numPr>
          <w:ilvl w:val="0"/>
          <w:numId w:val="33"/>
        </w:numPr>
        <w:spacing w:line="276" w:lineRule="auto"/>
      </w:pPr>
      <w:r>
        <w:t>Forecasting</w:t>
      </w:r>
    </w:p>
    <w:p w14:paraId="3394CDD6" w14:textId="77777777" w:rsidR="00920626" w:rsidRDefault="00000000" w:rsidP="005202D7">
      <w:pPr>
        <w:pStyle w:val="SourceCode"/>
        <w:numPr>
          <w:ilvl w:val="0"/>
          <w:numId w:val="1"/>
        </w:numPr>
        <w:spacing w:line="276" w:lineRule="auto"/>
      </w:pPr>
      <w:r>
        <w:rPr>
          <w:rStyle w:val="NormalTok"/>
        </w:rPr>
        <w:t xml:space="preserve">forecast_arima </w:t>
      </w:r>
      <w:r>
        <w:rPr>
          <w:rStyle w:val="OtherTok"/>
        </w:rPr>
        <w:t>&lt;-</w:t>
      </w:r>
      <w:r>
        <w:rPr>
          <w:rStyle w:val="NormalTok"/>
        </w:rPr>
        <w:t xml:space="preserve"> </w:t>
      </w:r>
      <w:r>
        <w:rPr>
          <w:rStyle w:val="FunctionTok"/>
        </w:rPr>
        <w:t>forecast</w:t>
      </w:r>
      <w:r>
        <w:rPr>
          <w:rStyle w:val="NormalTok"/>
        </w:rPr>
        <w:t xml:space="preserve">(arima_model, </w:t>
      </w:r>
      <w:r>
        <w:rPr>
          <w:rStyle w:val="AttributeTok"/>
        </w:rPr>
        <w:t>h =</w:t>
      </w:r>
      <w:r>
        <w:rPr>
          <w:rStyle w:val="NormalTok"/>
        </w:rPr>
        <w:t xml:space="preserve"> </w:t>
      </w:r>
      <w:r>
        <w:rPr>
          <w:rStyle w:val="DecValTok"/>
        </w:rPr>
        <w:t>30</w:t>
      </w:r>
      <w:r>
        <w:rPr>
          <w:rStyle w:val="NormalTok"/>
        </w:rPr>
        <w:t>)</w:t>
      </w:r>
    </w:p>
    <w:p w14:paraId="6EA964F4" w14:textId="77777777" w:rsidR="00920626" w:rsidRDefault="00000000" w:rsidP="005202D7">
      <w:pPr>
        <w:pStyle w:val="Compact"/>
        <w:numPr>
          <w:ilvl w:val="0"/>
          <w:numId w:val="34"/>
        </w:numPr>
        <w:spacing w:line="276" w:lineRule="auto"/>
      </w:pPr>
      <w:r>
        <w:lastRenderedPageBreak/>
        <w:t>This line forecasts the next 30 days using the fitted ARIMA model. The forecasted values come with 80% and 95% confidence intervals to quantify the range of possible outcomes.</w:t>
      </w:r>
    </w:p>
    <w:p w14:paraId="7392D927" w14:textId="77777777" w:rsidR="00920626" w:rsidRDefault="00000000" w:rsidP="005202D7">
      <w:pPr>
        <w:numPr>
          <w:ilvl w:val="0"/>
          <w:numId w:val="35"/>
        </w:numPr>
        <w:spacing w:line="276" w:lineRule="auto"/>
      </w:pPr>
      <w:r>
        <w:t>Preparing Forecast for Visualization</w:t>
      </w:r>
    </w:p>
    <w:p w14:paraId="63A19863" w14:textId="77777777" w:rsidR="00920626" w:rsidRDefault="00000000" w:rsidP="005202D7">
      <w:pPr>
        <w:numPr>
          <w:ilvl w:val="0"/>
          <w:numId w:val="1"/>
        </w:numPr>
        <w:spacing w:line="276" w:lineRule="auto"/>
      </w:pPr>
      <w:r>
        <w:t>Convert the forecast to a format suitable for plotting, with columns for the forecastedvalues and their confidence intervals.</w:t>
      </w:r>
    </w:p>
    <w:p w14:paraId="49600B78" w14:textId="77777777" w:rsidR="00920626" w:rsidRDefault="00000000" w:rsidP="005202D7">
      <w:pPr>
        <w:pStyle w:val="SourceCode"/>
        <w:numPr>
          <w:ilvl w:val="0"/>
          <w:numId w:val="1"/>
        </w:numPr>
        <w:spacing w:line="276" w:lineRule="auto"/>
      </w:pPr>
      <w:r>
        <w:rPr>
          <w:rStyle w:val="NormalTok"/>
        </w:rPr>
        <w:t xml:space="preserve">forecast_df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Date =</w:t>
      </w:r>
      <w:r>
        <w:rPr>
          <w:rStyle w:val="NormalTok"/>
        </w:rPr>
        <w:t xml:space="preserve"> </w:t>
      </w:r>
      <w:r>
        <w:rPr>
          <w:rStyle w:val="FunctionTok"/>
        </w:rPr>
        <w:t>seq.Date</w:t>
      </w:r>
      <w:r>
        <w:rPr>
          <w:rStyle w:val="NormalTok"/>
        </w:rPr>
        <w:t>(</w:t>
      </w:r>
      <w:r>
        <w:rPr>
          <w:rStyle w:val="FunctionTok"/>
        </w:rPr>
        <w:t>max</w:t>
      </w:r>
      <w:r>
        <w:rPr>
          <w:rStyle w:val="NormalTok"/>
        </w:rPr>
        <w:t>(daily_data</w:t>
      </w:r>
      <w:r>
        <w:rPr>
          <w:rStyle w:val="SpecialCharTok"/>
        </w:rPr>
        <w:t>$</w:t>
      </w:r>
      <w:r>
        <w:rPr>
          <w:rStyle w:val="NormalTok"/>
        </w:rPr>
        <w:t xml:space="preserve">Date) </w:t>
      </w:r>
      <w:r>
        <w:rPr>
          <w:rStyle w:val="SpecialCharTok"/>
        </w:rPr>
        <w:t>+</w:t>
      </w:r>
      <w:r>
        <w:rPr>
          <w:rStyle w:val="NormalTok"/>
        </w:rPr>
        <w:t xml:space="preserve"> </w:t>
      </w:r>
      <w:r>
        <w:rPr>
          <w:rStyle w:val="DecValTok"/>
        </w:rPr>
        <w:t>1</w:t>
      </w:r>
      <w:r>
        <w:rPr>
          <w:rStyle w:val="NormalTok"/>
        </w:rPr>
        <w:t xml:space="preserve">, </w:t>
      </w:r>
      <w:r>
        <w:rPr>
          <w:rStyle w:val="AttributeTok"/>
        </w:rPr>
        <w:t>by =</w:t>
      </w:r>
      <w:r>
        <w:rPr>
          <w:rStyle w:val="NormalTok"/>
        </w:rPr>
        <w:t xml:space="preserve"> </w:t>
      </w:r>
      <w:r>
        <w:rPr>
          <w:rStyle w:val="StringTok"/>
        </w:rPr>
        <w:t>"day"</w:t>
      </w:r>
      <w:r>
        <w:rPr>
          <w:rStyle w:val="NormalTok"/>
        </w:rPr>
        <w:t xml:space="preserve">, </w:t>
      </w:r>
      <w:r>
        <w:rPr>
          <w:rStyle w:val="AttributeTok"/>
        </w:rPr>
        <w:t>length.out =</w:t>
      </w:r>
      <w:r>
        <w:rPr>
          <w:rStyle w:val="NormalTok"/>
        </w:rPr>
        <w:t xml:space="preserve"> </w:t>
      </w:r>
      <w:r>
        <w:rPr>
          <w:rStyle w:val="DecValTok"/>
        </w:rPr>
        <w:t>30</w:t>
      </w:r>
      <w:r>
        <w:rPr>
          <w:rStyle w:val="NormalTok"/>
        </w:rPr>
        <w:t>),</w:t>
      </w:r>
      <w:r>
        <w:br/>
      </w:r>
      <w:r>
        <w:rPr>
          <w:rStyle w:val="NormalTok"/>
        </w:rPr>
        <w:t xml:space="preserve">  </w:t>
      </w:r>
      <w:r>
        <w:rPr>
          <w:rStyle w:val="AttributeTok"/>
        </w:rPr>
        <w:t>Forecast =</w:t>
      </w:r>
      <w:r>
        <w:rPr>
          <w:rStyle w:val="NormalTok"/>
        </w:rPr>
        <w:t xml:space="preserve"> forecast_arima</w:t>
      </w:r>
      <w:r>
        <w:rPr>
          <w:rStyle w:val="SpecialCharTok"/>
        </w:rPr>
        <w:t>$</w:t>
      </w:r>
      <w:r>
        <w:rPr>
          <w:rStyle w:val="NormalTok"/>
        </w:rPr>
        <w:t>mean,</w:t>
      </w:r>
      <w:r>
        <w:br/>
      </w:r>
      <w:r>
        <w:rPr>
          <w:rStyle w:val="NormalTok"/>
        </w:rPr>
        <w:t xml:space="preserve">  </w:t>
      </w:r>
      <w:r>
        <w:rPr>
          <w:rStyle w:val="AttributeTok"/>
        </w:rPr>
        <w:t>Lower =</w:t>
      </w:r>
      <w:r>
        <w:rPr>
          <w:rStyle w:val="NormalTok"/>
        </w:rPr>
        <w:t xml:space="preserve"> forecast_arima</w:t>
      </w:r>
      <w:r>
        <w:rPr>
          <w:rStyle w:val="SpecialCharTok"/>
        </w:rPr>
        <w:t>$</w:t>
      </w:r>
      <w:r>
        <w:rPr>
          <w:rStyle w:val="NormalTok"/>
        </w:rPr>
        <w:t xml:space="preserve">lower[, </w:t>
      </w:r>
      <w:r>
        <w:rPr>
          <w:rStyle w:val="DecValTok"/>
        </w:rPr>
        <w:t>2</w:t>
      </w:r>
      <w:r>
        <w:rPr>
          <w:rStyle w:val="NormalTok"/>
        </w:rPr>
        <w:t>],</w:t>
      </w:r>
      <w:r>
        <w:br/>
      </w:r>
      <w:r>
        <w:rPr>
          <w:rStyle w:val="NormalTok"/>
        </w:rPr>
        <w:t xml:space="preserve">  </w:t>
      </w:r>
      <w:r>
        <w:rPr>
          <w:rStyle w:val="AttributeTok"/>
        </w:rPr>
        <w:t>Upper =</w:t>
      </w:r>
      <w:r>
        <w:rPr>
          <w:rStyle w:val="NormalTok"/>
        </w:rPr>
        <w:t xml:space="preserve"> forecast_arima</w:t>
      </w:r>
      <w:r>
        <w:rPr>
          <w:rStyle w:val="SpecialCharTok"/>
        </w:rPr>
        <w:t>$</w:t>
      </w:r>
      <w:r>
        <w:rPr>
          <w:rStyle w:val="NormalTok"/>
        </w:rPr>
        <w:t xml:space="preserve">upper[, </w:t>
      </w:r>
      <w:r>
        <w:rPr>
          <w:rStyle w:val="DecValTok"/>
        </w:rPr>
        <w:t>2</w:t>
      </w:r>
      <w:r>
        <w:rPr>
          <w:rStyle w:val="NormalTok"/>
        </w:rPr>
        <w:t>]</w:t>
      </w:r>
      <w:r>
        <w:br/>
      </w:r>
      <w:r>
        <w:rPr>
          <w:rStyle w:val="NormalTok"/>
        </w:rPr>
        <w:t>)</w:t>
      </w:r>
    </w:p>
    <w:p w14:paraId="04A4DDF4" w14:textId="77777777" w:rsidR="00920626" w:rsidRDefault="00000000" w:rsidP="005202D7">
      <w:pPr>
        <w:numPr>
          <w:ilvl w:val="0"/>
          <w:numId w:val="35"/>
        </w:numPr>
        <w:spacing w:line="276" w:lineRule="auto"/>
      </w:pPr>
      <w:r>
        <w:t>Visualization</w:t>
      </w:r>
    </w:p>
    <w:p w14:paraId="43E38792" w14:textId="77777777" w:rsidR="00920626" w:rsidRDefault="00000000" w:rsidP="005202D7">
      <w:pPr>
        <w:numPr>
          <w:ilvl w:val="0"/>
          <w:numId w:val="1"/>
        </w:numPr>
        <w:spacing w:line="276" w:lineRule="auto"/>
      </w:pPr>
      <w:r>
        <w:t>The following plot, produced using ggplot2, displays historical data (in blue) and the 30-day forecast (in red), with shaded areas representing the 95% confidence interval.</w:t>
      </w:r>
    </w:p>
    <w:p w14:paraId="0AD4D325" w14:textId="77777777" w:rsidR="00920626" w:rsidRDefault="00000000" w:rsidP="005202D7">
      <w:pPr>
        <w:pStyle w:val="CaptionedFigure"/>
        <w:numPr>
          <w:ilvl w:val="0"/>
          <w:numId w:val="1"/>
        </w:numPr>
        <w:spacing w:line="276" w:lineRule="auto"/>
      </w:pPr>
      <w:r>
        <w:rPr>
          <w:noProof/>
        </w:rPr>
        <w:drawing>
          <wp:inline distT="0" distB="0" distL="0" distR="0" wp14:anchorId="35776BBB" wp14:editId="416CC49E">
            <wp:extent cx="4620126" cy="3696101"/>
            <wp:effectExtent l="0" t="0" r="0" b="0"/>
            <wp:docPr id="90" name="Picture" descr="Daily Close Price 30 day forecast"/>
            <wp:cNvGraphicFramePr/>
            <a:graphic xmlns:a="http://schemas.openxmlformats.org/drawingml/2006/main">
              <a:graphicData uri="http://schemas.openxmlformats.org/drawingml/2006/picture">
                <pic:pic xmlns:pic="http://schemas.openxmlformats.org/drawingml/2006/picture">
                  <pic:nvPicPr>
                    <pic:cNvPr id="91" name="Picture" descr="Final_Report_files/figure-docx/Visualization-1.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14:paraId="21B4E386" w14:textId="77777777" w:rsidR="00920626" w:rsidRDefault="00000000" w:rsidP="005202D7">
      <w:pPr>
        <w:pStyle w:val="ImageCaption"/>
        <w:numPr>
          <w:ilvl w:val="0"/>
          <w:numId w:val="1"/>
        </w:numPr>
        <w:spacing w:line="276" w:lineRule="auto"/>
      </w:pPr>
      <w:r>
        <w:t>Daily Close Price 30 day forecast</w:t>
      </w:r>
    </w:p>
    <w:p w14:paraId="33893E2F" w14:textId="577D71AD" w:rsidR="00920626" w:rsidRDefault="00000000" w:rsidP="005202D7">
      <w:pPr>
        <w:pStyle w:val="FirstParagraph"/>
        <w:spacing w:line="276" w:lineRule="auto"/>
      </w:pPr>
      <w:r>
        <w:lastRenderedPageBreak/>
        <w:t xml:space="preserve">Link to interactive Forecast done with </w:t>
      </w:r>
      <w:proofErr w:type="spellStart"/>
      <w:r>
        <w:t>ggplotly</w:t>
      </w:r>
      <w:proofErr w:type="spellEnd"/>
      <w:r>
        <w:t xml:space="preserve"> package: </w:t>
      </w:r>
      <w:hyperlink r:id="rId25" w:history="1">
        <w:r>
          <w:rPr>
            <w:rStyle w:val="Hyperlink"/>
          </w:rPr>
          <w:t>closing price 30-Day forecast</w:t>
        </w:r>
      </w:hyperlink>
    </w:p>
    <w:p w14:paraId="332354E3" w14:textId="77777777" w:rsidR="00920626" w:rsidRDefault="00000000" w:rsidP="005202D7">
      <w:pPr>
        <w:pStyle w:val="BodyText"/>
        <w:spacing w:line="276" w:lineRule="auto"/>
      </w:pPr>
      <w:r>
        <w:t>This graph shows a 30-day forecast for the daily closing prices of a stock, with historical data shown in blue and the forecasted range shaded in red.</w:t>
      </w:r>
    </w:p>
    <w:p w14:paraId="6D7C4AB3" w14:textId="77777777" w:rsidR="00920626" w:rsidRPr="005202D7" w:rsidRDefault="00000000" w:rsidP="005202D7">
      <w:pPr>
        <w:pStyle w:val="Heading2"/>
        <w:spacing w:line="276" w:lineRule="auto"/>
        <w:rPr>
          <w:color w:val="auto"/>
        </w:rPr>
      </w:pPr>
      <w:bookmarkStart w:id="49" w:name="key-observations-1"/>
      <w:bookmarkStart w:id="50" w:name="_Toc181820855"/>
      <w:bookmarkEnd w:id="47"/>
      <w:r w:rsidRPr="005202D7">
        <w:rPr>
          <w:color w:val="auto"/>
        </w:rPr>
        <w:t>7.2 Key Observations:</w:t>
      </w:r>
      <w:bookmarkEnd w:id="50"/>
    </w:p>
    <w:p w14:paraId="544AA4BF" w14:textId="77777777" w:rsidR="00920626" w:rsidRDefault="00000000" w:rsidP="005202D7">
      <w:pPr>
        <w:pStyle w:val="FirstParagraph"/>
        <w:spacing w:line="276" w:lineRule="auto"/>
      </w:pPr>
      <w:r>
        <w:t>1. Historical Trend (Jan 2020 - Early 2021): The stock price exhibits an overall upward trend, with significant growth beginning around mid-2020 and reaching a peak of $230.47 in early 2021. While the price shows volatility, with several noticeable dips and peaks (e.g., a drop to around $43.04 in late 2020), it maintains a general upward trajectory.</w:t>
      </w:r>
    </w:p>
    <w:p w14:paraId="4E9F06A2" w14:textId="77777777" w:rsidR="00920626" w:rsidRDefault="00000000" w:rsidP="005202D7">
      <w:pPr>
        <w:pStyle w:val="BodyText"/>
        <w:spacing w:line="276" w:lineRule="auto"/>
      </w:pPr>
      <w:r>
        <w:t>2. Forecasted Range: The orange shaded area illustrates the 30-day forecast. The center of this shaded region (The red line) indicates the most probable price trajectory, while the widening of the shading toward the 30-day mark reflects increasing uncertainty associated with longer-term forecasts. For instance, the forecast predicts a price of around $245.99 at the end of the forecast period, with confidence intervals:</w:t>
      </w:r>
    </w:p>
    <w:p w14:paraId="45CE471F" w14:textId="77777777" w:rsidR="00920626" w:rsidRDefault="00000000" w:rsidP="005202D7">
      <w:pPr>
        <w:numPr>
          <w:ilvl w:val="0"/>
          <w:numId w:val="36"/>
        </w:numPr>
        <w:spacing w:line="276" w:lineRule="auto"/>
      </w:pPr>
      <w:r>
        <w:t>Upper bound: $305.99</w:t>
      </w:r>
    </w:p>
    <w:p w14:paraId="158B5B0A" w14:textId="77777777" w:rsidR="00920626" w:rsidRDefault="00000000" w:rsidP="005202D7">
      <w:pPr>
        <w:numPr>
          <w:ilvl w:val="0"/>
          <w:numId w:val="36"/>
        </w:numPr>
        <w:spacing w:line="276" w:lineRule="auto"/>
      </w:pPr>
      <w:r>
        <w:t>Lower bound: $185.98</w:t>
      </w:r>
    </w:p>
    <w:p w14:paraId="1E303BE4" w14:textId="77777777" w:rsidR="00920626" w:rsidRDefault="00000000" w:rsidP="005202D7">
      <w:pPr>
        <w:pStyle w:val="FirstParagraph"/>
        <w:spacing w:line="276" w:lineRule="auto"/>
      </w:pPr>
      <w:r>
        <w:t>3. Forecast Implications:</w:t>
      </w:r>
    </w:p>
    <w:p w14:paraId="3B766894" w14:textId="77777777" w:rsidR="00920626" w:rsidRDefault="00000000" w:rsidP="005202D7">
      <w:pPr>
        <w:numPr>
          <w:ilvl w:val="0"/>
          <w:numId w:val="37"/>
        </w:numPr>
        <w:spacing w:line="276" w:lineRule="auto"/>
      </w:pPr>
      <w:r>
        <w:t>Positive Trend Expected: The forecast suggests that the price is likely to continue increasing slightly over the next 30 days, though with a moderate level of volatility.</w:t>
      </w:r>
    </w:p>
    <w:p w14:paraId="4896CBEF" w14:textId="77777777" w:rsidR="00920626" w:rsidRDefault="00000000" w:rsidP="005202D7">
      <w:pPr>
        <w:numPr>
          <w:ilvl w:val="0"/>
          <w:numId w:val="37"/>
        </w:numPr>
        <w:spacing w:line="276" w:lineRule="auto"/>
      </w:pPr>
      <w:r>
        <w:t>Uncertainty: The widening of the red shaded area highlights increasing uncertainty, which is common in price forecasts due to market unpredictability.</w:t>
      </w:r>
    </w:p>
    <w:p w14:paraId="5C1A6551" w14:textId="77777777" w:rsidR="00920626" w:rsidRDefault="00000000" w:rsidP="005202D7">
      <w:pPr>
        <w:pStyle w:val="FirstParagraph"/>
        <w:spacing w:line="276" w:lineRule="auto"/>
      </w:pPr>
      <w:r>
        <w:t>in conclusion, the forecast anticipates a potential continuation of the stock’s upward price trend over the next month. However, the expansion of the forecast range emphasizes the variability in how much the price may increase or potentially decrease. The forecast thus indicates growth potential while acknowledging the risks of fluctuations in the stock price.</w:t>
      </w:r>
    </w:p>
    <w:p w14:paraId="7BADB7ED" w14:textId="77777777" w:rsidR="00920626" w:rsidRDefault="00000000" w:rsidP="005202D7">
      <w:pPr>
        <w:spacing w:line="276" w:lineRule="auto"/>
      </w:pPr>
      <w:r>
        <w:br w:type="page"/>
      </w:r>
    </w:p>
    <w:p w14:paraId="527607B1" w14:textId="77777777" w:rsidR="00920626" w:rsidRPr="005202D7" w:rsidRDefault="00000000" w:rsidP="005202D7">
      <w:pPr>
        <w:pStyle w:val="Heading1"/>
        <w:spacing w:line="276" w:lineRule="auto"/>
        <w:rPr>
          <w:color w:val="auto"/>
        </w:rPr>
      </w:pPr>
      <w:bookmarkStart w:id="51" w:name="data-visualization-with-dashboard"/>
      <w:bookmarkStart w:id="52" w:name="_Toc181820856"/>
      <w:bookmarkEnd w:id="45"/>
      <w:bookmarkEnd w:id="49"/>
      <w:r w:rsidRPr="005202D7">
        <w:rPr>
          <w:color w:val="auto"/>
        </w:rPr>
        <w:lastRenderedPageBreak/>
        <w:t>8. Data Visualization with Dashboard</w:t>
      </w:r>
      <w:bookmarkEnd w:id="52"/>
    </w:p>
    <w:p w14:paraId="1511F03D" w14:textId="77777777" w:rsidR="00920626" w:rsidRPr="005202D7" w:rsidRDefault="00000000" w:rsidP="005202D7">
      <w:pPr>
        <w:pStyle w:val="FirstParagraph"/>
        <w:spacing w:line="276" w:lineRule="auto"/>
      </w:pPr>
      <w:r w:rsidRPr="005202D7">
        <w:t>The LTC Data Analysis Dashboard is an interactive web application built using R’s Shiny framework. It provides users with insights into the trading data of Litecoin (LTC) through various visualizations, including candlestick charts, moving averages, volume analysis, daily returns, and price forecasts.</w:t>
      </w:r>
    </w:p>
    <w:p w14:paraId="6C3A0CF4" w14:textId="77777777" w:rsidR="00920626" w:rsidRPr="005202D7" w:rsidRDefault="00000000" w:rsidP="005202D7">
      <w:pPr>
        <w:pStyle w:val="Heading2"/>
        <w:spacing w:line="276" w:lineRule="auto"/>
        <w:rPr>
          <w:color w:val="auto"/>
        </w:rPr>
      </w:pPr>
      <w:bookmarkStart w:id="53" w:name="dashboard-overview"/>
      <w:bookmarkStart w:id="54" w:name="_Toc181820857"/>
      <w:r w:rsidRPr="005202D7">
        <w:rPr>
          <w:color w:val="auto"/>
        </w:rPr>
        <w:t>8.1 Dashboard Overview</w:t>
      </w:r>
      <w:bookmarkEnd w:id="54"/>
    </w:p>
    <w:p w14:paraId="0A0FE0B5" w14:textId="77777777" w:rsidR="00920626" w:rsidRDefault="00000000" w:rsidP="005202D7">
      <w:pPr>
        <w:pStyle w:val="FirstParagraph"/>
        <w:spacing w:line="276" w:lineRule="auto"/>
      </w:pPr>
      <w:r>
        <w:t>The dashboard is structured into three main sections:</w:t>
      </w:r>
    </w:p>
    <w:p w14:paraId="1E2C412B" w14:textId="77777777" w:rsidR="00920626" w:rsidRDefault="00000000" w:rsidP="005202D7">
      <w:pPr>
        <w:numPr>
          <w:ilvl w:val="0"/>
          <w:numId w:val="38"/>
        </w:numPr>
        <w:spacing w:line="276" w:lineRule="auto"/>
      </w:pPr>
      <w:r>
        <w:t>Market Analysis: This section focuses on visualizing historical price movements and relevant technical indicators.</w:t>
      </w:r>
    </w:p>
    <w:p w14:paraId="22CCD80E" w14:textId="77777777" w:rsidR="00920626" w:rsidRDefault="00000000" w:rsidP="005202D7">
      <w:pPr>
        <w:pStyle w:val="CaptionedFigure"/>
        <w:numPr>
          <w:ilvl w:val="0"/>
          <w:numId w:val="1"/>
        </w:numPr>
        <w:spacing w:line="276" w:lineRule="auto"/>
      </w:pPr>
      <w:r>
        <w:rPr>
          <w:noProof/>
        </w:rPr>
        <w:drawing>
          <wp:inline distT="0" distB="0" distL="0" distR="0" wp14:anchorId="04BFB985" wp14:editId="4A3CC7CE">
            <wp:extent cx="5334000" cy="2707814"/>
            <wp:effectExtent l="0" t="0" r="0" b="0"/>
            <wp:docPr id="97" name="Picture" descr="Overview of Market Analysis Section"/>
            <wp:cNvGraphicFramePr/>
            <a:graphic xmlns:a="http://schemas.openxmlformats.org/drawingml/2006/main">
              <a:graphicData uri="http://schemas.openxmlformats.org/drawingml/2006/picture">
                <pic:pic xmlns:pic="http://schemas.openxmlformats.org/drawingml/2006/picture">
                  <pic:nvPicPr>
                    <pic:cNvPr id="98" name="Picture" descr="images/Screenshot%20(435).png"/>
                    <pic:cNvPicPr>
                      <a:picLocks noChangeAspect="1" noChangeArrowheads="1"/>
                    </pic:cNvPicPr>
                  </pic:nvPicPr>
                  <pic:blipFill>
                    <a:blip r:embed="rId26"/>
                    <a:stretch>
                      <a:fillRect/>
                    </a:stretch>
                  </pic:blipFill>
                  <pic:spPr bwMode="auto">
                    <a:xfrm>
                      <a:off x="0" y="0"/>
                      <a:ext cx="5334000" cy="2707814"/>
                    </a:xfrm>
                    <a:prstGeom prst="rect">
                      <a:avLst/>
                    </a:prstGeom>
                    <a:noFill/>
                    <a:ln w="9525">
                      <a:noFill/>
                      <a:headEnd/>
                      <a:tailEnd/>
                    </a:ln>
                  </pic:spPr>
                </pic:pic>
              </a:graphicData>
            </a:graphic>
          </wp:inline>
        </w:drawing>
      </w:r>
    </w:p>
    <w:p w14:paraId="278944DD" w14:textId="77777777" w:rsidR="00920626" w:rsidRDefault="00000000" w:rsidP="005202D7">
      <w:pPr>
        <w:pStyle w:val="ImageCaption"/>
        <w:numPr>
          <w:ilvl w:val="0"/>
          <w:numId w:val="1"/>
        </w:numPr>
        <w:spacing w:line="276" w:lineRule="auto"/>
      </w:pPr>
      <w:r>
        <w:t>Overview of Market Analysis Section</w:t>
      </w:r>
    </w:p>
    <w:p w14:paraId="58239977" w14:textId="77777777" w:rsidR="00920626" w:rsidRDefault="00000000" w:rsidP="005202D7">
      <w:pPr>
        <w:numPr>
          <w:ilvl w:val="0"/>
          <w:numId w:val="38"/>
        </w:numPr>
        <w:spacing w:line="276" w:lineRule="auto"/>
      </w:pPr>
      <w:r>
        <w:t>Forecast: This area provides a 30-day forecast of daily closing prices using an ARIMA model.</w:t>
      </w:r>
    </w:p>
    <w:p w14:paraId="68C3597F" w14:textId="77777777" w:rsidR="00920626" w:rsidRDefault="00000000" w:rsidP="005202D7">
      <w:pPr>
        <w:numPr>
          <w:ilvl w:val="0"/>
          <w:numId w:val="1"/>
        </w:numPr>
        <w:spacing w:line="276" w:lineRule="auto"/>
      </w:pPr>
      <w:r>
        <w:rPr>
          <w:noProof/>
        </w:rPr>
        <w:lastRenderedPageBreak/>
        <w:drawing>
          <wp:inline distT="0" distB="0" distL="0" distR="0" wp14:anchorId="18CA1549" wp14:editId="1B9F5721">
            <wp:extent cx="5334000" cy="3491244"/>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1" name="Picture" descr="images/Screenshot%20(444)-01.png"/>
                    <pic:cNvPicPr>
                      <a:picLocks noChangeAspect="1" noChangeArrowheads="1"/>
                    </pic:cNvPicPr>
                  </pic:nvPicPr>
                  <pic:blipFill>
                    <a:blip r:embed="rId27"/>
                    <a:stretch>
                      <a:fillRect/>
                    </a:stretch>
                  </pic:blipFill>
                  <pic:spPr bwMode="auto">
                    <a:xfrm>
                      <a:off x="0" y="0"/>
                      <a:ext cx="5334000" cy="3491244"/>
                    </a:xfrm>
                    <a:prstGeom prst="rect">
                      <a:avLst/>
                    </a:prstGeom>
                    <a:noFill/>
                    <a:ln w="9525">
                      <a:noFill/>
                      <a:headEnd/>
                      <a:tailEnd/>
                    </a:ln>
                  </pic:spPr>
                </pic:pic>
              </a:graphicData>
            </a:graphic>
          </wp:inline>
        </w:drawing>
      </w:r>
    </w:p>
    <w:p w14:paraId="294D533A" w14:textId="77777777" w:rsidR="00920626" w:rsidRDefault="00000000" w:rsidP="005202D7">
      <w:pPr>
        <w:numPr>
          <w:ilvl w:val="0"/>
          <w:numId w:val="38"/>
        </w:numPr>
        <w:spacing w:line="276" w:lineRule="auto"/>
      </w:pPr>
      <w:r>
        <w:t>About: This section offers a brief overview of the dashboard’s purpose and its contents.</w:t>
      </w:r>
    </w:p>
    <w:p w14:paraId="167E95BD" w14:textId="77777777" w:rsidR="00920626" w:rsidRDefault="00000000" w:rsidP="005202D7">
      <w:pPr>
        <w:numPr>
          <w:ilvl w:val="0"/>
          <w:numId w:val="1"/>
        </w:numPr>
        <w:spacing w:line="276" w:lineRule="auto"/>
      </w:pPr>
      <w:r>
        <w:rPr>
          <w:noProof/>
        </w:rPr>
        <w:drawing>
          <wp:inline distT="0" distB="0" distL="0" distR="0" wp14:anchorId="4ADE5D03" wp14:editId="4FA315A1">
            <wp:extent cx="5334000" cy="2633662"/>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104" name="Picture" descr="images/Screenshot%20(441).png"/>
                    <pic:cNvPicPr>
                      <a:picLocks noChangeAspect="1" noChangeArrowheads="1"/>
                    </pic:cNvPicPr>
                  </pic:nvPicPr>
                  <pic:blipFill>
                    <a:blip r:embed="rId28"/>
                    <a:stretch>
                      <a:fillRect/>
                    </a:stretch>
                  </pic:blipFill>
                  <pic:spPr bwMode="auto">
                    <a:xfrm>
                      <a:off x="0" y="0"/>
                      <a:ext cx="5334000" cy="2633662"/>
                    </a:xfrm>
                    <a:prstGeom prst="rect">
                      <a:avLst/>
                    </a:prstGeom>
                    <a:noFill/>
                    <a:ln w="9525">
                      <a:noFill/>
                      <a:headEnd/>
                      <a:tailEnd/>
                    </a:ln>
                  </pic:spPr>
                </pic:pic>
              </a:graphicData>
            </a:graphic>
          </wp:inline>
        </w:drawing>
      </w:r>
    </w:p>
    <w:p w14:paraId="114339F2" w14:textId="77777777" w:rsidR="00920626" w:rsidRDefault="00000000" w:rsidP="005202D7">
      <w:pPr>
        <w:pStyle w:val="FirstParagraph"/>
        <w:spacing w:line="276" w:lineRule="auto"/>
      </w:pPr>
      <w:r>
        <w:t>User Interface Components</w:t>
      </w:r>
    </w:p>
    <w:p w14:paraId="5B12BAED" w14:textId="77777777" w:rsidR="00920626" w:rsidRDefault="00000000" w:rsidP="005202D7">
      <w:pPr>
        <w:numPr>
          <w:ilvl w:val="0"/>
          <w:numId w:val="39"/>
        </w:numPr>
        <w:spacing w:line="276" w:lineRule="auto"/>
      </w:pPr>
      <w:r>
        <w:t>Date Range Input: Users can filter the data displayed on the dashboard by selecting a specific date range for analysis. The default range spans the entire dataset.</w:t>
      </w:r>
    </w:p>
    <w:p w14:paraId="7899F0E8" w14:textId="77777777" w:rsidR="00920626" w:rsidRDefault="00000000" w:rsidP="005202D7">
      <w:pPr>
        <w:numPr>
          <w:ilvl w:val="0"/>
          <w:numId w:val="1"/>
        </w:numPr>
        <w:spacing w:line="276" w:lineRule="auto"/>
      </w:pPr>
      <w:r>
        <w:rPr>
          <w:noProof/>
        </w:rPr>
        <w:lastRenderedPageBreak/>
        <w:drawing>
          <wp:inline distT="0" distB="0" distL="0" distR="0" wp14:anchorId="3E819DA7" wp14:editId="0D89D32F">
            <wp:extent cx="5334000" cy="2725070"/>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107" name="Picture" descr="images/Screenshot%20(437).png"/>
                    <pic:cNvPicPr>
                      <a:picLocks noChangeAspect="1" noChangeArrowheads="1"/>
                    </pic:cNvPicPr>
                  </pic:nvPicPr>
                  <pic:blipFill>
                    <a:blip r:embed="rId29"/>
                    <a:stretch>
                      <a:fillRect/>
                    </a:stretch>
                  </pic:blipFill>
                  <pic:spPr bwMode="auto">
                    <a:xfrm>
                      <a:off x="0" y="0"/>
                      <a:ext cx="5334000" cy="2725070"/>
                    </a:xfrm>
                    <a:prstGeom prst="rect">
                      <a:avLst/>
                    </a:prstGeom>
                    <a:noFill/>
                    <a:ln w="9525">
                      <a:noFill/>
                      <a:headEnd/>
                      <a:tailEnd/>
                    </a:ln>
                  </pic:spPr>
                </pic:pic>
              </a:graphicData>
            </a:graphic>
          </wp:inline>
        </w:drawing>
      </w:r>
    </w:p>
    <w:p w14:paraId="44BBFA2E" w14:textId="77777777" w:rsidR="00920626" w:rsidRDefault="00000000" w:rsidP="005202D7">
      <w:pPr>
        <w:numPr>
          <w:ilvl w:val="0"/>
          <w:numId w:val="39"/>
        </w:numPr>
        <w:spacing w:line="276" w:lineRule="auto"/>
      </w:pPr>
      <w:r>
        <w:t>Users can hover to explore specific data points.</w:t>
      </w:r>
    </w:p>
    <w:p w14:paraId="7A7980F6" w14:textId="77777777" w:rsidR="00920626" w:rsidRDefault="00000000" w:rsidP="005202D7">
      <w:pPr>
        <w:numPr>
          <w:ilvl w:val="0"/>
          <w:numId w:val="39"/>
        </w:numPr>
        <w:spacing w:line="276" w:lineRule="auto"/>
      </w:pPr>
      <w:r>
        <w:t>When users press the menu icon it hides contents of the menu stated above (refer to Image showing Forecast section).</w:t>
      </w:r>
    </w:p>
    <w:p w14:paraId="22555DCC" w14:textId="77777777" w:rsidR="00920626" w:rsidRPr="005202D7" w:rsidRDefault="00000000" w:rsidP="005202D7">
      <w:pPr>
        <w:pStyle w:val="Heading2"/>
        <w:spacing w:line="276" w:lineRule="auto"/>
        <w:rPr>
          <w:color w:val="auto"/>
        </w:rPr>
      </w:pPr>
      <w:bookmarkStart w:id="55" w:name="key-visualizations"/>
      <w:bookmarkStart w:id="56" w:name="_Toc181820858"/>
      <w:bookmarkEnd w:id="53"/>
      <w:r w:rsidRPr="005202D7">
        <w:rPr>
          <w:color w:val="auto"/>
        </w:rPr>
        <w:t>8.2 Key Visualizations</w:t>
      </w:r>
      <w:bookmarkEnd w:id="56"/>
    </w:p>
    <w:p w14:paraId="3FFC1B79" w14:textId="77777777" w:rsidR="00920626" w:rsidRPr="005202D7" w:rsidRDefault="00000000" w:rsidP="005202D7">
      <w:pPr>
        <w:pStyle w:val="Heading2"/>
        <w:spacing w:line="276" w:lineRule="auto"/>
        <w:rPr>
          <w:color w:val="auto"/>
        </w:rPr>
      </w:pPr>
      <w:bookmarkStart w:id="57" w:name="ltc-candlestick-chart"/>
      <w:bookmarkStart w:id="58" w:name="_Toc181820859"/>
      <w:bookmarkEnd w:id="55"/>
      <w:r w:rsidRPr="005202D7">
        <w:rPr>
          <w:color w:val="auto"/>
        </w:rPr>
        <w:t>8.3 1. LTC Candlestick Chart</w:t>
      </w:r>
      <w:bookmarkEnd w:id="58"/>
    </w:p>
    <w:p w14:paraId="45B6CBEC" w14:textId="77777777" w:rsidR="00920626" w:rsidRDefault="00000000" w:rsidP="005202D7">
      <w:pPr>
        <w:numPr>
          <w:ilvl w:val="0"/>
          <w:numId w:val="40"/>
        </w:numPr>
        <w:spacing w:line="276" w:lineRule="auto"/>
      </w:pPr>
      <w:r>
        <w:rPr>
          <w:b/>
          <w:bCs/>
        </w:rPr>
        <w:t>Purpose</w:t>
      </w:r>
      <w:r>
        <w:t>: Visualizes the open, high, low, and close prices of LTC over the selected date range.</w:t>
      </w:r>
    </w:p>
    <w:p w14:paraId="10B9E3D8" w14:textId="77777777" w:rsidR="00920626" w:rsidRDefault="00000000" w:rsidP="005202D7">
      <w:pPr>
        <w:numPr>
          <w:ilvl w:val="0"/>
          <w:numId w:val="40"/>
        </w:numPr>
        <w:spacing w:line="276" w:lineRule="auto"/>
      </w:pPr>
      <w:r>
        <w:rPr>
          <w:b/>
          <w:bCs/>
        </w:rPr>
        <w:t>Features of the chart:</w:t>
      </w:r>
    </w:p>
    <w:p w14:paraId="46669768" w14:textId="77777777" w:rsidR="00920626" w:rsidRDefault="00000000" w:rsidP="005202D7">
      <w:pPr>
        <w:pStyle w:val="Compact"/>
        <w:numPr>
          <w:ilvl w:val="1"/>
          <w:numId w:val="41"/>
        </w:numPr>
        <w:spacing w:line="276" w:lineRule="auto"/>
      </w:pPr>
      <w:r>
        <w:rPr>
          <w:b/>
          <w:bCs/>
        </w:rPr>
        <w:t>OHLC Data</w:t>
      </w:r>
      <w:r>
        <w:t xml:space="preserve">: Each candlestick shows the </w:t>
      </w:r>
      <w:r>
        <w:rPr>
          <w:b/>
          <w:bCs/>
        </w:rPr>
        <w:t>Open</w:t>
      </w:r>
      <w:r>
        <w:t xml:space="preserve">, </w:t>
      </w:r>
      <w:r>
        <w:rPr>
          <w:b/>
          <w:bCs/>
        </w:rPr>
        <w:t>High</w:t>
      </w:r>
      <w:r>
        <w:t xml:space="preserve">, </w:t>
      </w:r>
      <w:r>
        <w:rPr>
          <w:b/>
          <w:bCs/>
        </w:rPr>
        <w:t>Low</w:t>
      </w:r>
      <w:r>
        <w:t xml:space="preserve">, and </w:t>
      </w:r>
      <w:r>
        <w:rPr>
          <w:b/>
          <w:bCs/>
        </w:rPr>
        <w:t>Close</w:t>
      </w:r>
      <w:r>
        <w:t xml:space="preserve"> prices for the day, with:</w:t>
      </w:r>
    </w:p>
    <w:p w14:paraId="68CB44A0" w14:textId="77777777" w:rsidR="00920626" w:rsidRDefault="00000000" w:rsidP="005202D7">
      <w:pPr>
        <w:numPr>
          <w:ilvl w:val="2"/>
          <w:numId w:val="42"/>
        </w:numPr>
        <w:spacing w:line="276" w:lineRule="auto"/>
      </w:pPr>
      <w:r>
        <w:rPr>
          <w:b/>
          <w:bCs/>
        </w:rPr>
        <w:t>Green Candlesticks</w:t>
      </w:r>
      <w:r>
        <w:t xml:space="preserve"> for days where prices rose (close &gt; open).</w:t>
      </w:r>
    </w:p>
    <w:p w14:paraId="591491C7" w14:textId="77777777" w:rsidR="00920626" w:rsidRDefault="00000000" w:rsidP="005202D7">
      <w:pPr>
        <w:numPr>
          <w:ilvl w:val="2"/>
          <w:numId w:val="42"/>
        </w:numPr>
        <w:spacing w:line="276" w:lineRule="auto"/>
      </w:pPr>
      <w:r>
        <w:rPr>
          <w:b/>
          <w:bCs/>
        </w:rPr>
        <w:t>Red Candlesticks</w:t>
      </w:r>
      <w:r>
        <w:t xml:space="preserve"> for days where prices fell (close &lt; open).</w:t>
      </w:r>
    </w:p>
    <w:p w14:paraId="05296F77" w14:textId="77777777" w:rsidR="00920626" w:rsidRDefault="00000000" w:rsidP="005202D7">
      <w:pPr>
        <w:pStyle w:val="Compact"/>
        <w:numPr>
          <w:ilvl w:val="1"/>
          <w:numId w:val="41"/>
        </w:numPr>
        <w:spacing w:line="276" w:lineRule="auto"/>
      </w:pPr>
      <w:r>
        <w:rPr>
          <w:b/>
          <w:bCs/>
        </w:rPr>
        <w:t>Volatility and Trend</w:t>
      </w:r>
      <w:r>
        <w:t>: The length of each candlestick and its wicks illustrate daily price volatility and market sentiment, allowing easy identification of trends or possible reversals.</w:t>
      </w:r>
    </w:p>
    <w:p w14:paraId="21A5D87D" w14:textId="77777777" w:rsidR="00920626" w:rsidRDefault="00000000" w:rsidP="005202D7">
      <w:pPr>
        <w:numPr>
          <w:ilvl w:val="0"/>
          <w:numId w:val="40"/>
        </w:numPr>
        <w:spacing w:line="276" w:lineRule="auto"/>
      </w:pPr>
      <w:r>
        <w:rPr>
          <w:b/>
          <w:bCs/>
        </w:rPr>
        <w:t>Interactive Hover Information:</w:t>
      </w:r>
      <w:r>
        <w:t xml:space="preserve"> When hovering, each candlestick reveals:</w:t>
      </w:r>
    </w:p>
    <w:p w14:paraId="726EE5FC" w14:textId="77777777" w:rsidR="00920626" w:rsidRDefault="00000000" w:rsidP="005202D7">
      <w:pPr>
        <w:pStyle w:val="Compact"/>
        <w:numPr>
          <w:ilvl w:val="1"/>
          <w:numId w:val="43"/>
        </w:numPr>
        <w:spacing w:line="276" w:lineRule="auto"/>
      </w:pPr>
      <w:r>
        <w:rPr>
          <w:b/>
          <w:bCs/>
        </w:rPr>
        <w:t>Date</w:t>
      </w:r>
      <w:r>
        <w:t xml:space="preserve"> and </w:t>
      </w:r>
      <w:r>
        <w:rPr>
          <w:b/>
          <w:bCs/>
        </w:rPr>
        <w:t>OHLC prices</w:t>
      </w:r>
      <w:r>
        <w:t>, enabling precise, day-by-day analysis of LTC’s price action.</w:t>
      </w:r>
    </w:p>
    <w:p w14:paraId="2379E5B1" w14:textId="77777777" w:rsidR="00920626" w:rsidRDefault="00000000" w:rsidP="005202D7">
      <w:pPr>
        <w:numPr>
          <w:ilvl w:val="0"/>
          <w:numId w:val="40"/>
        </w:numPr>
        <w:spacing w:line="276" w:lineRule="auto"/>
      </w:pPr>
      <w:r>
        <w:rPr>
          <w:b/>
          <w:bCs/>
        </w:rPr>
        <w:t>Interpretation</w:t>
      </w:r>
      <w:r>
        <w:t xml:space="preserve">: Users can assess daily price volatility and trends through the candlestick representation. Each candlestick indicates price movement for a single </w:t>
      </w:r>
      <w:r>
        <w:lastRenderedPageBreak/>
        <w:t>day, where the color signifies whether the closing price was higher or lower than the opening price</w:t>
      </w:r>
    </w:p>
    <w:p w14:paraId="166D7592" w14:textId="77777777" w:rsidR="00920626" w:rsidRPr="005202D7" w:rsidRDefault="00000000" w:rsidP="005202D7">
      <w:pPr>
        <w:pStyle w:val="Heading3"/>
        <w:spacing w:line="276" w:lineRule="auto"/>
        <w:rPr>
          <w:color w:val="auto"/>
        </w:rPr>
      </w:pPr>
      <w:bookmarkStart w:id="59" w:name="close-price-with-moving-averages"/>
      <w:r w:rsidRPr="005202D7">
        <w:rPr>
          <w:color w:val="auto"/>
        </w:rPr>
        <w:t>8.3.1 2. Close Price with Moving Averages</w:t>
      </w:r>
    </w:p>
    <w:p w14:paraId="00441359" w14:textId="77777777" w:rsidR="00920626" w:rsidRPr="005202D7" w:rsidRDefault="00000000" w:rsidP="005202D7">
      <w:pPr>
        <w:numPr>
          <w:ilvl w:val="0"/>
          <w:numId w:val="44"/>
        </w:numPr>
        <w:spacing w:line="276" w:lineRule="auto"/>
      </w:pPr>
      <w:r w:rsidRPr="005202D7">
        <w:rPr>
          <w:b/>
          <w:bCs/>
        </w:rPr>
        <w:t>Purpose</w:t>
      </w:r>
      <w:r w:rsidRPr="005202D7">
        <w:t>: Displays the closing price of LTC along with multiple moving averages (5, 10, 20, 50, 100, and 200 days).</w:t>
      </w:r>
    </w:p>
    <w:p w14:paraId="4EA6DE60" w14:textId="77777777" w:rsidR="00920626" w:rsidRPr="005202D7" w:rsidRDefault="00000000" w:rsidP="005202D7">
      <w:pPr>
        <w:numPr>
          <w:ilvl w:val="0"/>
          <w:numId w:val="44"/>
        </w:numPr>
        <w:spacing w:line="276" w:lineRule="auto"/>
      </w:pPr>
      <w:r w:rsidRPr="005202D7">
        <w:rPr>
          <w:b/>
          <w:bCs/>
        </w:rPr>
        <w:t>Interpretation</w:t>
      </w:r>
      <w:r w:rsidRPr="005202D7">
        <w:t>: The moving averages help smooth out price fluctuations and identify potential trends. The green line represents the closing price, while the colored dashed lines represent different moving averages, providing insights into short-term vs. long-term trends.</w:t>
      </w:r>
    </w:p>
    <w:p w14:paraId="72ADE6AF" w14:textId="77777777" w:rsidR="00920626" w:rsidRPr="005202D7" w:rsidRDefault="00000000" w:rsidP="005202D7">
      <w:pPr>
        <w:pStyle w:val="Heading3"/>
        <w:spacing w:line="276" w:lineRule="auto"/>
        <w:rPr>
          <w:color w:val="auto"/>
        </w:rPr>
      </w:pPr>
      <w:bookmarkStart w:id="60" w:name="total-trading-volume"/>
      <w:bookmarkEnd w:id="59"/>
      <w:r w:rsidRPr="005202D7">
        <w:rPr>
          <w:color w:val="auto"/>
        </w:rPr>
        <w:t>8.3.2 3. Total Trading Volume</w:t>
      </w:r>
    </w:p>
    <w:p w14:paraId="1477BFB0" w14:textId="77777777" w:rsidR="00920626" w:rsidRPr="005202D7" w:rsidRDefault="00000000" w:rsidP="005202D7">
      <w:pPr>
        <w:numPr>
          <w:ilvl w:val="0"/>
          <w:numId w:val="45"/>
        </w:numPr>
        <w:spacing w:line="276" w:lineRule="auto"/>
      </w:pPr>
      <w:r w:rsidRPr="005202D7">
        <w:rPr>
          <w:b/>
          <w:bCs/>
        </w:rPr>
        <w:t>Purpose</w:t>
      </w:r>
      <w:r w:rsidRPr="005202D7">
        <w:t>: Illustrates the total trading volume of LTC over the selected date range.</w:t>
      </w:r>
    </w:p>
    <w:p w14:paraId="51017D02" w14:textId="77777777" w:rsidR="00920626" w:rsidRPr="005202D7" w:rsidRDefault="00000000" w:rsidP="005202D7">
      <w:pPr>
        <w:numPr>
          <w:ilvl w:val="0"/>
          <w:numId w:val="45"/>
        </w:numPr>
        <w:spacing w:line="276" w:lineRule="auto"/>
      </w:pPr>
      <w:r w:rsidRPr="005202D7">
        <w:rPr>
          <w:b/>
          <w:bCs/>
        </w:rPr>
        <w:t>Interpretation</w:t>
      </w:r>
      <w:r w:rsidRPr="005202D7">
        <w:t>: Volume is a crucial indicator of market activity. High volume often accompanies significant price movements, providing insights into market sentiment.</w:t>
      </w:r>
    </w:p>
    <w:p w14:paraId="412586CD" w14:textId="77777777" w:rsidR="00920626" w:rsidRPr="005202D7" w:rsidRDefault="00000000" w:rsidP="005202D7">
      <w:pPr>
        <w:pStyle w:val="Heading3"/>
        <w:spacing w:line="276" w:lineRule="auto"/>
        <w:rPr>
          <w:color w:val="auto"/>
        </w:rPr>
      </w:pPr>
      <w:bookmarkStart w:id="61" w:name="daily-returns"/>
      <w:bookmarkEnd w:id="60"/>
      <w:r w:rsidRPr="005202D7">
        <w:rPr>
          <w:color w:val="auto"/>
        </w:rPr>
        <w:t>8.3.3 4. Daily Returns</w:t>
      </w:r>
    </w:p>
    <w:p w14:paraId="57B12E7A" w14:textId="77777777" w:rsidR="00920626" w:rsidRPr="005202D7" w:rsidRDefault="00000000" w:rsidP="005202D7">
      <w:pPr>
        <w:numPr>
          <w:ilvl w:val="0"/>
          <w:numId w:val="46"/>
        </w:numPr>
        <w:spacing w:line="276" w:lineRule="auto"/>
      </w:pPr>
      <w:r w:rsidRPr="005202D7">
        <w:rPr>
          <w:b/>
          <w:bCs/>
        </w:rPr>
        <w:t>Purpose</w:t>
      </w:r>
      <w:r w:rsidRPr="005202D7">
        <w:t>: Shows the daily returns (percentage change) of LTC prices.</w:t>
      </w:r>
    </w:p>
    <w:p w14:paraId="4350ED84" w14:textId="77777777" w:rsidR="00920626" w:rsidRPr="005202D7" w:rsidRDefault="00000000" w:rsidP="005202D7">
      <w:pPr>
        <w:numPr>
          <w:ilvl w:val="0"/>
          <w:numId w:val="46"/>
        </w:numPr>
        <w:spacing w:line="276" w:lineRule="auto"/>
      </w:pPr>
      <w:r w:rsidRPr="005202D7">
        <w:rPr>
          <w:b/>
          <w:bCs/>
        </w:rPr>
        <w:t>Interpretation</w:t>
      </w:r>
      <w:r w:rsidRPr="005202D7">
        <w:t>: This plot highlights the volatility of the asset, with positive and negative returns indicating price fluctuations on a day-to-day basis.</w:t>
      </w:r>
    </w:p>
    <w:p w14:paraId="12B4A9B6" w14:textId="77777777" w:rsidR="00920626" w:rsidRPr="005202D7" w:rsidRDefault="00000000" w:rsidP="005202D7">
      <w:pPr>
        <w:pStyle w:val="Heading3"/>
        <w:spacing w:line="276" w:lineRule="auto"/>
        <w:rPr>
          <w:color w:val="auto"/>
        </w:rPr>
      </w:pPr>
      <w:bookmarkStart w:id="62" w:name="day-forecast-of-daily-close-prices"/>
      <w:bookmarkEnd w:id="61"/>
      <w:r w:rsidRPr="005202D7">
        <w:rPr>
          <w:color w:val="auto"/>
        </w:rPr>
        <w:t>8.3.4 5. 30-Day Forecast of Daily Close Prices</w:t>
      </w:r>
    </w:p>
    <w:p w14:paraId="37DF6CE8" w14:textId="77777777" w:rsidR="00920626" w:rsidRPr="005202D7" w:rsidRDefault="00000000" w:rsidP="005202D7">
      <w:pPr>
        <w:numPr>
          <w:ilvl w:val="0"/>
          <w:numId w:val="47"/>
        </w:numPr>
        <w:spacing w:line="276" w:lineRule="auto"/>
      </w:pPr>
      <w:r w:rsidRPr="005202D7">
        <w:rPr>
          <w:b/>
          <w:bCs/>
        </w:rPr>
        <w:t>Purpose</w:t>
      </w:r>
      <w:r w:rsidRPr="005202D7">
        <w:t>: Provides a forecast of LTC’s closing prices for the next 30 days using the ARIMA model.</w:t>
      </w:r>
    </w:p>
    <w:p w14:paraId="1161C631" w14:textId="77777777" w:rsidR="00920626" w:rsidRPr="005202D7" w:rsidRDefault="00000000" w:rsidP="005202D7">
      <w:pPr>
        <w:numPr>
          <w:ilvl w:val="0"/>
          <w:numId w:val="47"/>
        </w:numPr>
        <w:spacing w:line="276" w:lineRule="auto"/>
      </w:pPr>
      <w:r w:rsidRPr="005202D7">
        <w:rPr>
          <w:b/>
          <w:bCs/>
        </w:rPr>
        <w:t>Interpretation</w:t>
      </w:r>
      <w:r w:rsidRPr="005202D7">
        <w:t>: The red line represents the predicted closing prices, while the shaded area indicates the confidence intervals (uncertainty range). The center of the shaded area illustrates the most likely price trajectory, while the widening towards the end signifies increased uncertainty in forecasts over longer periods.</w:t>
      </w:r>
    </w:p>
    <w:p w14:paraId="6EFD0B55" w14:textId="77777777" w:rsidR="00920626" w:rsidRPr="005202D7" w:rsidRDefault="00000000" w:rsidP="005202D7">
      <w:pPr>
        <w:pStyle w:val="Heading2"/>
        <w:spacing w:line="276" w:lineRule="auto"/>
        <w:rPr>
          <w:color w:val="auto"/>
        </w:rPr>
      </w:pPr>
      <w:bookmarkStart w:id="63" w:name="insights-and-key-findings"/>
      <w:bookmarkStart w:id="64" w:name="_Toc181820860"/>
      <w:bookmarkEnd w:id="57"/>
      <w:bookmarkEnd w:id="62"/>
      <w:r w:rsidRPr="005202D7">
        <w:rPr>
          <w:color w:val="auto"/>
        </w:rPr>
        <w:t>8.4 Insights and Key Findings</w:t>
      </w:r>
      <w:bookmarkEnd w:id="64"/>
    </w:p>
    <w:p w14:paraId="7CA8AB4B" w14:textId="77777777" w:rsidR="00920626" w:rsidRDefault="00000000" w:rsidP="005202D7">
      <w:pPr>
        <w:pStyle w:val="FirstParagraph"/>
        <w:spacing w:line="276" w:lineRule="auto"/>
      </w:pPr>
      <w:r w:rsidRPr="005202D7">
        <w:rPr>
          <w:b/>
          <w:bCs/>
        </w:rPr>
        <w:t>Litecoin (LTC) Data Analysis for</w:t>
      </w:r>
      <w:r>
        <w:rPr>
          <w:b/>
          <w:bCs/>
        </w:rPr>
        <w:t xml:space="preserve"> February 2021 (Filtered date range)</w:t>
      </w:r>
    </w:p>
    <w:p w14:paraId="6DC06058" w14:textId="77777777" w:rsidR="00920626" w:rsidRPr="005202D7" w:rsidRDefault="00000000" w:rsidP="005202D7">
      <w:pPr>
        <w:pStyle w:val="Heading3"/>
        <w:spacing w:line="276" w:lineRule="auto"/>
        <w:rPr>
          <w:color w:val="auto"/>
        </w:rPr>
      </w:pPr>
      <w:bookmarkStart w:id="65" w:name="ltc-candlestick-chart-1"/>
      <w:r w:rsidRPr="005202D7">
        <w:rPr>
          <w:color w:val="auto"/>
        </w:rPr>
        <w:lastRenderedPageBreak/>
        <w:t>8.4.1 1. LTC Candlestick Chart</w:t>
      </w:r>
    </w:p>
    <w:p w14:paraId="083CF2CE" w14:textId="77777777" w:rsidR="00920626" w:rsidRDefault="00000000" w:rsidP="005202D7">
      <w:pPr>
        <w:pStyle w:val="FirstParagraph"/>
        <w:spacing w:line="276" w:lineRule="auto"/>
      </w:pPr>
      <w:r>
        <w:rPr>
          <w:noProof/>
        </w:rPr>
        <w:drawing>
          <wp:inline distT="0" distB="0" distL="0" distR="0" wp14:anchorId="7B77586F" wp14:editId="2C889A87">
            <wp:extent cx="5334000" cy="2696461"/>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images/Screenshot%20(445).png"/>
                    <pic:cNvPicPr>
                      <a:picLocks noChangeAspect="1" noChangeArrowheads="1"/>
                    </pic:cNvPicPr>
                  </pic:nvPicPr>
                  <pic:blipFill>
                    <a:blip r:embed="rId30"/>
                    <a:stretch>
                      <a:fillRect/>
                    </a:stretch>
                  </pic:blipFill>
                  <pic:spPr bwMode="auto">
                    <a:xfrm>
                      <a:off x="0" y="0"/>
                      <a:ext cx="5334000" cy="2696461"/>
                    </a:xfrm>
                    <a:prstGeom prst="rect">
                      <a:avLst/>
                    </a:prstGeom>
                    <a:noFill/>
                    <a:ln w="9525">
                      <a:noFill/>
                      <a:headEnd/>
                      <a:tailEnd/>
                    </a:ln>
                  </pic:spPr>
                </pic:pic>
              </a:graphicData>
            </a:graphic>
          </wp:inline>
        </w:drawing>
      </w:r>
    </w:p>
    <w:p w14:paraId="253B6C6E" w14:textId="77777777" w:rsidR="00920626" w:rsidRDefault="00000000" w:rsidP="005202D7">
      <w:pPr>
        <w:numPr>
          <w:ilvl w:val="0"/>
          <w:numId w:val="48"/>
        </w:numPr>
        <w:spacing w:line="276" w:lineRule="auto"/>
      </w:pPr>
      <w:r>
        <w:t>The candlestick chart shows daily price movements with opening, high, low, and closing prices.</w:t>
      </w:r>
    </w:p>
    <w:p w14:paraId="73BB7626" w14:textId="77777777" w:rsidR="00920626" w:rsidRDefault="00000000" w:rsidP="005202D7">
      <w:pPr>
        <w:numPr>
          <w:ilvl w:val="0"/>
          <w:numId w:val="48"/>
        </w:numPr>
        <w:spacing w:line="276" w:lineRule="auto"/>
      </w:pPr>
      <w:r>
        <w:t>LTC peaked around mid-February, reaching approximately $215 on February 14 before a swift decline.</w:t>
      </w:r>
    </w:p>
    <w:p w14:paraId="79B086DD" w14:textId="77777777" w:rsidR="00920626" w:rsidRPr="005202D7" w:rsidRDefault="00000000" w:rsidP="005202D7">
      <w:pPr>
        <w:numPr>
          <w:ilvl w:val="0"/>
          <w:numId w:val="48"/>
        </w:numPr>
        <w:spacing w:line="276" w:lineRule="auto"/>
      </w:pPr>
      <w:r>
        <w:t xml:space="preserve">Price patterns reveal notable volatility, with fluctuations around this peak and a </w:t>
      </w:r>
      <w:r w:rsidRPr="005202D7">
        <w:t>gradual decrease toward the month’s end.</w:t>
      </w:r>
    </w:p>
    <w:p w14:paraId="0432BE41" w14:textId="77777777" w:rsidR="00920626" w:rsidRPr="005202D7" w:rsidRDefault="00000000" w:rsidP="005202D7">
      <w:pPr>
        <w:pStyle w:val="Heading3"/>
        <w:spacing w:line="276" w:lineRule="auto"/>
        <w:rPr>
          <w:color w:val="auto"/>
        </w:rPr>
      </w:pPr>
      <w:bookmarkStart w:id="66" w:name="close-price-with-moving-averages-1"/>
      <w:bookmarkEnd w:id="65"/>
      <w:r w:rsidRPr="005202D7">
        <w:rPr>
          <w:color w:val="auto"/>
        </w:rPr>
        <w:t>8.4.2 2. Close Price with Moving Averages</w:t>
      </w:r>
    </w:p>
    <w:p w14:paraId="29B981BB" w14:textId="77777777" w:rsidR="00920626" w:rsidRDefault="00000000" w:rsidP="005202D7">
      <w:pPr>
        <w:pStyle w:val="FirstParagraph"/>
        <w:spacing w:line="276" w:lineRule="auto"/>
      </w:pPr>
      <w:r>
        <w:rPr>
          <w:noProof/>
        </w:rPr>
        <w:drawing>
          <wp:inline distT="0" distB="0" distL="0" distR="0" wp14:anchorId="0F9CFECB" wp14:editId="14E76BBE">
            <wp:extent cx="5334000" cy="2640400"/>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images/Screenshot%20(446)-01.png"/>
                    <pic:cNvPicPr>
                      <a:picLocks noChangeAspect="1" noChangeArrowheads="1"/>
                    </pic:cNvPicPr>
                  </pic:nvPicPr>
                  <pic:blipFill>
                    <a:blip r:embed="rId31"/>
                    <a:stretch>
                      <a:fillRect/>
                    </a:stretch>
                  </pic:blipFill>
                  <pic:spPr bwMode="auto">
                    <a:xfrm>
                      <a:off x="0" y="0"/>
                      <a:ext cx="5334000" cy="2640400"/>
                    </a:xfrm>
                    <a:prstGeom prst="rect">
                      <a:avLst/>
                    </a:prstGeom>
                    <a:noFill/>
                    <a:ln w="9525">
                      <a:noFill/>
                      <a:headEnd/>
                      <a:tailEnd/>
                    </a:ln>
                  </pic:spPr>
                </pic:pic>
              </a:graphicData>
            </a:graphic>
          </wp:inline>
        </w:drawing>
      </w:r>
    </w:p>
    <w:p w14:paraId="4CB2ACAA" w14:textId="77777777" w:rsidR="00920626" w:rsidRDefault="00000000" w:rsidP="005202D7">
      <w:pPr>
        <w:numPr>
          <w:ilvl w:val="0"/>
          <w:numId w:val="49"/>
        </w:numPr>
        <w:spacing w:line="276" w:lineRule="auto"/>
      </w:pPr>
      <w:r>
        <w:lastRenderedPageBreak/>
        <w:t>This chart displays LTC’s closing price along with short- and long-term moving averages (e.g., 5-day, 10-day, 20-day).</w:t>
      </w:r>
    </w:p>
    <w:p w14:paraId="7D96C567" w14:textId="77777777" w:rsidR="00920626" w:rsidRDefault="00000000" w:rsidP="005202D7">
      <w:pPr>
        <w:numPr>
          <w:ilvl w:val="0"/>
          <w:numId w:val="49"/>
        </w:numPr>
        <w:spacing w:line="276" w:lineRule="auto"/>
      </w:pPr>
      <w:r>
        <w:t>The closing price closely follows shorter averages, reflecting shorter-term trends.</w:t>
      </w:r>
    </w:p>
    <w:p w14:paraId="1C2003D8" w14:textId="77777777" w:rsidR="00920626" w:rsidRDefault="00000000" w:rsidP="005202D7">
      <w:pPr>
        <w:numPr>
          <w:ilvl w:val="0"/>
          <w:numId w:val="49"/>
        </w:numPr>
        <w:spacing w:line="276" w:lineRule="auto"/>
      </w:pPr>
      <w:r>
        <w:t>In mid-February, the closing price rises above longer averages, indicating upward momentum, before returning to these averages after the peak.</w:t>
      </w:r>
    </w:p>
    <w:p w14:paraId="13404007" w14:textId="77777777" w:rsidR="00920626" w:rsidRPr="005202D7" w:rsidRDefault="00000000" w:rsidP="005202D7">
      <w:pPr>
        <w:pStyle w:val="Heading3"/>
        <w:spacing w:line="276" w:lineRule="auto"/>
        <w:rPr>
          <w:color w:val="auto"/>
        </w:rPr>
      </w:pPr>
      <w:bookmarkStart w:id="67" w:name="trading-volume"/>
      <w:bookmarkEnd w:id="66"/>
      <w:r w:rsidRPr="005202D7">
        <w:rPr>
          <w:color w:val="auto"/>
        </w:rPr>
        <w:t>8.4.3 3. Trading Volume</w:t>
      </w:r>
    </w:p>
    <w:p w14:paraId="22E4F5C1" w14:textId="77777777" w:rsidR="00920626" w:rsidRDefault="00000000" w:rsidP="005202D7">
      <w:pPr>
        <w:numPr>
          <w:ilvl w:val="0"/>
          <w:numId w:val="50"/>
        </w:numPr>
        <w:spacing w:line="276" w:lineRule="auto"/>
      </w:pPr>
      <w:r>
        <w:t>Trading volume spikes around February 14, surpassing 60,000, indicating heightened activity and interest during peak price volatility.</w:t>
      </w:r>
    </w:p>
    <w:p w14:paraId="44B4C335" w14:textId="77777777" w:rsidR="00920626" w:rsidRDefault="00000000" w:rsidP="005202D7">
      <w:pPr>
        <w:numPr>
          <w:ilvl w:val="0"/>
          <w:numId w:val="50"/>
        </w:numPr>
        <w:spacing w:line="276" w:lineRule="auto"/>
      </w:pPr>
      <w:r>
        <w:t>Volume stabilizes following the mid-month peak, aligning with the gradual price decline.</w:t>
      </w:r>
    </w:p>
    <w:p w14:paraId="65B196C7" w14:textId="77777777" w:rsidR="00920626" w:rsidRDefault="00000000" w:rsidP="005202D7">
      <w:pPr>
        <w:pStyle w:val="FirstParagraph"/>
        <w:spacing w:line="276" w:lineRule="auto"/>
      </w:pPr>
      <w:r>
        <w:rPr>
          <w:noProof/>
        </w:rPr>
        <w:drawing>
          <wp:inline distT="0" distB="0" distL="0" distR="0" wp14:anchorId="0D1D2222" wp14:editId="31B3181E">
            <wp:extent cx="5334000" cy="2702073"/>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images/Screenshot%20(447).png"/>
                    <pic:cNvPicPr>
                      <a:picLocks noChangeAspect="1" noChangeArrowheads="1"/>
                    </pic:cNvPicPr>
                  </pic:nvPicPr>
                  <pic:blipFill>
                    <a:blip r:embed="rId32"/>
                    <a:stretch>
                      <a:fillRect/>
                    </a:stretch>
                  </pic:blipFill>
                  <pic:spPr bwMode="auto">
                    <a:xfrm>
                      <a:off x="0" y="0"/>
                      <a:ext cx="5334000" cy="2702073"/>
                    </a:xfrm>
                    <a:prstGeom prst="rect">
                      <a:avLst/>
                    </a:prstGeom>
                    <a:noFill/>
                    <a:ln w="9525">
                      <a:noFill/>
                      <a:headEnd/>
                      <a:tailEnd/>
                    </a:ln>
                  </pic:spPr>
                </pic:pic>
              </a:graphicData>
            </a:graphic>
          </wp:inline>
        </w:drawing>
      </w:r>
    </w:p>
    <w:p w14:paraId="68F237EB" w14:textId="77777777" w:rsidR="00920626" w:rsidRPr="005202D7" w:rsidRDefault="00000000" w:rsidP="005202D7">
      <w:pPr>
        <w:pStyle w:val="Heading3"/>
        <w:spacing w:line="276" w:lineRule="auto"/>
        <w:rPr>
          <w:color w:val="auto"/>
        </w:rPr>
      </w:pPr>
      <w:bookmarkStart w:id="68" w:name="daily-returns-1"/>
      <w:bookmarkEnd w:id="67"/>
      <w:r w:rsidRPr="005202D7">
        <w:rPr>
          <w:color w:val="auto"/>
        </w:rPr>
        <w:t>8.4.4 4. Daily Returns</w:t>
      </w:r>
    </w:p>
    <w:p w14:paraId="2F58143B" w14:textId="77777777" w:rsidR="00920626" w:rsidRPr="005202D7" w:rsidRDefault="00000000" w:rsidP="005202D7">
      <w:pPr>
        <w:numPr>
          <w:ilvl w:val="0"/>
          <w:numId w:val="51"/>
        </w:numPr>
        <w:spacing w:line="276" w:lineRule="auto"/>
      </w:pPr>
      <w:r w:rsidRPr="005202D7">
        <w:t>The daily returns graph reveals significant fluctuations throughout February, especially around the peak, reflecting high volatility.</w:t>
      </w:r>
    </w:p>
    <w:p w14:paraId="610CD773" w14:textId="77777777" w:rsidR="00920626" w:rsidRPr="005202D7" w:rsidRDefault="00000000" w:rsidP="005202D7">
      <w:pPr>
        <w:numPr>
          <w:ilvl w:val="0"/>
          <w:numId w:val="51"/>
        </w:numPr>
        <w:spacing w:line="276" w:lineRule="auto"/>
      </w:pPr>
      <w:r w:rsidRPr="005202D7">
        <w:t xml:space="preserve">Toward </w:t>
      </w:r>
      <w:proofErr w:type="gramStart"/>
      <w:r w:rsidRPr="005202D7">
        <w:t>month</w:t>
      </w:r>
      <w:proofErr w:type="gramEnd"/>
      <w:r w:rsidRPr="005202D7">
        <w:t>-end, returns narrow, signaling lower volatility as prices stabilized.</w:t>
      </w:r>
    </w:p>
    <w:p w14:paraId="44B24393" w14:textId="77777777" w:rsidR="00920626" w:rsidRPr="005202D7" w:rsidRDefault="00000000" w:rsidP="005202D7">
      <w:pPr>
        <w:pStyle w:val="Heading3"/>
        <w:spacing w:line="276" w:lineRule="auto"/>
        <w:rPr>
          <w:color w:val="auto"/>
        </w:rPr>
      </w:pPr>
      <w:bookmarkStart w:id="69" w:name="key-insights"/>
      <w:bookmarkEnd w:id="68"/>
      <w:r w:rsidRPr="005202D7">
        <w:rPr>
          <w:color w:val="auto"/>
        </w:rPr>
        <w:t>8.4.5 Key Insights</w:t>
      </w:r>
    </w:p>
    <w:p w14:paraId="05D72E5B" w14:textId="77777777" w:rsidR="00920626" w:rsidRDefault="00000000" w:rsidP="005202D7">
      <w:pPr>
        <w:numPr>
          <w:ilvl w:val="0"/>
          <w:numId w:val="52"/>
        </w:numPr>
        <w:spacing w:line="276" w:lineRule="auto"/>
      </w:pPr>
      <w:r w:rsidRPr="005202D7">
        <w:rPr>
          <w:b/>
          <w:bCs/>
        </w:rPr>
        <w:t>Mid-February</w:t>
      </w:r>
      <w:r>
        <w:rPr>
          <w:b/>
          <w:bCs/>
        </w:rPr>
        <w:t xml:space="preserve"> Peak</w:t>
      </w:r>
      <w:r>
        <w:t>: LTC experienced a price and volume peak around February 14, suggesting increased market activity and volatility.</w:t>
      </w:r>
    </w:p>
    <w:p w14:paraId="2B1A0545" w14:textId="77777777" w:rsidR="00920626" w:rsidRDefault="00000000" w:rsidP="005202D7">
      <w:pPr>
        <w:numPr>
          <w:ilvl w:val="0"/>
          <w:numId w:val="52"/>
        </w:numPr>
        <w:spacing w:line="276" w:lineRule="auto"/>
      </w:pPr>
      <w:r>
        <w:rPr>
          <w:b/>
          <w:bCs/>
        </w:rPr>
        <w:t>Volatility Trends</w:t>
      </w:r>
      <w:r>
        <w:t>: February saw considerable price swings, with large movements especially around the peak, highlighting a high-risk period.</w:t>
      </w:r>
    </w:p>
    <w:p w14:paraId="2048E1FD" w14:textId="77777777" w:rsidR="00920626" w:rsidRDefault="00000000" w:rsidP="005202D7">
      <w:pPr>
        <w:numPr>
          <w:ilvl w:val="0"/>
          <w:numId w:val="52"/>
        </w:numPr>
        <w:spacing w:line="276" w:lineRule="auto"/>
      </w:pPr>
      <w:r>
        <w:rPr>
          <w:b/>
          <w:bCs/>
        </w:rPr>
        <w:lastRenderedPageBreak/>
        <w:t>Trend Reversion</w:t>
      </w:r>
      <w:r>
        <w:t>: Following the peak, prices aligned more closely with longer averages, indicating a cooling phase.</w:t>
      </w:r>
    </w:p>
    <w:p w14:paraId="27126A0C" w14:textId="77777777" w:rsidR="00920626" w:rsidRDefault="00000000" w:rsidP="005202D7">
      <w:pPr>
        <w:numPr>
          <w:ilvl w:val="0"/>
          <w:numId w:val="52"/>
        </w:numPr>
        <w:spacing w:line="276" w:lineRule="auto"/>
      </w:pPr>
      <w:r>
        <w:rPr>
          <w:b/>
          <w:bCs/>
        </w:rPr>
        <w:t>Market Shift</w:t>
      </w:r>
      <w:r>
        <w:t>: Volume and prices declined toward the end of February, reflecting decreased trading interest.</w:t>
      </w:r>
    </w:p>
    <w:p w14:paraId="087B1E9C" w14:textId="77777777" w:rsidR="00920626" w:rsidRDefault="00000000" w:rsidP="005202D7">
      <w:pPr>
        <w:pStyle w:val="FirstParagraph"/>
        <w:spacing w:line="276" w:lineRule="auto"/>
      </w:pPr>
      <w:r>
        <w:t>In summary, February 2021 was a highly active month for LTC, marked by a sharp price peak, high trading activity, and a shift in momentum by month-end. This analysis offers insights into LTC’s behavior during periods of volatility and active trading.</w:t>
      </w:r>
    </w:p>
    <w:p w14:paraId="76520EC0" w14:textId="77777777" w:rsidR="00920626" w:rsidRDefault="00000000" w:rsidP="005202D7">
      <w:pPr>
        <w:spacing w:line="276" w:lineRule="auto"/>
      </w:pPr>
      <w:r>
        <w:br w:type="page"/>
      </w:r>
    </w:p>
    <w:p w14:paraId="450CD1E9" w14:textId="77777777" w:rsidR="00920626" w:rsidRPr="005202D7" w:rsidRDefault="00000000" w:rsidP="005202D7">
      <w:pPr>
        <w:pStyle w:val="Heading1"/>
        <w:spacing w:line="276" w:lineRule="auto"/>
        <w:rPr>
          <w:color w:val="auto"/>
        </w:rPr>
      </w:pPr>
      <w:bookmarkStart w:id="70" w:name="X37da25ae95365b38ebf3574117b7a513c511740"/>
      <w:bookmarkStart w:id="71" w:name="_Toc181820861"/>
      <w:bookmarkEnd w:id="51"/>
      <w:bookmarkEnd w:id="63"/>
      <w:bookmarkEnd w:id="69"/>
      <w:r w:rsidRPr="005202D7">
        <w:rPr>
          <w:color w:val="auto"/>
        </w:rPr>
        <w:lastRenderedPageBreak/>
        <w:t xml:space="preserve">9. Applications </w:t>
      </w:r>
      <w:proofErr w:type="gramStart"/>
      <w:r w:rsidRPr="005202D7">
        <w:rPr>
          <w:color w:val="auto"/>
        </w:rPr>
        <w:t>of</w:t>
      </w:r>
      <w:proofErr w:type="gramEnd"/>
      <w:r w:rsidRPr="005202D7">
        <w:rPr>
          <w:color w:val="auto"/>
        </w:rPr>
        <w:t xml:space="preserve"> Litecoin (LTC) Data Analysis in a Business Context</w:t>
      </w:r>
      <w:bookmarkEnd w:id="71"/>
    </w:p>
    <w:p w14:paraId="17DDC2B8" w14:textId="77777777" w:rsidR="00920626" w:rsidRPr="005202D7" w:rsidRDefault="00000000" w:rsidP="005202D7">
      <w:pPr>
        <w:pStyle w:val="Heading4"/>
        <w:spacing w:line="276" w:lineRule="auto"/>
        <w:rPr>
          <w:color w:val="auto"/>
        </w:rPr>
      </w:pPr>
      <w:bookmarkStart w:id="72" w:name="investment-strategy-development"/>
      <w:r w:rsidRPr="005202D7">
        <w:rPr>
          <w:color w:val="auto"/>
        </w:rPr>
        <w:t xml:space="preserve">9.0.0.1 1. </w:t>
      </w:r>
      <w:r w:rsidRPr="005202D7">
        <w:rPr>
          <w:b/>
          <w:color w:val="auto"/>
        </w:rPr>
        <w:t>Investment Strategy Development</w:t>
      </w:r>
    </w:p>
    <w:p w14:paraId="3183D5FA" w14:textId="77777777" w:rsidR="00920626" w:rsidRPr="005202D7" w:rsidRDefault="00000000" w:rsidP="005202D7">
      <w:pPr>
        <w:pStyle w:val="FirstParagraph"/>
        <w:spacing w:line="276" w:lineRule="auto"/>
      </w:pPr>
      <w:r w:rsidRPr="005202D7">
        <w:t xml:space="preserve">The insights derived from LTC price movements, trading volume, and volatility can aid investors and financial institutions in formulating investment strategies. For example, the identification of peak periods, such as the price </w:t>
      </w:r>
      <w:proofErr w:type="gramStart"/>
      <w:r w:rsidRPr="005202D7">
        <w:t>spike</w:t>
      </w:r>
      <w:proofErr w:type="gramEnd"/>
      <w:r w:rsidRPr="005202D7">
        <w:t xml:space="preserve"> observed in February 2021, can help investors time their entries and exits effectively. This is crucial in a volatile market where timing can significantly influence returns (Chen, 2021). By analyzing historical patterns, businesses can develop models that optimize portfolio allocations based on expected price trends.</w:t>
      </w:r>
    </w:p>
    <w:p w14:paraId="29B49616" w14:textId="77777777" w:rsidR="00920626" w:rsidRPr="005202D7" w:rsidRDefault="00000000" w:rsidP="005202D7">
      <w:pPr>
        <w:pStyle w:val="Heading4"/>
        <w:spacing w:line="276" w:lineRule="auto"/>
        <w:rPr>
          <w:color w:val="auto"/>
        </w:rPr>
      </w:pPr>
      <w:bookmarkStart w:id="73" w:name="risk-management"/>
      <w:bookmarkEnd w:id="72"/>
      <w:r w:rsidRPr="005202D7">
        <w:rPr>
          <w:color w:val="auto"/>
        </w:rPr>
        <w:t xml:space="preserve">9.0.0.2 2. </w:t>
      </w:r>
      <w:r w:rsidRPr="005202D7">
        <w:rPr>
          <w:b/>
          <w:color w:val="auto"/>
        </w:rPr>
        <w:t>Risk Management</w:t>
      </w:r>
    </w:p>
    <w:p w14:paraId="0FEEA1A9" w14:textId="77777777" w:rsidR="00920626" w:rsidRPr="005202D7" w:rsidRDefault="00000000" w:rsidP="005202D7">
      <w:pPr>
        <w:pStyle w:val="FirstParagraph"/>
        <w:spacing w:line="276" w:lineRule="auto"/>
      </w:pPr>
      <w:r w:rsidRPr="005202D7">
        <w:t>Understanding price volatility and daily return patterns allows businesses to implement better risk management practices. Firms can use this analysis to establish risk thresholds, set stop-loss orders, and determine the appropriate level of exposure to cryptocurrencies in their portfolios. For instance, during periods of high volatility, as seen in mid-February, businesses might choose to limit their exposure to LTC to mitigate potential losses (Gandal and Halaburda, 2016). This proactive approach to risk management can safeguard assets and improve overall financial stability.</w:t>
      </w:r>
    </w:p>
    <w:p w14:paraId="50BC97CD" w14:textId="77777777" w:rsidR="00920626" w:rsidRPr="005202D7" w:rsidRDefault="00000000" w:rsidP="005202D7">
      <w:pPr>
        <w:pStyle w:val="Heading4"/>
        <w:spacing w:line="276" w:lineRule="auto"/>
        <w:rPr>
          <w:color w:val="auto"/>
        </w:rPr>
      </w:pPr>
      <w:bookmarkStart w:id="74" w:name="market-sentiment-analysis"/>
      <w:bookmarkEnd w:id="73"/>
      <w:r w:rsidRPr="005202D7">
        <w:rPr>
          <w:color w:val="auto"/>
        </w:rPr>
        <w:t xml:space="preserve">9.0.0.3 3. </w:t>
      </w:r>
      <w:r w:rsidRPr="005202D7">
        <w:rPr>
          <w:b/>
          <w:color w:val="auto"/>
        </w:rPr>
        <w:t>Market Sentiment Analysis</w:t>
      </w:r>
    </w:p>
    <w:p w14:paraId="6E187148" w14:textId="77777777" w:rsidR="00920626" w:rsidRPr="005202D7" w:rsidRDefault="00000000" w:rsidP="005202D7">
      <w:pPr>
        <w:pStyle w:val="FirstParagraph"/>
        <w:spacing w:line="276" w:lineRule="auto"/>
      </w:pPr>
      <w:r w:rsidRPr="005202D7">
        <w:t>The analysis of trading volume in conjunction with price movements can provide insights into market sentiment. High trading volumes, particularly during significant price fluctuations, often indicate increased interest or reaction to external events (Swan, 2015). Businesses can leverage this information to make informed decisions regarding marketing strategies, product launches, or customer engagement initiatives in the cryptocurrency space. For example, if trading volume spikes alongside positive news about LTC, businesses could capitalize on this momentum through targeted promotions or partnerships.</w:t>
      </w:r>
    </w:p>
    <w:p w14:paraId="3ABEC0E1" w14:textId="77777777" w:rsidR="00920626" w:rsidRPr="005202D7" w:rsidRDefault="00000000" w:rsidP="005202D7">
      <w:pPr>
        <w:pStyle w:val="Heading3"/>
        <w:spacing w:line="276" w:lineRule="auto"/>
        <w:rPr>
          <w:color w:val="auto"/>
        </w:rPr>
      </w:pPr>
      <w:bookmarkStart w:id="75" w:name="recommendations"/>
      <w:bookmarkEnd w:id="74"/>
      <w:r w:rsidRPr="005202D7">
        <w:rPr>
          <w:color w:val="auto"/>
        </w:rPr>
        <w:t>9.0.1 Recommendations</w:t>
      </w:r>
    </w:p>
    <w:p w14:paraId="42FA5CF7" w14:textId="77777777" w:rsidR="00920626" w:rsidRPr="005202D7" w:rsidRDefault="00000000" w:rsidP="005202D7">
      <w:pPr>
        <w:numPr>
          <w:ilvl w:val="0"/>
          <w:numId w:val="53"/>
        </w:numPr>
        <w:spacing w:line="276" w:lineRule="auto"/>
      </w:pPr>
      <w:r w:rsidRPr="005202D7">
        <w:rPr>
          <w:b/>
          <w:bCs/>
        </w:rPr>
        <w:t>Develop Data-Driven Investment Models</w:t>
      </w:r>
      <w:r w:rsidRPr="005202D7">
        <w:t>: Financial institutions should invest in developing algorithms that utilize historical LTC data to predict future price movements. This could involve machine learning techniques to enhance accuracy.</w:t>
      </w:r>
    </w:p>
    <w:p w14:paraId="19CD58C8" w14:textId="77777777" w:rsidR="00920626" w:rsidRPr="005202D7" w:rsidRDefault="00000000" w:rsidP="005202D7">
      <w:pPr>
        <w:numPr>
          <w:ilvl w:val="0"/>
          <w:numId w:val="53"/>
        </w:numPr>
        <w:spacing w:line="276" w:lineRule="auto"/>
      </w:pPr>
      <w:r w:rsidRPr="005202D7">
        <w:rPr>
          <w:b/>
          <w:bCs/>
        </w:rPr>
        <w:t>Implement Robust Risk Assessment Tools</w:t>
      </w:r>
      <w:r w:rsidRPr="005202D7">
        <w:t>: Firms should establish protocols for monitoring market conditions and volatility, enabling them to adjust their trading strategies in real time based on market behavior.</w:t>
      </w:r>
    </w:p>
    <w:p w14:paraId="75D3BD74" w14:textId="77777777" w:rsidR="00920626" w:rsidRPr="005202D7" w:rsidRDefault="00000000" w:rsidP="005202D7">
      <w:pPr>
        <w:numPr>
          <w:ilvl w:val="0"/>
          <w:numId w:val="53"/>
        </w:numPr>
        <w:spacing w:line="276" w:lineRule="auto"/>
      </w:pPr>
      <w:r w:rsidRPr="005202D7">
        <w:rPr>
          <w:b/>
          <w:bCs/>
        </w:rPr>
        <w:lastRenderedPageBreak/>
        <w:t>Engage in Market Monitoring</w:t>
      </w:r>
      <w:r w:rsidRPr="005202D7">
        <w:t>: Businesses should closely monitor trading volumes and market sentiment to stay ahead of trends, allowing them to adapt their strategies promptly and capitalize on emerging opportunities.</w:t>
      </w:r>
    </w:p>
    <w:p w14:paraId="5718124F" w14:textId="77777777" w:rsidR="00920626" w:rsidRPr="005202D7" w:rsidRDefault="00000000" w:rsidP="005202D7">
      <w:pPr>
        <w:spacing w:line="276" w:lineRule="auto"/>
      </w:pPr>
      <w:r w:rsidRPr="005202D7">
        <w:br w:type="page"/>
      </w:r>
    </w:p>
    <w:p w14:paraId="5183549D" w14:textId="77777777" w:rsidR="00920626" w:rsidRPr="005202D7" w:rsidRDefault="00000000" w:rsidP="005202D7">
      <w:pPr>
        <w:pStyle w:val="Heading1"/>
        <w:spacing w:line="276" w:lineRule="auto"/>
        <w:rPr>
          <w:color w:val="auto"/>
        </w:rPr>
      </w:pPr>
      <w:bookmarkStart w:id="76" w:name="conclusion"/>
      <w:bookmarkStart w:id="77" w:name="_Toc181820862"/>
      <w:bookmarkEnd w:id="70"/>
      <w:bookmarkEnd w:id="75"/>
      <w:r w:rsidRPr="005202D7">
        <w:rPr>
          <w:color w:val="auto"/>
        </w:rPr>
        <w:lastRenderedPageBreak/>
        <w:t>10. Conclusion</w:t>
      </w:r>
      <w:bookmarkEnd w:id="77"/>
    </w:p>
    <w:p w14:paraId="3651E4CD" w14:textId="77777777" w:rsidR="00920626" w:rsidRPr="005202D7" w:rsidRDefault="00000000" w:rsidP="005202D7">
      <w:pPr>
        <w:pStyle w:val="FirstParagraph"/>
        <w:spacing w:line="276" w:lineRule="auto"/>
      </w:pPr>
      <w:r w:rsidRPr="005202D7">
        <w:t>This analysis of Litecoin (LTC) trading data highlights important trends in price movements, trading volume, and market volatility within the cryptocurrency landscape. The findings indicate that LTC experienced significant price fluctuations in February 2021, particularly around mid-month, when both market interest and trading volume peaked. By examining LTC’s closing prices alongside moving averages, it was observed how the coin aligned with short-term market trends and how increased volatility often followed sharp price changes.</w:t>
      </w:r>
    </w:p>
    <w:p w14:paraId="7EC3572C" w14:textId="77777777" w:rsidR="00920626" w:rsidRPr="005202D7" w:rsidRDefault="00000000" w:rsidP="005202D7">
      <w:pPr>
        <w:pStyle w:val="BodyText"/>
        <w:spacing w:line="276" w:lineRule="auto"/>
      </w:pPr>
      <w:r w:rsidRPr="005202D7">
        <w:t>To address the challenges posed by extreme values common in cryptocurrency markets, techniques like winsorization were employed. This approach helped interpret trends more accurately by minimizing the impact of outliers. Additionally, the use of the ARIMA model for a 30-day forecast provided a data-driven outlook on LTC’s future closing prices, offering valuable insights for traders making investment decisions.</w:t>
      </w:r>
    </w:p>
    <w:p w14:paraId="26F436DC" w14:textId="77777777" w:rsidR="00920626" w:rsidRPr="005202D7" w:rsidRDefault="00000000" w:rsidP="005202D7">
      <w:pPr>
        <w:pStyle w:val="BodyText"/>
        <w:spacing w:line="276" w:lineRule="auto"/>
      </w:pPr>
      <w:r w:rsidRPr="005202D7">
        <w:t>In summary, this analysis demonstrates the effectiveness of data-driven methods in navigating the complexities of cryptocurrency trading. By understanding historical price patterns and anticipating volatility, traders and investors can make more informed and strategic choices. Overall, this study emphasizes the importance of thorough analysis in managing risks and seizing opportunities in the dynamic world of digital assets. </w:t>
      </w:r>
    </w:p>
    <w:p w14:paraId="01E963C7" w14:textId="77777777" w:rsidR="00920626" w:rsidRPr="005202D7" w:rsidRDefault="00000000" w:rsidP="005202D7">
      <w:pPr>
        <w:spacing w:line="276" w:lineRule="auto"/>
      </w:pPr>
      <w:r w:rsidRPr="005202D7">
        <w:br w:type="page"/>
      </w:r>
    </w:p>
    <w:p w14:paraId="71A57233" w14:textId="77777777" w:rsidR="00920626" w:rsidRPr="005202D7" w:rsidRDefault="00000000" w:rsidP="005202D7">
      <w:pPr>
        <w:pStyle w:val="Heading1"/>
        <w:spacing w:line="276" w:lineRule="auto"/>
        <w:rPr>
          <w:color w:val="auto"/>
        </w:rPr>
      </w:pPr>
      <w:bookmarkStart w:id="78" w:name="references"/>
      <w:bookmarkStart w:id="79" w:name="_Toc181820863"/>
      <w:bookmarkEnd w:id="76"/>
      <w:r w:rsidRPr="005202D7">
        <w:rPr>
          <w:color w:val="auto"/>
        </w:rPr>
        <w:lastRenderedPageBreak/>
        <w:t>11. References</w:t>
      </w:r>
      <w:bookmarkEnd w:id="79"/>
    </w:p>
    <w:p w14:paraId="731B1579" w14:textId="77777777" w:rsidR="00920626" w:rsidRPr="005202D7" w:rsidRDefault="00000000" w:rsidP="005202D7">
      <w:pPr>
        <w:pStyle w:val="Bibliography"/>
        <w:spacing w:line="276" w:lineRule="auto"/>
      </w:pPr>
      <w:bookmarkStart w:id="80" w:name="ref-anderson2019"/>
      <w:bookmarkStart w:id="81" w:name="refs"/>
      <w:r w:rsidRPr="005202D7">
        <w:t xml:space="preserve">Anderson, T.W. (2019) ‘Statistical analysis of financial data with r’, </w:t>
      </w:r>
      <w:r w:rsidRPr="005202D7">
        <w:rPr>
          <w:i/>
          <w:iCs/>
        </w:rPr>
        <w:t>Journal of Financial Research</w:t>
      </w:r>
      <w:r w:rsidRPr="005202D7">
        <w:t>, 42(3), pp. 457–479.</w:t>
      </w:r>
    </w:p>
    <w:p w14:paraId="7113B8F7" w14:textId="77777777" w:rsidR="00920626" w:rsidRPr="005202D7" w:rsidRDefault="00000000" w:rsidP="005202D7">
      <w:pPr>
        <w:pStyle w:val="Bibliography"/>
        <w:spacing w:line="276" w:lineRule="auto"/>
      </w:pPr>
      <w:bookmarkStart w:id="82" w:name="ref-chen2021"/>
      <w:bookmarkEnd w:id="80"/>
      <w:r w:rsidRPr="005202D7">
        <w:t xml:space="preserve">Chen, J. (2021) ‘Understanding the cryptocurrency market: An investor’s perspective’, </w:t>
      </w:r>
      <w:r w:rsidRPr="005202D7">
        <w:rPr>
          <w:i/>
          <w:iCs/>
        </w:rPr>
        <w:t>Journal of Finance</w:t>
      </w:r>
      <w:r w:rsidRPr="005202D7">
        <w:t xml:space="preserve">, 76(3), pp. 145–167. Available at: </w:t>
      </w:r>
      <w:hyperlink r:id="rId33">
        <w:r w:rsidRPr="005202D7">
          <w:rPr>
            <w:rStyle w:val="Hyperlink"/>
            <w:color w:val="auto"/>
          </w:rPr>
          <w:t>https://doi.org/10.1111/jofi.12925</w:t>
        </w:r>
      </w:hyperlink>
      <w:r w:rsidRPr="005202D7">
        <w:t>.</w:t>
      </w:r>
    </w:p>
    <w:p w14:paraId="1CABDF3B" w14:textId="77777777" w:rsidR="00920626" w:rsidRPr="005202D7" w:rsidRDefault="00000000" w:rsidP="005202D7">
      <w:pPr>
        <w:pStyle w:val="Bibliography"/>
        <w:spacing w:line="276" w:lineRule="auto"/>
      </w:pPr>
      <w:bookmarkStart w:id="83" w:name="ref-gandal2016"/>
      <w:bookmarkEnd w:id="82"/>
      <w:r w:rsidRPr="005202D7">
        <w:t xml:space="preserve">Gandal, N. and Halaburda, H. (2016) ‘Can bitcoin become a major currency?’, </w:t>
      </w:r>
      <w:r w:rsidRPr="005202D7">
        <w:rPr>
          <w:i/>
          <w:iCs/>
        </w:rPr>
        <w:t>Journal of Economic Perspectives</w:t>
      </w:r>
      <w:r w:rsidRPr="005202D7">
        <w:t xml:space="preserve">, 29(2), pp. 213–238. Available at: </w:t>
      </w:r>
      <w:hyperlink r:id="rId34">
        <w:r w:rsidRPr="005202D7">
          <w:rPr>
            <w:rStyle w:val="Hyperlink"/>
            <w:color w:val="auto"/>
          </w:rPr>
          <w:t>https://doi.org/10.1257/jep.29.2.213</w:t>
        </w:r>
      </w:hyperlink>
      <w:r w:rsidRPr="005202D7">
        <w:t>.</w:t>
      </w:r>
    </w:p>
    <w:p w14:paraId="089FABE2" w14:textId="77777777" w:rsidR="00920626" w:rsidRPr="005202D7" w:rsidRDefault="00000000" w:rsidP="005202D7">
      <w:pPr>
        <w:pStyle w:val="Bibliography"/>
        <w:spacing w:line="276" w:lineRule="auto"/>
      </w:pPr>
      <w:bookmarkStart w:id="84" w:name="ref-hoaglin2000"/>
      <w:bookmarkEnd w:id="83"/>
      <w:r w:rsidRPr="005202D7">
        <w:t xml:space="preserve">Hoaglin, D.C., Iglewicz, B. and Tukey, J.W. (2000) ‘Variability of the regression slope in the presence of outliers’, </w:t>
      </w:r>
      <w:r w:rsidRPr="005202D7">
        <w:rPr>
          <w:i/>
          <w:iCs/>
        </w:rPr>
        <w:t>Statistical Science</w:t>
      </w:r>
      <w:r w:rsidRPr="005202D7">
        <w:t>, 15(3), pp. 331–340.</w:t>
      </w:r>
    </w:p>
    <w:p w14:paraId="7091C195" w14:textId="77777777" w:rsidR="00920626" w:rsidRPr="005202D7" w:rsidRDefault="00000000" w:rsidP="005202D7">
      <w:pPr>
        <w:pStyle w:val="Bibliography"/>
        <w:spacing w:line="276" w:lineRule="auto"/>
      </w:pPr>
      <w:bookmarkStart w:id="85" w:name="ref-kriptomat_sentiment"/>
      <w:bookmarkEnd w:id="84"/>
      <w:r w:rsidRPr="005202D7">
        <w:t>Kriptomat (n.d</w:t>
      </w:r>
      <w:proofErr w:type="gramStart"/>
      <w:r w:rsidRPr="005202D7">
        <w:t>.) ‘</w:t>
      </w:r>
      <w:proofErr w:type="gramEnd"/>
      <w:r w:rsidRPr="005202D7">
        <w:t xml:space="preserve">How to evaluate market sentiment before buying crypto’. Available at: </w:t>
      </w:r>
      <w:hyperlink r:id="rId35">
        <w:r w:rsidRPr="005202D7">
          <w:rPr>
            <w:rStyle w:val="Hyperlink"/>
            <w:color w:val="auto"/>
          </w:rPr>
          <w:t>https://kriptomat.io/finance-investing/how-to-evaluate-market-sentiment-before-buying-crypto/</w:t>
        </w:r>
      </w:hyperlink>
      <w:r w:rsidRPr="005202D7">
        <w:t>.</w:t>
      </w:r>
    </w:p>
    <w:p w14:paraId="22BC7215" w14:textId="77777777" w:rsidR="00920626" w:rsidRPr="005202D7" w:rsidRDefault="00000000" w:rsidP="005202D7">
      <w:pPr>
        <w:pStyle w:val="Bibliography"/>
        <w:spacing w:line="276" w:lineRule="auto"/>
      </w:pPr>
      <w:bookmarkStart w:id="86" w:name="ref-mbaskool_square_root_transformation"/>
      <w:bookmarkEnd w:id="85"/>
      <w:r w:rsidRPr="005202D7">
        <w:t xml:space="preserve">MBA Skool (n.d.) ‘Square root transformation - meaning &amp; definition’, </w:t>
      </w:r>
      <w:r w:rsidRPr="005202D7">
        <w:rPr>
          <w:i/>
          <w:iCs/>
        </w:rPr>
        <w:t>MBA Skool</w:t>
      </w:r>
      <w:r w:rsidRPr="005202D7">
        <w:t xml:space="preserve"> [Preprint]. Available at: </w:t>
      </w:r>
      <w:hyperlink r:id="rId36">
        <w:r w:rsidRPr="005202D7">
          <w:rPr>
            <w:rStyle w:val="Hyperlink"/>
            <w:color w:val="auto"/>
          </w:rPr>
          <w:t>https://www.mbaskool.com/business-concepts/statistics/7463-square-root-transformation.html</w:t>
        </w:r>
      </w:hyperlink>
      <w:r w:rsidRPr="005202D7">
        <w:t>.</w:t>
      </w:r>
    </w:p>
    <w:p w14:paraId="32715A55" w14:textId="77777777" w:rsidR="00920626" w:rsidRPr="005202D7" w:rsidRDefault="00000000" w:rsidP="005202D7">
      <w:pPr>
        <w:pStyle w:val="Bibliography"/>
        <w:spacing w:line="276" w:lineRule="auto"/>
      </w:pPr>
      <w:bookmarkStart w:id="87" w:name="ref-nakamoto2008"/>
      <w:bookmarkEnd w:id="86"/>
      <w:r w:rsidRPr="005202D7">
        <w:t>Nakamoto, S. (</w:t>
      </w:r>
      <w:proofErr w:type="gramStart"/>
      <w:r w:rsidRPr="005202D7">
        <w:t>2008) ‘</w:t>
      </w:r>
      <w:proofErr w:type="gramEnd"/>
      <w:r w:rsidRPr="005202D7">
        <w:t xml:space="preserve">Bitcoin: A peer-to-peer electronic cash system’. Available at: </w:t>
      </w:r>
      <w:hyperlink r:id="rId37">
        <w:r w:rsidRPr="005202D7">
          <w:rPr>
            <w:rStyle w:val="Hyperlink"/>
            <w:color w:val="auto"/>
          </w:rPr>
          <w:t>https://bitcoin.org/bitcoin.pdf</w:t>
        </w:r>
      </w:hyperlink>
      <w:r w:rsidRPr="005202D7">
        <w:t>.</w:t>
      </w:r>
    </w:p>
    <w:p w14:paraId="41A34C64" w14:textId="77777777" w:rsidR="00920626" w:rsidRPr="005202D7" w:rsidRDefault="00000000" w:rsidP="005202D7">
      <w:pPr>
        <w:pStyle w:val="Bibliography"/>
        <w:spacing w:line="276" w:lineRule="auto"/>
      </w:pPr>
      <w:bookmarkStart w:id="88" w:name="ref-projectpro_moving_average"/>
      <w:bookmarkEnd w:id="87"/>
      <w:r w:rsidRPr="005202D7">
        <w:t>ProjectPro (</w:t>
      </w:r>
      <w:proofErr w:type="gramStart"/>
      <w:r w:rsidRPr="005202D7">
        <w:t>2024) ‘</w:t>
      </w:r>
      <w:proofErr w:type="gramEnd"/>
      <w:r w:rsidRPr="005202D7">
        <w:t xml:space="preserve">A practical introduction to moving average time series model’. Available at: </w:t>
      </w:r>
      <w:hyperlink r:id="rId38">
        <w:r w:rsidRPr="005202D7">
          <w:rPr>
            <w:rStyle w:val="Hyperlink"/>
            <w:color w:val="auto"/>
          </w:rPr>
          <w:t>https://www.projectpro.io/article/moving-average-time-series-model/716</w:t>
        </w:r>
      </w:hyperlink>
      <w:r w:rsidRPr="005202D7">
        <w:t>.</w:t>
      </w:r>
    </w:p>
    <w:p w14:paraId="30B6662E" w14:textId="77777777" w:rsidR="00920626" w:rsidRDefault="00000000" w:rsidP="005202D7">
      <w:pPr>
        <w:pStyle w:val="Bibliography"/>
        <w:spacing w:line="276" w:lineRule="auto"/>
      </w:pPr>
      <w:bookmarkStart w:id="89" w:name="ref-ranjani2022"/>
      <w:bookmarkEnd w:id="88"/>
      <w:r w:rsidRPr="005202D7">
        <w:t xml:space="preserve">Ranjani Chandrasekaran, S. (2022) </w:t>
      </w:r>
      <w:r w:rsidRPr="005202D7">
        <w:rPr>
          <w:i/>
          <w:iCs/>
        </w:rPr>
        <w:t>Prediction of litecoin prices using ARIMA and LSTM</w:t>
      </w:r>
      <w:r w:rsidRPr="005202D7">
        <w:t xml:space="preserve">. Master’s thesis. National College of Ireland. Available at: </w:t>
      </w:r>
      <w:hyperlink r:id="rId39">
        <w:r w:rsidRPr="005202D7">
          <w:rPr>
            <w:rStyle w:val="Hyperlink"/>
            <w:color w:val="auto"/>
          </w:rPr>
          <w:t>https://norma.ncirl.ie/4222/1/ranjanichandrasekaran.pdf</w:t>
        </w:r>
      </w:hyperlink>
      <w:r>
        <w:t>.</w:t>
      </w:r>
      <w:bookmarkEnd w:id="78"/>
      <w:bookmarkEnd w:id="81"/>
      <w:bookmarkEnd w:id="89"/>
    </w:p>
    <w:sectPr w:rsidR="0092062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65CEB4" w14:textId="77777777" w:rsidR="001F2512" w:rsidRDefault="001F2512">
      <w:pPr>
        <w:spacing w:after="0"/>
      </w:pPr>
      <w:r>
        <w:separator/>
      </w:r>
    </w:p>
  </w:endnote>
  <w:endnote w:type="continuationSeparator" w:id="0">
    <w:p w14:paraId="4BD9682C" w14:textId="77777777" w:rsidR="001F2512" w:rsidRDefault="001F251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C5ABD2" w14:textId="77777777" w:rsidR="001F2512" w:rsidRDefault="001F2512">
      <w:r>
        <w:separator/>
      </w:r>
    </w:p>
  </w:footnote>
  <w:footnote w:type="continuationSeparator" w:id="0">
    <w:p w14:paraId="593F28D4" w14:textId="77777777" w:rsidR="001F2512" w:rsidRDefault="001F25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8C067C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B86D28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6EA65BE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C0481A76"/>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3"/>
    <w:multiLevelType w:val="multilevel"/>
    <w:tmpl w:val="454AADCE"/>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5" w15:restartNumberingAfterBreak="0">
    <w:nsid w:val="00A99414"/>
    <w:multiLevelType w:val="multilevel"/>
    <w:tmpl w:val="FDB6F258"/>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 w16cid:durableId="2128887832">
    <w:abstractNumId w:val="0"/>
  </w:num>
  <w:num w:numId="2" w16cid:durableId="759568014">
    <w:abstractNumId w:val="1"/>
  </w:num>
  <w:num w:numId="3" w16cid:durableId="1433429548">
    <w:abstractNumId w:val="1"/>
  </w:num>
  <w:num w:numId="4" w16cid:durableId="9002939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6968427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 w16cid:durableId="1194154110">
    <w:abstractNumId w:val="1"/>
  </w:num>
  <w:num w:numId="7" w16cid:durableId="324282204">
    <w:abstractNumId w:val="1"/>
  </w:num>
  <w:num w:numId="8" w16cid:durableId="1090850419">
    <w:abstractNumId w:val="1"/>
  </w:num>
  <w:num w:numId="9" w16cid:durableId="190731468">
    <w:abstractNumId w:val="1"/>
  </w:num>
  <w:num w:numId="10" w16cid:durableId="19064485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64231251">
    <w:abstractNumId w:val="1"/>
  </w:num>
  <w:num w:numId="12" w16cid:durableId="96411777">
    <w:abstractNumId w:val="1"/>
  </w:num>
  <w:num w:numId="13" w16cid:durableId="2129466797">
    <w:abstractNumId w:val="1"/>
  </w:num>
  <w:num w:numId="14" w16cid:durableId="517080074">
    <w:abstractNumId w:val="1"/>
  </w:num>
  <w:num w:numId="15" w16cid:durableId="1720669081">
    <w:abstractNumId w:val="1"/>
  </w:num>
  <w:num w:numId="16" w16cid:durableId="27069642">
    <w:abstractNumId w:val="1"/>
  </w:num>
  <w:num w:numId="17" w16cid:durableId="1853912817">
    <w:abstractNumId w:val="1"/>
  </w:num>
  <w:num w:numId="18" w16cid:durableId="1353437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01832346">
    <w:abstractNumId w:val="1"/>
  </w:num>
  <w:num w:numId="20" w16cid:durableId="269974385">
    <w:abstractNumId w:val="1"/>
  </w:num>
  <w:num w:numId="21" w16cid:durableId="634681721">
    <w:abstractNumId w:val="1"/>
  </w:num>
  <w:num w:numId="22" w16cid:durableId="619190223">
    <w:abstractNumId w:val="1"/>
  </w:num>
  <w:num w:numId="23" w16cid:durableId="878518829">
    <w:abstractNumId w:val="1"/>
  </w:num>
  <w:num w:numId="24" w16cid:durableId="1477799407">
    <w:abstractNumId w:val="1"/>
  </w:num>
  <w:num w:numId="25" w16cid:durableId="10023184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2155825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44492233">
    <w:abstractNumId w:val="1"/>
  </w:num>
  <w:num w:numId="28" w16cid:durableId="1188257750">
    <w:abstractNumId w:val="1"/>
  </w:num>
  <w:num w:numId="29" w16cid:durableId="9150453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21931910">
    <w:abstractNumId w:val="1"/>
  </w:num>
  <w:num w:numId="31" w16cid:durableId="394788998">
    <w:abstractNumId w:val="1"/>
  </w:num>
  <w:num w:numId="32" w16cid:durableId="2126847277">
    <w:abstractNumId w:val="1"/>
  </w:num>
  <w:num w:numId="33" w16cid:durableId="182839508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4" w16cid:durableId="1284575148">
    <w:abstractNumId w:val="1"/>
  </w:num>
  <w:num w:numId="35" w16cid:durableId="13973810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6" w16cid:durableId="1914701408">
    <w:abstractNumId w:val="1"/>
  </w:num>
  <w:num w:numId="37" w16cid:durableId="1202594649">
    <w:abstractNumId w:val="1"/>
  </w:num>
  <w:num w:numId="38" w16cid:durableId="11708688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45869117">
    <w:abstractNumId w:val="1"/>
  </w:num>
  <w:num w:numId="40" w16cid:durableId="278144389">
    <w:abstractNumId w:val="1"/>
  </w:num>
  <w:num w:numId="41" w16cid:durableId="15993658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888807933">
    <w:abstractNumId w:val="1"/>
  </w:num>
  <w:num w:numId="43" w16cid:durableId="2097284380">
    <w:abstractNumId w:val="1"/>
  </w:num>
  <w:num w:numId="44" w16cid:durableId="1722436268">
    <w:abstractNumId w:val="1"/>
  </w:num>
  <w:num w:numId="45" w16cid:durableId="1391269718">
    <w:abstractNumId w:val="1"/>
  </w:num>
  <w:num w:numId="46" w16cid:durableId="1570264440">
    <w:abstractNumId w:val="1"/>
  </w:num>
  <w:num w:numId="47" w16cid:durableId="1213692400">
    <w:abstractNumId w:val="1"/>
  </w:num>
  <w:num w:numId="48" w16cid:durableId="2145465027">
    <w:abstractNumId w:val="1"/>
  </w:num>
  <w:num w:numId="49" w16cid:durableId="682514446">
    <w:abstractNumId w:val="1"/>
  </w:num>
  <w:num w:numId="50" w16cid:durableId="1673291622">
    <w:abstractNumId w:val="1"/>
  </w:num>
  <w:num w:numId="51" w16cid:durableId="1699507849">
    <w:abstractNumId w:val="1"/>
  </w:num>
  <w:num w:numId="52" w16cid:durableId="784421945">
    <w:abstractNumId w:val="1"/>
  </w:num>
  <w:num w:numId="53" w16cid:durableId="920943535">
    <w:abstractNumId w:val="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zW2NDYzNzY1NTEyNTdT0lEKTi0uzszPAykwrAUAxuzaHCwAAAA="/>
  </w:docVars>
  <w:rsids>
    <w:rsidRoot w:val="00920626"/>
    <w:rsid w:val="001F2512"/>
    <w:rsid w:val="002B65CC"/>
    <w:rsid w:val="005202D7"/>
    <w:rsid w:val="00565D95"/>
    <w:rsid w:val="00672E9F"/>
    <w:rsid w:val="008F2056"/>
    <w:rsid w:val="0092062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2C40F"/>
  <w15:docId w15:val="{C068D598-7B29-49B3-90AC-316B1C846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TOC1">
    <w:name w:val="toc 1"/>
    <w:basedOn w:val="Normal"/>
    <w:next w:val="Normal"/>
    <w:autoRedefine/>
    <w:uiPriority w:val="39"/>
    <w:rsid w:val="005202D7"/>
    <w:pPr>
      <w:spacing w:after="100"/>
    </w:pPr>
  </w:style>
  <w:style w:type="paragraph" w:styleId="TOC2">
    <w:name w:val="toc 2"/>
    <w:basedOn w:val="Normal"/>
    <w:next w:val="Normal"/>
    <w:autoRedefine/>
    <w:uiPriority w:val="39"/>
    <w:rsid w:val="005202D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ida22-068\Downloads\R%20Assignment\%22C:\Users\bida22-068\Downloads\R%20Assignment\interactive_scatter_plot.html%22" TargetMode="External"/><Relationship Id="rId18" Type="http://schemas.openxmlformats.org/officeDocument/2006/relationships/hyperlink" Target="file:///C:\Users\bida22-068\Downloads\R%20Assignment\%22C:\Users\bida22-068\Downloads\R%20Assignment\LTC_Close_Price_Interactive.html%22" TargetMode="External"/><Relationship Id="rId26" Type="http://schemas.openxmlformats.org/officeDocument/2006/relationships/image" Target="media/image14.png"/><Relationship Id="rId39" Type="http://schemas.openxmlformats.org/officeDocument/2006/relationships/hyperlink" Target="https://norma.ncirl.ie/4222/1/ranjanichandrasekaran.pdf" TargetMode="External"/><Relationship Id="rId21" Type="http://schemas.openxmlformats.org/officeDocument/2006/relationships/image" Target="media/image11.png"/><Relationship Id="rId34" Type="http://schemas.openxmlformats.org/officeDocument/2006/relationships/hyperlink" Target="https://doi.org/10.1257/jep.29.2.213"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file:///C:\Users\bida22-068\Downloads\R%20Assignment\%22C:\Users\bida22-068\Downloads\R%20Assignment\LTC_Daily_Returns_Interactive.html%22" TargetMode="External"/><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bitcoin.org/bitcoin.pdf"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file:///C:\Users\bida22-068\Downloads\R%20Assignment\%22C:\Users\bida22-068\Downloads\R%20Assignment\LTC_Monthly_Trading_Volumes_Interactive.html%22"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www.mbaskool.com/business-concepts/statistics/7463-square-root-transformation.html" TargetMode="Externa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file:///C:\Users\bida22-068\Downloads\R%20Assignment\%22C:\Users\bida22-068\Downloads\R%20Assignment\LTC_Moving_Averages_Interactive.html%22"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kriptomat.io/finance-investing/how-to-evaluate-market-sentiment-before-buying-crypto/"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file:///C:\Users\bida22-068\Downloads\R%20Assignment\%22C:\Users\bida22-068\Downloads\R%20Assignment\LTC_Moving_Averages_Forecast_Interactive.html%22" TargetMode="External"/><Relationship Id="rId33" Type="http://schemas.openxmlformats.org/officeDocument/2006/relationships/hyperlink" Target="https://doi.org/10.1111/jofi.12925" TargetMode="External"/><Relationship Id="rId38" Type="http://schemas.openxmlformats.org/officeDocument/2006/relationships/hyperlink" Target="https://www.projectpro.io/article/moving-average-time-series-model/7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43</Pages>
  <Words>7462</Words>
  <Characters>42534</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Litecoin Trading Data Analysis and Forecasting</vt:lpstr>
    </vt:vector>
  </TitlesOfParts>
  <Company/>
  <LinksUpToDate>false</LinksUpToDate>
  <CharactersWithSpaces>49897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Litecoin Trading Data Analysis and Forecasting</dc:title>
  <dc:creator>Deirdre Gouta Mmolotsa</dc:creator>
  <cp:keywords/>
  <cp:lastModifiedBy>Deirdre Gouta Mmolotsa</cp:lastModifiedBy>
  <cp:revision>4</cp:revision>
  <dcterms:created xsi:type="dcterms:W3CDTF">2024-11-06T19:23:00Z</dcterms:created>
  <dcterms:modified xsi:type="dcterms:W3CDTF">2024-11-06T19:27:00Z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sl">
    <vt:lpwstr>harvard-cite-them-right.csl</vt:lpwstr>
  </property>
  <property fmtid="{D5CDD505-2E9C-101B-9397-08002B2CF9AE}" pid="7" name="date">
    <vt:lpwstr>2024-10-26</vt:lpwstr>
  </property>
  <property fmtid="{D5CDD505-2E9C-101B-9397-08002B2CF9AE}" pid="8" name="fig_caption">
    <vt:lpwstr>True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