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ANÁLISIS OPERATIVO TERRITORIAL</w:t>
      </w:r>
    </w:p>
    <w:p>
      <w:pPr>
        <w:pStyle w:val="Heading1"/>
      </w:pPr>
      <w:r>
        <w:t>1. Resumen Ejecutivo</w:t>
      </w:r>
    </w:p>
    <w:p>
      <w:r>
        <w:t>Se presenta el análisis de la distribución geográfica de las operaciones. Identificar los focos de mayor actividad permite optimizar la logística de servicios y la presencia comercial en las regiones clave.</w:t>
      </w:r>
    </w:p>
    <w:p>
      <w:pPr>
        <w:pStyle w:val="Heading1"/>
      </w:pPr>
      <w:r>
        <w:t>2. Actividad por Departamento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Nivel de Operaciones</w:t>
            </w:r>
          </w:p>
        </w:tc>
      </w:tr>
      <w:tr>
        <w:tc>
          <w:tcPr>
            <w:tcW w:type="dxa" w:w="4320"/>
          </w:tcPr>
          <w:p>
            <w:r>
              <w:t>Antioquia</w:t>
            </w:r>
          </w:p>
        </w:tc>
        <w:tc>
          <w:tcPr>
            <w:tcW w:type="dxa" w:w="4320"/>
          </w:tcPr>
          <w:p>
            <w:r>
              <w:t>19,844 tx</w:t>
            </w:r>
          </w:p>
        </w:tc>
      </w:tr>
      <w:tr>
        <w:tc>
          <w:tcPr>
            <w:tcW w:type="dxa" w:w="4320"/>
          </w:tcPr>
          <w:p>
            <w:r>
              <w:t>Cundinamarca</w:t>
            </w:r>
          </w:p>
        </w:tc>
        <w:tc>
          <w:tcPr>
            <w:tcW w:type="dxa" w:w="4320"/>
          </w:tcPr>
          <w:p>
            <w:r>
              <w:t>19,647 tx</w:t>
            </w:r>
          </w:p>
        </w:tc>
      </w:tr>
      <w:tr>
        <w:tc>
          <w:tcPr>
            <w:tcW w:type="dxa" w:w="4320"/>
          </w:tcPr>
          <w:p>
            <w:r>
              <w:t>Valle Del Cauca</w:t>
            </w:r>
          </w:p>
        </w:tc>
        <w:tc>
          <w:tcPr>
            <w:tcW w:type="dxa" w:w="4320"/>
          </w:tcPr>
          <w:p>
            <w:r>
              <w:t>7,610 tx</w:t>
            </w:r>
          </w:p>
        </w:tc>
      </w:tr>
      <w:tr>
        <w:tc>
          <w:tcPr>
            <w:tcW w:type="dxa" w:w="4320"/>
          </w:tcPr>
          <w:p>
            <w:r>
              <w:t>Valle</w:t>
            </w:r>
          </w:p>
        </w:tc>
        <w:tc>
          <w:tcPr>
            <w:tcW w:type="dxa" w:w="4320"/>
          </w:tcPr>
          <w:p>
            <w:r>
              <w:t>2,419 tx</w:t>
            </w:r>
          </w:p>
        </w:tc>
      </w:tr>
      <w:tr>
        <w:tc>
          <w:tcPr>
            <w:tcW w:type="dxa" w:w="4320"/>
          </w:tcPr>
          <w:p>
            <w:r>
              <w:t>Desconocido</w:t>
            </w:r>
          </w:p>
        </w:tc>
        <w:tc>
          <w:tcPr>
            <w:tcW w:type="dxa" w:w="4320"/>
          </w:tcPr>
          <w:p>
            <w:r>
              <w:t>480 tx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Ciudades con Mayor Volumen de Transacción</w:t>
      </w:r>
    </w:p>
    <w:p>
      <w:pPr>
        <w:pStyle w:val="ListBullet"/>
      </w:pPr>
      <w:r>
        <w:rPr>
          <w:b/>
        </w:rPr>
        <w:t xml:space="preserve">Medellín: </w:t>
      </w:r>
      <w:r>
        <w:t>14,957 transacciones</w:t>
      </w:r>
    </w:p>
    <w:p>
      <w:pPr>
        <w:pStyle w:val="ListBullet"/>
      </w:pPr>
      <w:r>
        <w:rPr>
          <w:b/>
        </w:rPr>
        <w:t xml:space="preserve">Bogotá: </w:t>
      </w:r>
      <w:r>
        <w:t>11,708 transacciones</w:t>
      </w:r>
    </w:p>
    <w:p>
      <w:pPr>
        <w:pStyle w:val="ListBullet"/>
      </w:pPr>
      <w:r>
        <w:rPr>
          <w:b/>
        </w:rPr>
        <w:t xml:space="preserve">Cali: </w:t>
      </w:r>
      <w:r>
        <w:t>10,038 transacciones</w:t>
      </w:r>
    </w:p>
    <w:p>
      <w:pPr>
        <w:pStyle w:val="ListBullet"/>
      </w:pPr>
      <w:r>
        <w:rPr>
          <w:b/>
        </w:rPr>
        <w:t xml:space="preserve">Bogota: </w:t>
      </w:r>
      <w:r>
        <w:t>7,942 transacciones</w:t>
      </w:r>
    </w:p>
    <w:p>
      <w:pPr>
        <w:pStyle w:val="ListBullet"/>
      </w:pPr>
      <w:r>
        <w:rPr>
          <w:b/>
        </w:rPr>
        <w:t xml:space="preserve">Medellin: </w:t>
      </w:r>
      <w:r>
        <w:t>4,881 transacciones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