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DETECCIÓN Y PREVENCIÓN DE FRAUDES</w:t>
      </w:r>
    </w:p>
    <w:p>
      <w:pPr>
        <w:pStyle w:val="Heading1"/>
      </w:pPr>
      <w:r>
        <w:t>1. Resumen Ejecutivo</w:t>
      </w:r>
    </w:p>
    <w:p>
      <w:r>
        <w:t>Durante el periodo analizado, se han identificado 1661 transacciones con indicadores de fraude, lo que representa una tasa del 3.32% sobre el volumen total de 50,000 operaciones. Este reporte desglosa los canales y categorías más vulnerables para la toma de decisiones estratégicas en seguridad.</w:t>
      </w:r>
    </w:p>
    <w:p>
      <w:pPr>
        <w:pStyle w:val="Heading1"/>
      </w:pPr>
      <w:r>
        <w:t>2. Análisis por Canal de Transacción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Número de Fraudes</w:t>
            </w:r>
          </w:p>
        </w:tc>
      </w:tr>
      <w:tr>
        <w:tc>
          <w:tcPr>
            <w:tcW w:type="dxa" w:w="4320"/>
          </w:tcPr>
          <w:p>
            <w:r>
              <w:t>App móvil</w:t>
            </w:r>
          </w:p>
        </w:tc>
        <w:tc>
          <w:tcPr>
            <w:tcW w:type="dxa" w:w="4320"/>
          </w:tcPr>
          <w:p>
            <w:r>
              <w:t>659</w:t>
            </w:r>
          </w:p>
        </w:tc>
      </w:tr>
      <w:tr>
        <w:tc>
          <w:tcPr>
            <w:tcW w:type="dxa" w:w="4320"/>
          </w:tcPr>
          <w:p>
            <w:r>
              <w:t>POS</w:t>
            </w:r>
          </w:p>
        </w:tc>
        <w:tc>
          <w:tcPr>
            <w:tcW w:type="dxa" w:w="4320"/>
          </w:tcPr>
          <w:p>
            <w:r>
              <w:t>614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388</w:t>
            </w:r>
          </w:p>
        </w:tc>
      </w:tr>
    </w:tbl>
    <w:p>
      <w:pPr>
        <w:pStyle w:val="Heading1"/>
      </w:pPr>
      <w:r>
        <w:t>3. Análisis por Categoría de Comercio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Incidencia de Fraude</w:t>
            </w:r>
          </w:p>
        </w:tc>
      </w:tr>
      <w:tr>
        <w:tc>
          <w:tcPr>
            <w:tcW w:type="dxa" w:w="4320"/>
          </w:tcPr>
          <w:p>
            <w:r>
              <w:t>Tecnología</w:t>
            </w:r>
          </w:p>
        </w:tc>
        <w:tc>
          <w:tcPr>
            <w:tcW w:type="dxa" w:w="4320"/>
          </w:tcPr>
          <w:p>
            <w:r>
              <w:t>734</w:t>
            </w:r>
          </w:p>
        </w:tc>
      </w:tr>
      <w:tr>
        <w:tc>
          <w:tcPr>
            <w:tcW w:type="dxa" w:w="4320"/>
          </w:tcPr>
          <w:p>
            <w:r>
              <w:t>Supermercado</w:t>
            </w:r>
          </w:p>
        </w:tc>
        <w:tc>
          <w:tcPr>
            <w:tcW w:type="dxa" w:w="4320"/>
          </w:tcPr>
          <w:p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Restaurante</w:t>
            </w:r>
          </w:p>
        </w:tc>
        <w:tc>
          <w:tcPr>
            <w:tcW w:type="dxa" w:w="4320"/>
          </w:tcPr>
          <w:p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Transporte</w:t>
            </w:r>
          </w:p>
        </w:tc>
        <w:tc>
          <w:tcPr>
            <w:tcW w:type="dxa" w:w="4320"/>
          </w:tcPr>
          <w:p>
            <w:r>
              <w:t>295</w:t>
            </w:r>
          </w:p>
        </w:tc>
      </w:tr>
    </w:tbl>
    <w:p>
      <w:pPr>
        <w:pStyle w:val="Heading1"/>
      </w:pPr>
      <w:r>
        <w:t>4. Conclusiones y Recomendaciones</w:t>
      </w:r>
    </w:p>
    <w:p>
      <w:r>
        <w:t>1. Reforzar los protocolos de validación en los canales con mayor incidencia.</w:t>
      </w:r>
    </w:p>
    <w:p>
      <w:r>
        <w:t>2. Implementar reglas de monitoreo en tiempo real para las categorías de comercio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