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EJECUTIVO: ANÁLISIS OPERATIVO TERRITORIAL</w:t>
      </w:r>
    </w:p>
    <w:p>
      <w:pPr>
        <w:pStyle w:val="Heading1"/>
      </w:pPr>
      <w:r>
        <w:t>1. Resumen Ejecutivo</w:t>
      </w:r>
    </w:p>
    <w:p>
      <w:r>
        <w:t>Se presenta el análisis de la distribución geográfica de las operaciones. Identificar los focos de mayor actividad permite optimizar la logística de servicios y la presencia comercial en las regiones clave.</w:t>
      </w:r>
    </w:p>
    <w:p>
      <w:pPr>
        <w:pStyle w:val="Heading1"/>
      </w:pPr>
      <w:r>
        <w:t>2. Actividad por Departamento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Departamento</w:t>
            </w:r>
          </w:p>
        </w:tc>
        <w:tc>
          <w:tcPr>
            <w:tcW w:type="dxa" w:w="4320"/>
          </w:tcPr>
          <w:p>
            <w:r>
              <w:t>Nivel de Operaciones</w:t>
            </w:r>
          </w:p>
        </w:tc>
      </w:tr>
      <w:tr>
        <w:tc>
          <w:tcPr>
            <w:tcW w:type="dxa" w:w="4320"/>
          </w:tcPr>
          <w:p>
            <w:r>
              <w:t>Antioquia</w:t>
            </w:r>
          </w:p>
        </w:tc>
        <w:tc>
          <w:tcPr>
            <w:tcW w:type="dxa" w:w="4320"/>
          </w:tcPr>
          <w:p>
            <w:r>
              <w:t>25,116 tx</w:t>
            </w:r>
          </w:p>
        </w:tc>
      </w:tr>
      <w:tr>
        <w:tc>
          <w:tcPr>
            <w:tcW w:type="dxa" w:w="4320"/>
          </w:tcPr>
          <w:p>
            <w:r>
              <w:t>Cundinamarca</w:t>
            </w:r>
          </w:p>
        </w:tc>
        <w:tc>
          <w:tcPr>
            <w:tcW w:type="dxa" w:w="4320"/>
          </w:tcPr>
          <w:p>
            <w:r>
              <w:t>17,385 tx</w:t>
            </w:r>
          </w:p>
        </w:tc>
      </w:tr>
      <w:tr>
        <w:tc>
          <w:tcPr>
            <w:tcW w:type="dxa" w:w="4320"/>
          </w:tcPr>
          <w:p>
            <w:r>
              <w:t>Valle del Cauca</w:t>
            </w:r>
          </w:p>
        </w:tc>
        <w:tc>
          <w:tcPr>
            <w:tcW w:type="dxa" w:w="4320"/>
          </w:tcPr>
          <w:p>
            <w:r>
              <w:t>7,499 tx</w:t>
            </w:r>
          </w:p>
        </w:tc>
      </w:tr>
    </w:tbl>
    <w:p>
      <w:pPr>
        <w:pStyle w:val="Heading1"/>
      </w:pPr>
      <w:r>
        <w:t>3. Ciudades con Mayor Volumen de Transacción</w:t>
      </w:r>
    </w:p>
    <w:p>
      <w:pPr>
        <w:pStyle w:val="ListBullet"/>
      </w:pPr>
      <w:r>
        <w:rPr>
          <w:b/>
        </w:rPr>
        <w:t xml:space="preserve">Medellín: </w:t>
      </w:r>
      <w:r>
        <w:t>25,116 transacciones</w:t>
      </w:r>
    </w:p>
    <w:p>
      <w:pPr>
        <w:pStyle w:val="ListBullet"/>
      </w:pPr>
      <w:r>
        <w:rPr>
          <w:b/>
        </w:rPr>
        <w:t xml:space="preserve">Bogotá: </w:t>
      </w:r>
      <w:r>
        <w:t>17,385 transacciones</w:t>
      </w:r>
    </w:p>
    <w:p>
      <w:pPr>
        <w:pStyle w:val="ListBullet"/>
      </w:pPr>
      <w:r>
        <w:rPr>
          <w:b/>
        </w:rPr>
        <w:t xml:space="preserve">Cali: </w:t>
      </w:r>
      <w:r>
        <w:t>7,499 transacciones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