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 DE KPIS Y PREGUNTAS DE NEGOCIO (FRAUDE)</w:t>
      </w:r>
    </w:p>
    <w:p>
      <w:r>
        <w:t>Total de Transacciones Analizadas: 50,000</w:t>
      </w:r>
    </w:p>
    <w:p>
      <w:r>
        <w:t>Total de Transacciones Fraudulentas: 1,661 (3.32%)</w:t>
      </w:r>
    </w:p>
    <w:p>
      <w:pPr>
        <w:pStyle w:val="Heading1"/>
      </w:pPr>
      <w:r>
        <w:t>1) Fraude por Ciudad y Variación Trimestral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Ciudad</w:t>
            </w:r>
          </w:p>
        </w:tc>
        <w:tc>
          <w:tcPr>
            <w:tcW w:type="dxa" w:w="2880"/>
          </w:tcPr>
          <w:p>
            <w:r>
              <w:t>KPI 1 (Tasa)</w:t>
            </w:r>
          </w:p>
        </w:tc>
        <w:tc>
          <w:tcPr>
            <w:tcW w:type="dxa" w:w="2880"/>
          </w:tcPr>
          <w:p>
            <w:r>
              <w:t>KPI 3 (Monto)</w:t>
            </w:r>
          </w:p>
        </w:tc>
      </w:tr>
      <w:tr>
        <w:tc>
          <w:tcPr>
            <w:tcW w:type="dxa" w:w="2880"/>
          </w:tcPr>
          <w:p>
            <w:r>
              <w:t>Medellín</w:t>
            </w:r>
          </w:p>
        </w:tc>
        <w:tc>
          <w:tcPr>
            <w:tcW w:type="dxa" w:w="2880"/>
          </w:tcPr>
          <w:p>
            <w:r>
              <w:t>3.22%</w:t>
            </w:r>
          </w:p>
        </w:tc>
        <w:tc>
          <w:tcPr>
            <w:tcW w:type="dxa" w:w="2880"/>
          </w:tcPr>
          <w:p>
            <w:r>
              <w:t>$949,303,548.87</w:t>
            </w:r>
          </w:p>
        </w:tc>
      </w:tr>
      <w:tr>
        <w:tc>
          <w:tcPr>
            <w:tcW w:type="dxa" w:w="2880"/>
          </w:tcPr>
          <w:p>
            <w:r>
              <w:t>Bogotá</w:t>
            </w:r>
          </w:p>
        </w:tc>
        <w:tc>
          <w:tcPr>
            <w:tcW w:type="dxa" w:w="2880"/>
          </w:tcPr>
          <w:p>
            <w:r>
              <w:t>3.22%</w:t>
            </w:r>
          </w:p>
        </w:tc>
        <w:tc>
          <w:tcPr>
            <w:tcW w:type="dxa" w:w="2880"/>
          </w:tcPr>
          <w:p>
            <w:r>
              <w:t>$822,208,598.67</w:t>
            </w:r>
          </w:p>
        </w:tc>
      </w:tr>
      <w:tr>
        <w:tc>
          <w:tcPr>
            <w:tcW w:type="dxa" w:w="2880"/>
          </w:tcPr>
          <w:p>
            <w:r>
              <w:t>Cali</w:t>
            </w:r>
          </w:p>
        </w:tc>
        <w:tc>
          <w:tcPr>
            <w:tcW w:type="dxa" w:w="2880"/>
          </w:tcPr>
          <w:p>
            <w:r>
              <w:t>3.89%</w:t>
            </w:r>
          </w:p>
        </w:tc>
        <w:tc>
          <w:tcPr>
            <w:tcW w:type="dxa" w:w="2880"/>
          </w:tcPr>
          <w:p>
            <w:r>
              <w:t>$404,866,062.37</w:t>
            </w:r>
          </w:p>
        </w:tc>
      </w:tr>
    </w:tbl>
    <w:p>
      <w:r>
        <w:t>KPI 2: Variación Trimestral de Fraude (Global)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Trimestre</w:t>
            </w:r>
          </w:p>
        </w:tc>
        <w:tc>
          <w:tcPr>
            <w:tcW w:type="dxa" w:w="2880"/>
          </w:tcPr>
          <w:p>
            <w:r>
              <w:t>Total Fraudes</w:t>
            </w:r>
          </w:p>
        </w:tc>
        <w:tc>
          <w:tcPr>
            <w:tcW w:type="dxa" w:w="2880"/>
          </w:tcPr>
          <w:p>
            <w:r>
              <w:t>Variación (%)</w:t>
            </w:r>
          </w:p>
        </w:tc>
      </w:tr>
      <w:tr>
        <w:tc>
          <w:tcPr>
            <w:tcW w:type="dxa" w:w="2880"/>
          </w:tcPr>
          <w:p>
            <w:r>
              <w:t>2025Q1</w:t>
            </w:r>
          </w:p>
        </w:tc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2025Q2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-0.49%</w:t>
            </w:r>
          </w:p>
        </w:tc>
      </w:tr>
      <w:tr>
        <w:tc>
          <w:tcPr>
            <w:tcW w:type="dxa" w:w="2880"/>
          </w:tcPr>
          <w:p>
            <w:r>
              <w:t>2025Q3</w:t>
            </w:r>
          </w:p>
        </w:tc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4.40%</w:t>
            </w:r>
          </w:p>
        </w:tc>
      </w:tr>
      <w:tr>
        <w:tc>
          <w:tcPr>
            <w:tcW w:type="dxa" w:w="2880"/>
          </w:tcPr>
          <w:p>
            <w:r>
              <w:t>2025Q4</w:t>
            </w:r>
          </w:p>
        </w:tc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-3.04%</w:t>
            </w:r>
          </w:p>
        </w:tc>
      </w:tr>
    </w:tbl>
    <w:p>
      <w:pPr>
        <w:pStyle w:val="Heading1"/>
      </w:pPr>
      <w:r>
        <w:t>2) Fraudes por Tipo de Tarjeta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Categoría Tarjeta</w:t>
            </w:r>
          </w:p>
        </w:tc>
        <w:tc>
          <w:tcPr>
            <w:tcW w:type="dxa" w:w="2160"/>
          </w:tcPr>
          <w:p>
            <w:r>
              <w:t>KPI 4 (Monto)</w:t>
            </w:r>
          </w:p>
        </w:tc>
        <w:tc>
          <w:tcPr>
            <w:tcW w:type="dxa" w:w="2160"/>
          </w:tcPr>
          <w:p>
            <w:r>
              <w:t>KPI 5 (%)</w:t>
            </w:r>
          </w:p>
        </w:tc>
        <w:tc>
          <w:tcPr>
            <w:tcW w:type="dxa" w:w="2160"/>
          </w:tcPr>
          <w:p>
            <w:r>
              <w:t>KPI 6 (# Fraudes)</w:t>
            </w:r>
          </w:p>
        </w:tc>
      </w:tr>
      <w:tr>
        <w:tc>
          <w:tcPr>
            <w:tcW w:type="dxa" w:w="2160"/>
          </w:tcPr>
          <w:p>
            <w:r>
              <w:t>Clásica</w:t>
            </w:r>
          </w:p>
        </w:tc>
        <w:tc>
          <w:tcPr>
            <w:tcW w:type="dxa" w:w="2160"/>
          </w:tcPr>
          <w:p>
            <w:r>
              <w:t>$631,846,572.13</w:t>
            </w:r>
          </w:p>
        </w:tc>
        <w:tc>
          <w:tcPr>
            <w:tcW w:type="dxa" w:w="2160"/>
          </w:tcPr>
          <w:p>
            <w:r>
              <w:t>5.62%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Platinum</w:t>
            </w:r>
          </w:p>
        </w:tc>
        <w:tc>
          <w:tcPr>
            <w:tcW w:type="dxa" w:w="2160"/>
          </w:tcPr>
          <w:p>
            <w:r>
              <w:t>$517,615,750.73</w:t>
            </w:r>
          </w:p>
        </w:tc>
        <w:tc>
          <w:tcPr>
            <w:tcW w:type="dxa" w:w="2160"/>
          </w:tcPr>
          <w:p>
            <w:r>
              <w:t>5.11%</w:t>
            </w:r>
          </w:p>
        </w:tc>
        <w:tc>
          <w:tcPr>
            <w:tcW w:type="dxa" w:w="2160"/>
          </w:tcPr>
          <w:p>
            <w:r>
              <w:t>333</w:t>
            </w:r>
          </w:p>
        </w:tc>
      </w:tr>
      <w:tr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$1,026,915,887.05</w:t>
            </w:r>
          </w:p>
        </w:tc>
        <w:tc>
          <w:tcPr>
            <w:tcW w:type="dxa" w:w="2160"/>
          </w:tcPr>
          <w:p>
            <w:r>
              <w:t>5.84%</w:t>
            </w:r>
          </w:p>
        </w:tc>
        <w:tc>
          <w:tcPr>
            <w:tcW w:type="dxa" w:w="2160"/>
          </w:tcPr>
          <w:p>
            <w:r>
              <w:t>728</w:t>
            </w:r>
          </w:p>
        </w:tc>
      </w:tr>
    </w:tbl>
    <w:p>
      <w:pPr>
        <w:pStyle w:val="Heading1"/>
      </w:pPr>
      <w:r>
        <w:t>3) Segmento de Clientes (Profesión + Estado Civil)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Segmento</w:t>
            </w:r>
          </w:p>
        </w:tc>
        <w:tc>
          <w:tcPr>
            <w:tcW w:type="dxa" w:w="2160"/>
          </w:tcPr>
          <w:p>
            <w:r>
              <w:t>KPI 8 (#)</w:t>
            </w:r>
          </w:p>
        </w:tc>
        <w:tc>
          <w:tcPr>
            <w:tcW w:type="dxa" w:w="2160"/>
          </w:tcPr>
          <w:p>
            <w:r>
              <w:t>KPI 7 (Tasa)</w:t>
            </w:r>
          </w:p>
        </w:tc>
        <w:tc>
          <w:tcPr>
            <w:tcW w:type="dxa" w:w="2160"/>
          </w:tcPr>
          <w:p>
            <w:r>
              <w:t>KPI 9 (Promedio)</w:t>
            </w:r>
          </w:p>
        </w:tc>
      </w:tr>
      <w:tr>
        <w:tc>
          <w:tcPr>
            <w:tcW w:type="dxa" w:w="2160"/>
          </w:tcPr>
          <w:p>
            <w:r>
              <w:t>Docente - Divorciado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3.94%</w:t>
            </w:r>
          </w:p>
        </w:tc>
        <w:tc>
          <w:tcPr>
            <w:tcW w:type="dxa" w:w="2160"/>
          </w:tcPr>
          <w:p>
            <w:r>
              <w:t>$957,683.05</w:t>
            </w:r>
          </w:p>
        </w:tc>
      </w:tr>
      <w:tr>
        <w:tc>
          <w:tcPr>
            <w:tcW w:type="dxa" w:w="2160"/>
          </w:tcPr>
          <w:p>
            <w:r>
              <w:t>Abogado - Casado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3.78%</w:t>
            </w:r>
          </w:p>
        </w:tc>
        <w:tc>
          <w:tcPr>
            <w:tcW w:type="dxa" w:w="2160"/>
          </w:tcPr>
          <w:p>
            <w:r>
              <w:t>$1,585,508.93</w:t>
            </w:r>
          </w:p>
        </w:tc>
      </w:tr>
      <w:tr>
        <w:tc>
          <w:tcPr>
            <w:tcW w:type="dxa" w:w="2160"/>
          </w:tcPr>
          <w:p>
            <w:r>
              <w:t>Ingeniero - Divorciado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3.45%</w:t>
            </w:r>
          </w:p>
        </w:tc>
        <w:tc>
          <w:tcPr>
            <w:tcW w:type="dxa" w:w="2160"/>
          </w:tcPr>
          <w:p>
            <w:r>
              <w:t>$1,231,000.07</w:t>
            </w:r>
          </w:p>
        </w:tc>
      </w:tr>
      <w:tr>
        <w:tc>
          <w:tcPr>
            <w:tcW w:type="dxa" w:w="2160"/>
          </w:tcPr>
          <w:p>
            <w:r>
              <w:t>Comerciante - Soltero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3.43%</w:t>
            </w:r>
          </w:p>
        </w:tc>
        <w:tc>
          <w:tcPr>
            <w:tcW w:type="dxa" w:w="2160"/>
          </w:tcPr>
          <w:p>
            <w:r>
              <w:t>$1,250,390.07</w:t>
            </w:r>
          </w:p>
        </w:tc>
      </w:tr>
      <w:tr>
        <w:tc>
          <w:tcPr>
            <w:tcW w:type="dxa" w:w="2160"/>
          </w:tcPr>
          <w:p>
            <w:r>
              <w:t>Abogado - Soltero</w:t>
            </w:r>
          </w:p>
        </w:tc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3.41%</w:t>
            </w:r>
          </w:p>
        </w:tc>
        <w:tc>
          <w:tcPr>
            <w:tcW w:type="dxa" w:w="2160"/>
          </w:tcPr>
          <w:p>
            <w:r>
              <w:t>$1,434,727.95</w:t>
            </w:r>
          </w:p>
        </w:tc>
      </w:tr>
      <w:tr>
        <w:tc>
          <w:tcPr>
            <w:tcW w:type="dxa" w:w="2160"/>
          </w:tcPr>
          <w:p>
            <w:r>
              <w:t>Comerciante - Casado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3.41%</w:t>
            </w:r>
          </w:p>
        </w:tc>
        <w:tc>
          <w:tcPr>
            <w:tcW w:type="dxa" w:w="2160"/>
          </w:tcPr>
          <w:p>
            <w:r>
              <w:t>$1,137,969.40</w:t>
            </w:r>
          </w:p>
        </w:tc>
      </w:tr>
      <w:tr>
        <w:tc>
          <w:tcPr>
            <w:tcW w:type="dxa" w:w="2160"/>
          </w:tcPr>
          <w:p>
            <w:r>
              <w:t>Abogado - Divorciado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3.40%</w:t>
            </w:r>
          </w:p>
        </w:tc>
        <w:tc>
          <w:tcPr>
            <w:tcW w:type="dxa" w:w="2160"/>
          </w:tcPr>
          <w:p>
            <w:r>
              <w:t>$1,369,508.95</w:t>
            </w:r>
          </w:p>
        </w:tc>
      </w:tr>
      <w:tr>
        <w:tc>
          <w:tcPr>
            <w:tcW w:type="dxa" w:w="2160"/>
          </w:tcPr>
          <w:p>
            <w:r>
              <w:t>Comerciante - Divorciado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3.36%</w:t>
            </w:r>
          </w:p>
        </w:tc>
        <w:tc>
          <w:tcPr>
            <w:tcW w:type="dxa" w:w="2160"/>
          </w:tcPr>
          <w:p>
            <w:r>
              <w:t>$1,335,056.19</w:t>
            </w:r>
          </w:p>
        </w:tc>
      </w:tr>
      <w:tr>
        <w:tc>
          <w:tcPr>
            <w:tcW w:type="dxa" w:w="2160"/>
          </w:tcPr>
          <w:p>
            <w:r>
              <w:t>Docente - Casado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3.33%</w:t>
            </w:r>
          </w:p>
        </w:tc>
        <w:tc>
          <w:tcPr>
            <w:tcW w:type="dxa" w:w="2160"/>
          </w:tcPr>
          <w:p>
            <w:r>
              <w:t>$1,180,437.69</w:t>
            </w:r>
          </w:p>
        </w:tc>
      </w:tr>
      <w:tr>
        <w:tc>
          <w:tcPr>
            <w:tcW w:type="dxa" w:w="2160"/>
          </w:tcPr>
          <w:p>
            <w:r>
              <w:t>Ingeniero - Soltero</w:t>
            </w:r>
          </w:p>
        </w:tc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3.29%</w:t>
            </w:r>
          </w:p>
        </w:tc>
        <w:tc>
          <w:tcPr>
            <w:tcW w:type="dxa" w:w="2160"/>
          </w:tcPr>
          <w:p>
            <w:r>
              <w:t>$1,357,436.25</w:t>
            </w:r>
          </w:p>
        </w:tc>
      </w:tr>
    </w:tbl>
    <w:p>
      <w:pPr>
        <w:pStyle w:val="Heading1"/>
      </w:pPr>
      <w:r>
        <w:t>4) Fraudes por Franja Horaria</w:t>
      </w:r>
    </w:p>
    <w:p>
      <w:pPr>
        <w:pStyle w:val="IntenseQuote"/>
      </w:pPr>
      <w:r>
        <w:t>NOTA: El dataset actual (`dataset_eventos_50000.csv`) incluye fechas en formato `YYYY-MM-DD` pero carece de información sobre horas/minutos en las transacciones. Por tanto, los KPIs 10, 11 y 12 no pueden calcularse con los datos proporcionados. Se recomienda capturar la franja horaria en futuras extracciones para este análisis.</w:t>
      </w:r>
    </w:p>
    <w:p>
      <w:pPr>
        <w:pStyle w:val="Heading1"/>
      </w:pPr>
      <w:r>
        <w:t>5) Monto Promedio y Desviación Estándar del Fraude</w:t>
      </w:r>
    </w:p>
    <w:p>
      <w:r>
        <w:t>KPI 13 (Monto Promedio Fraudulento): $1,310,281.88</w:t>
      </w:r>
    </w:p>
    <w:p>
      <w:r>
        <w:t>KPI 14 (Desviación Estándar): $1,565,105.74 (Muestra la alta variabilidad en los montos de fraude).</w:t>
      </w:r>
    </w:p>
    <w:p>
      <w:pPr>
        <w:pStyle w:val="Heading1"/>
      </w:pPr>
      <w:r>
        <w:t>6) Comercios con Mayor Fraude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Comercio</w:t>
            </w:r>
          </w:p>
        </w:tc>
        <w:tc>
          <w:tcPr>
            <w:tcW w:type="dxa" w:w="2160"/>
          </w:tcPr>
          <w:p>
            <w:r>
              <w:t>KPI 15 (#)</w:t>
            </w:r>
          </w:p>
        </w:tc>
        <w:tc>
          <w:tcPr>
            <w:tcW w:type="dxa" w:w="2160"/>
          </w:tcPr>
          <w:p>
            <w:r>
              <w:t>KPI 16 (Monto)</w:t>
            </w:r>
          </w:p>
        </w:tc>
        <w:tc>
          <w:tcPr>
            <w:tcW w:type="dxa" w:w="2160"/>
          </w:tcPr>
          <w:p>
            <w:r>
              <w:t>KPI 17 (Tasa)</w:t>
            </w:r>
          </w:p>
        </w:tc>
      </w:tr>
      <w:tr>
        <w:tc>
          <w:tcPr>
            <w:tcW w:type="dxa" w:w="2160"/>
          </w:tcPr>
          <w:p>
            <w:r>
              <w:t>Falabella Tech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$465,097,034.82</w:t>
            </w:r>
          </w:p>
        </w:tc>
        <w:tc>
          <w:tcPr>
            <w:tcW w:type="dxa" w:w="2160"/>
          </w:tcPr>
          <w:p>
            <w:r>
              <w:t>6.62%</w:t>
            </w:r>
          </w:p>
        </w:tc>
      </w:tr>
      <w:tr>
        <w:tc>
          <w:tcPr>
            <w:tcW w:type="dxa" w:w="2160"/>
          </w:tcPr>
          <w:p>
            <w:r>
              <w:t>Tecno Plaza</w:t>
            </w:r>
          </w:p>
        </w:tc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$386,673,005.33</w:t>
            </w:r>
          </w:p>
        </w:tc>
        <w:tc>
          <w:tcPr>
            <w:tcW w:type="dxa" w:w="2160"/>
          </w:tcPr>
          <w:p>
            <w:r>
              <w:t>5.89%</w:t>
            </w:r>
          </w:p>
        </w:tc>
      </w:tr>
      <w:tr>
        <w:tc>
          <w:tcPr>
            <w:tcW w:type="dxa" w:w="2160"/>
          </w:tcPr>
          <w:p>
            <w:r>
              <w:t>Digital Center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$407,220,557.08</w:t>
            </w:r>
          </w:p>
        </w:tc>
        <w:tc>
          <w:tcPr>
            <w:tcW w:type="dxa" w:w="2160"/>
          </w:tcPr>
          <w:p>
            <w:r>
              <w:t>5.86%</w:t>
            </w:r>
          </w:p>
        </w:tc>
      </w:tr>
      <w:tr>
        <w:tc>
          <w:tcPr>
            <w:tcW w:type="dxa" w:w="2160"/>
          </w:tcPr>
          <w:p>
            <w:r>
              <w:t>Ktronix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$384,721,024.63</w:t>
            </w:r>
          </w:p>
        </w:tc>
        <w:tc>
          <w:tcPr>
            <w:tcW w:type="dxa" w:w="2160"/>
          </w:tcPr>
          <w:p>
            <w:r>
              <w:t>5.64%</w:t>
            </w:r>
          </w:p>
        </w:tc>
      </w:tr>
      <w:tr>
        <w:tc>
          <w:tcPr>
            <w:tcW w:type="dxa" w:w="2160"/>
          </w:tcPr>
          <w:p>
            <w:r>
              <w:t>Alkosto</w:t>
            </w:r>
          </w:p>
        </w:tc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$347,899,023.94</w:t>
            </w:r>
          </w:p>
        </w:tc>
        <w:tc>
          <w:tcPr>
            <w:tcW w:type="dxa" w:w="2160"/>
          </w:tcPr>
          <w:p>
            <w:r>
              <w:t>5.23%</w:t>
            </w:r>
          </w:p>
        </w:tc>
      </w:tr>
    </w:tbl>
    <w:p>
      <w:pPr>
        <w:pStyle w:val="Heading1"/>
      </w:pPr>
      <w:r>
        <w:t>7) Mes con Mayor Monto de Fraude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Mes</w:t>
            </w:r>
          </w:p>
        </w:tc>
        <w:tc>
          <w:tcPr>
            <w:tcW w:type="dxa" w:w="2160"/>
          </w:tcPr>
          <w:p>
            <w:r>
              <w:t>KPI 19 (#)</w:t>
            </w:r>
          </w:p>
        </w:tc>
        <w:tc>
          <w:tcPr>
            <w:tcW w:type="dxa" w:w="2160"/>
          </w:tcPr>
          <w:p>
            <w:r>
              <w:t>KPI 18 (Monto)</w:t>
            </w:r>
          </w:p>
        </w:tc>
        <w:tc>
          <w:tcPr>
            <w:tcW w:type="dxa" w:w="2160"/>
          </w:tcPr>
          <w:p>
            <w:r>
              <w:t>KPI 20 (Var %)</w:t>
            </w:r>
          </w:p>
        </w:tc>
      </w:tr>
      <w:tr>
        <w:tc>
          <w:tcPr>
            <w:tcW w:type="dxa" w:w="2160"/>
          </w:tcPr>
          <w:p>
            <w:r>
              <w:t>2025-10</w:t>
            </w:r>
          </w:p>
        </w:tc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$231,344,781.58</w:t>
            </w:r>
          </w:p>
        </w:tc>
        <w:tc>
          <w:tcPr>
            <w:tcW w:type="dxa" w:w="2160"/>
          </w:tcPr>
          <w:p>
            <w:r>
              <w:t>21.66%</w:t>
            </w:r>
          </w:p>
        </w:tc>
      </w:tr>
      <w:tr>
        <w:tc>
          <w:tcPr>
            <w:tcW w:type="dxa" w:w="2160"/>
          </w:tcPr>
          <w:p>
            <w:r>
              <w:t>2025-07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$209,130,432.61</w:t>
            </w:r>
          </w:p>
        </w:tc>
        <w:tc>
          <w:tcPr>
            <w:tcW w:type="dxa" w:w="2160"/>
          </w:tcPr>
          <w:p>
            <w:r>
              <w:t>22.00%</w:t>
            </w:r>
          </w:p>
        </w:tc>
      </w:tr>
      <w:tr>
        <w:tc>
          <w:tcPr>
            <w:tcW w:type="dxa" w:w="2160"/>
          </w:tcPr>
          <w:p>
            <w:r>
              <w:t>2025-03</w:t>
            </w:r>
          </w:p>
        </w:tc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$205,361,325.46</w:t>
            </w:r>
          </w:p>
        </w:tc>
        <w:tc>
          <w:tcPr>
            <w:tcW w:type="dxa" w:w="2160"/>
          </w:tcPr>
          <w:p>
            <w:r>
              <w:t>8.24%</w:t>
            </w:r>
          </w:p>
        </w:tc>
      </w:tr>
      <w:tr>
        <w:tc>
          <w:tcPr>
            <w:tcW w:type="dxa" w:w="2160"/>
          </w:tcPr>
          <w:p>
            <w:r>
              <w:t>2025-09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$190,150,516.31</w:t>
            </w:r>
          </w:p>
        </w:tc>
        <w:tc>
          <w:tcPr>
            <w:tcW w:type="dxa" w:w="2160"/>
          </w:tcPr>
          <w:p>
            <w:r>
              <w:t>6.23%</w:t>
            </w:r>
          </w:p>
        </w:tc>
      </w:tr>
      <w:tr>
        <w:tc>
          <w:tcPr>
            <w:tcW w:type="dxa" w:w="2160"/>
          </w:tcPr>
          <w:p>
            <w:r>
              <w:t>2025-02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$189,731,412.08</w:t>
            </w:r>
          </w:p>
        </w:tc>
        <w:tc>
          <w:tcPr>
            <w:tcW w:type="dxa" w:w="2160"/>
          </w:tcPr>
          <w:p>
            <w:r>
              <w:t>42.09%</w:t>
            </w:r>
          </w:p>
        </w:tc>
      </w:tr>
      <w:tr>
        <w:tc>
          <w:tcPr>
            <w:tcW w:type="dxa" w:w="2160"/>
          </w:tcPr>
          <w:p>
            <w:r>
              <w:t>2025-11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$187,181,533.57</w:t>
            </w:r>
          </w:p>
        </w:tc>
        <w:tc>
          <w:tcPr>
            <w:tcW w:type="dxa" w:w="2160"/>
          </w:tcPr>
          <w:p>
            <w:r>
              <w:t>-19.09%</w:t>
            </w:r>
          </w:p>
        </w:tc>
      </w:tr>
    </w:tbl>
    <w:p>
      <w:pPr>
        <w:pStyle w:val="Heading1"/>
      </w:pPr>
      <w:r>
        <w:t>8) Tasa de Fraude según Antigüedad del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Antigüedad</w:t>
            </w:r>
          </w:p>
        </w:tc>
        <w:tc>
          <w:tcPr>
            <w:tcW w:type="dxa" w:w="2160"/>
          </w:tcPr>
          <w:p>
            <w:r>
              <w:t>KPI 21 (Tasa)</w:t>
            </w:r>
          </w:p>
        </w:tc>
        <w:tc>
          <w:tcPr>
            <w:tcW w:type="dxa" w:w="2160"/>
          </w:tcPr>
          <w:p>
            <w:r>
              <w:t>KPI 22 (Monto)</w:t>
            </w:r>
          </w:p>
        </w:tc>
        <w:tc>
          <w:tcPr>
            <w:tcW w:type="dxa" w:w="2160"/>
          </w:tcPr>
          <w:p>
            <w:r>
              <w:t>KPI 23 (Clientes)</w:t>
            </w:r>
          </w:p>
        </w:tc>
      </w:tr>
      <w:tr>
        <w:tc>
          <w:tcPr>
            <w:tcW w:type="dxa" w:w="2160"/>
          </w:tcPr>
          <w:p>
            <w:r>
              <w:t>&lt;1 año</w:t>
            </w:r>
          </w:p>
        </w:tc>
        <w:tc>
          <w:tcPr>
            <w:tcW w:type="dxa" w:w="2160"/>
          </w:tcPr>
          <w:p>
            <w:r>
              <w:t>3.27%</w:t>
            </w:r>
          </w:p>
        </w:tc>
        <w:tc>
          <w:tcPr>
            <w:tcW w:type="dxa" w:w="2160"/>
          </w:tcPr>
          <w:p>
            <w:r>
              <w:t>$450,264,612.66</w:t>
            </w:r>
          </w:p>
        </w:tc>
        <w:tc>
          <w:tcPr>
            <w:tcW w:type="dxa" w:w="2160"/>
          </w:tcPr>
          <w:p>
            <w:r>
              <w:t>313</w:t>
            </w:r>
          </w:p>
        </w:tc>
      </w:tr>
      <w:tr>
        <w:tc>
          <w:tcPr>
            <w:tcW w:type="dxa" w:w="2160"/>
          </w:tcPr>
          <w:p>
            <w:r>
              <w:t>1-3 años</w:t>
            </w:r>
          </w:p>
        </w:tc>
        <w:tc>
          <w:tcPr>
            <w:tcW w:type="dxa" w:w="2160"/>
          </w:tcPr>
          <w:p>
            <w:r>
              <w:t>3.17%</w:t>
            </w:r>
          </w:p>
        </w:tc>
        <w:tc>
          <w:tcPr>
            <w:tcW w:type="dxa" w:w="2160"/>
          </w:tcPr>
          <w:p>
            <w:r>
              <w:t>$845,082,682.49</w:t>
            </w:r>
          </w:p>
        </w:tc>
        <w:tc>
          <w:tcPr>
            <w:tcW w:type="dxa" w:w="2160"/>
          </w:tcPr>
          <w:p>
            <w:r>
              <w:t>586</w:t>
            </w:r>
          </w:p>
        </w:tc>
      </w:tr>
      <w:tr>
        <w:tc>
          <w:tcPr>
            <w:tcW w:type="dxa" w:w="2160"/>
          </w:tcPr>
          <w:p>
            <w:r>
              <w:t>3-5 años</w:t>
            </w:r>
          </w:p>
        </w:tc>
        <w:tc>
          <w:tcPr>
            <w:tcW w:type="dxa" w:w="2160"/>
          </w:tcPr>
          <w:p>
            <w:r>
              <w:t>3.53%</w:t>
            </w:r>
          </w:p>
        </w:tc>
        <w:tc>
          <w:tcPr>
            <w:tcW w:type="dxa" w:w="2160"/>
          </w:tcPr>
          <w:p>
            <w:r>
              <w:t>$655,466,379.81</w:t>
            </w:r>
          </w:p>
        </w:tc>
        <w:tc>
          <w:tcPr>
            <w:tcW w:type="dxa" w:w="2160"/>
          </w:tcPr>
          <w:p>
            <w:r>
              <w:t>465</w:t>
            </w:r>
          </w:p>
        </w:tc>
      </w:tr>
    </w:tbl>
    <w:p>
      <w:pPr>
        <w:pStyle w:val="Heading1"/>
      </w:pPr>
      <w:r>
        <w:t>9) Top Ciudades con Mayor Fraude Mensual</w:t>
      </w:r>
    </w:p>
    <w:p>
      <w:r>
        <w:t>Nota: KPI 24, 25 y 26 consolidados en el Top 3: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Ciudad</w:t>
            </w:r>
          </w:p>
        </w:tc>
        <w:tc>
          <w:tcPr>
            <w:tcW w:type="dxa" w:w="2880"/>
          </w:tcPr>
          <w:p>
            <w:r>
              <w:t>Trimestre</w:t>
            </w:r>
          </w:p>
        </w:tc>
        <w:tc>
          <w:tcPr>
            <w:tcW w:type="dxa" w:w="2880"/>
          </w:tcPr>
          <w:p>
            <w:r>
              <w:t>Monto Fraude</w:t>
            </w:r>
          </w:p>
        </w:tc>
      </w:tr>
      <w:tr>
        <w:tc>
          <w:tcPr>
            <w:tcW w:type="dxa" w:w="2880"/>
          </w:tcPr>
          <w:p>
            <w:r>
              <w:t>Bogotá</w:t>
            </w:r>
          </w:p>
        </w:tc>
        <w:tc>
          <w:tcPr>
            <w:tcW w:type="dxa" w:w="2880"/>
          </w:tcPr>
          <w:p>
            <w:r>
              <w:t>2025Q1</w:t>
            </w:r>
          </w:p>
        </w:tc>
        <w:tc>
          <w:tcPr>
            <w:tcW w:type="dxa" w:w="2880"/>
          </w:tcPr>
          <w:p>
            <w:r>
              <w:t>$201,671,308.51</w:t>
            </w:r>
          </w:p>
        </w:tc>
      </w:tr>
      <w:tr>
        <w:tc>
          <w:tcPr>
            <w:tcW w:type="dxa" w:w="2880"/>
          </w:tcPr>
          <w:p>
            <w:r>
              <w:t>Bogotá</w:t>
            </w:r>
          </w:p>
        </w:tc>
        <w:tc>
          <w:tcPr>
            <w:tcW w:type="dxa" w:w="2880"/>
          </w:tcPr>
          <w:p>
            <w:r>
              <w:t>2025Q2</w:t>
            </w:r>
          </w:p>
        </w:tc>
        <w:tc>
          <w:tcPr>
            <w:tcW w:type="dxa" w:w="2880"/>
          </w:tcPr>
          <w:p>
            <w:r>
              <w:t>$205,597,076.97</w:t>
            </w:r>
          </w:p>
        </w:tc>
      </w:tr>
      <w:tr>
        <w:tc>
          <w:tcPr>
            <w:tcW w:type="dxa" w:w="2880"/>
          </w:tcPr>
          <w:p>
            <w:r>
              <w:t>Bogotá</w:t>
            </w:r>
          </w:p>
        </w:tc>
        <w:tc>
          <w:tcPr>
            <w:tcW w:type="dxa" w:w="2880"/>
          </w:tcPr>
          <w:p>
            <w:r>
              <w:t>2025Q3</w:t>
            </w:r>
          </w:p>
        </w:tc>
        <w:tc>
          <w:tcPr>
            <w:tcW w:type="dxa" w:w="2880"/>
          </w:tcPr>
          <w:p>
            <w:r>
              <w:t>$224,183,216.60</w:t>
            </w:r>
          </w:p>
        </w:tc>
      </w:tr>
      <w:tr>
        <w:tc>
          <w:tcPr>
            <w:tcW w:type="dxa" w:w="2880"/>
          </w:tcPr>
          <w:p>
            <w:r>
              <w:t>Bogotá</w:t>
            </w:r>
          </w:p>
        </w:tc>
        <w:tc>
          <w:tcPr>
            <w:tcW w:type="dxa" w:w="2880"/>
          </w:tcPr>
          <w:p>
            <w:r>
              <w:t>2025Q4</w:t>
            </w:r>
          </w:p>
        </w:tc>
        <w:tc>
          <w:tcPr>
            <w:tcW w:type="dxa" w:w="2880"/>
          </w:tcPr>
          <w:p>
            <w:r>
              <w:t>$190,756,996.59</w:t>
            </w:r>
          </w:p>
        </w:tc>
      </w:tr>
      <w:tr>
        <w:tc>
          <w:tcPr>
            <w:tcW w:type="dxa" w:w="2880"/>
          </w:tcPr>
          <w:p>
            <w:r>
              <w:t>Cali</w:t>
            </w:r>
          </w:p>
        </w:tc>
        <w:tc>
          <w:tcPr>
            <w:tcW w:type="dxa" w:w="2880"/>
          </w:tcPr>
          <w:p>
            <w:r>
              <w:t>2025Q1</w:t>
            </w:r>
          </w:p>
        </w:tc>
        <w:tc>
          <w:tcPr>
            <w:tcW w:type="dxa" w:w="2880"/>
          </w:tcPr>
          <w:p>
            <w:r>
              <w:t>$102,669,328.68</w:t>
            </w:r>
          </w:p>
        </w:tc>
      </w:tr>
      <w:tr>
        <w:tc>
          <w:tcPr>
            <w:tcW w:type="dxa" w:w="2880"/>
          </w:tcPr>
          <w:p>
            <w:r>
              <w:t>Cali</w:t>
            </w:r>
          </w:p>
        </w:tc>
        <w:tc>
          <w:tcPr>
            <w:tcW w:type="dxa" w:w="2880"/>
          </w:tcPr>
          <w:p>
            <w:r>
              <w:t>2025Q2</w:t>
            </w:r>
          </w:p>
        </w:tc>
        <w:tc>
          <w:tcPr>
            <w:tcW w:type="dxa" w:w="2880"/>
          </w:tcPr>
          <w:p>
            <w:r>
              <w:t>$95,294,959.21</w:t>
            </w:r>
          </w:p>
        </w:tc>
      </w:tr>
      <w:tr>
        <w:tc>
          <w:tcPr>
            <w:tcW w:type="dxa" w:w="2880"/>
          </w:tcPr>
          <w:p>
            <w:r>
              <w:t>Cali</w:t>
            </w:r>
          </w:p>
        </w:tc>
        <w:tc>
          <w:tcPr>
            <w:tcW w:type="dxa" w:w="2880"/>
          </w:tcPr>
          <w:p>
            <w:r>
              <w:t>2025Q3</w:t>
            </w:r>
          </w:p>
        </w:tc>
        <w:tc>
          <w:tcPr>
            <w:tcW w:type="dxa" w:w="2880"/>
          </w:tcPr>
          <w:p>
            <w:r>
              <w:t>$113,555,614.74</w:t>
            </w:r>
          </w:p>
        </w:tc>
      </w:tr>
      <w:tr>
        <w:tc>
          <w:tcPr>
            <w:tcW w:type="dxa" w:w="2880"/>
          </w:tcPr>
          <w:p>
            <w:r>
              <w:t>Cali</w:t>
            </w:r>
          </w:p>
        </w:tc>
        <w:tc>
          <w:tcPr>
            <w:tcW w:type="dxa" w:w="2880"/>
          </w:tcPr>
          <w:p>
            <w:r>
              <w:t>2025Q4</w:t>
            </w:r>
          </w:p>
        </w:tc>
        <w:tc>
          <w:tcPr>
            <w:tcW w:type="dxa" w:w="2880"/>
          </w:tcPr>
          <w:p>
            <w:r>
              <w:t>$93,346,159.74</w:t>
            </w:r>
          </w:p>
        </w:tc>
      </w:tr>
      <w:tr>
        <w:tc>
          <w:tcPr>
            <w:tcW w:type="dxa" w:w="2880"/>
          </w:tcPr>
          <w:p>
            <w:r>
              <w:t>Medellín</w:t>
            </w:r>
          </w:p>
        </w:tc>
        <w:tc>
          <w:tcPr>
            <w:tcW w:type="dxa" w:w="2880"/>
          </w:tcPr>
          <w:p>
            <w:r>
              <w:t>2025Q1</w:t>
            </w:r>
          </w:p>
        </w:tc>
        <w:tc>
          <w:tcPr>
            <w:tcW w:type="dxa" w:w="2880"/>
          </w:tcPr>
          <w:p>
            <w:r>
              <w:t>$224,281,626.01</w:t>
            </w:r>
          </w:p>
        </w:tc>
      </w:tr>
      <w:tr>
        <w:tc>
          <w:tcPr>
            <w:tcW w:type="dxa" w:w="2880"/>
          </w:tcPr>
          <w:p>
            <w:r>
              <w:t>Medellín</w:t>
            </w:r>
          </w:p>
        </w:tc>
        <w:tc>
          <w:tcPr>
            <w:tcW w:type="dxa" w:w="2880"/>
          </w:tcPr>
          <w:p>
            <w:r>
              <w:t>2025Q2</w:t>
            </w:r>
          </w:p>
        </w:tc>
        <w:tc>
          <w:tcPr>
            <w:tcW w:type="dxa" w:w="2880"/>
          </w:tcPr>
          <w:p>
            <w:r>
              <w:t>$228,164,825.31</w:t>
            </w:r>
          </w:p>
        </w:tc>
      </w:tr>
      <w:tr>
        <w:tc>
          <w:tcPr>
            <w:tcW w:type="dxa" w:w="2880"/>
          </w:tcPr>
          <w:p>
            <w:r>
              <w:t>Medellín</w:t>
            </w:r>
          </w:p>
        </w:tc>
        <w:tc>
          <w:tcPr>
            <w:tcW w:type="dxa" w:w="2880"/>
          </w:tcPr>
          <w:p>
            <w:r>
              <w:t>2025Q3</w:t>
            </w:r>
          </w:p>
        </w:tc>
        <w:tc>
          <w:tcPr>
            <w:tcW w:type="dxa" w:w="2880"/>
          </w:tcPr>
          <w:p>
            <w:r>
              <w:t>$240,532,670.51</w:t>
            </w:r>
          </w:p>
        </w:tc>
      </w:tr>
      <w:tr>
        <w:tc>
          <w:tcPr>
            <w:tcW w:type="dxa" w:w="2880"/>
          </w:tcPr>
          <w:p>
            <w:r>
              <w:t>Medellín</w:t>
            </w:r>
          </w:p>
        </w:tc>
        <w:tc>
          <w:tcPr>
            <w:tcW w:type="dxa" w:w="2880"/>
          </w:tcPr>
          <w:p>
            <w:r>
              <w:t>2025Q4</w:t>
            </w:r>
          </w:p>
        </w:tc>
        <w:tc>
          <w:tcPr>
            <w:tcW w:type="dxa" w:w="2880"/>
          </w:tcPr>
          <w:p>
            <w:r>
              <w:t>$256,324,427.04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