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300" w:after="200"/>
        <w:jc w:val="center"/>
      </w:pPr>
      <w:r>
        <w:drawing>
          <wp:inline xmlns:a="http://schemas.openxmlformats.org/drawingml/2006/main" xmlns:pic="http://schemas.openxmlformats.org/drawingml/2006/picture">
            <wp:extent cx="4680000" cy="1123200"/>
            <wp:docPr id="1" name="Picture 1"/>
            <wp:cNvGraphicFramePr>
              <a:graphicFrameLocks noChangeAspect="1"/>
            </wp:cNvGraphicFramePr>
            <a:graphic>
              <a:graphicData uri="http://schemas.openxmlformats.org/drawingml/2006/picture">
                <pic:pic>
                  <pic:nvPicPr>
                    <pic:cNvPr id="0" name="utp-logo.png"/>
                    <pic:cNvPicPr/>
                  </pic:nvPicPr>
                  <pic:blipFill>
                    <a:blip r:embed="rId8"/>
                    <a:stretch>
                      <a:fillRect/>
                    </a:stretch>
                  </pic:blipFill>
                  <pic:spPr>
                    <a:xfrm>
                      <a:off x="0" y="0"/>
                      <a:ext cx="4680000" cy="1123200"/>
                    </a:xfrm>
                    <a:prstGeom prst="rect"/>
                  </pic:spPr>
                </pic:pic>
              </a:graphicData>
            </a:graphic>
          </wp:inline>
        </w:drawing>
      </w:r>
    </w:p>
    <w:p>
      <w:pPr>
        <w:spacing w:after="200"/>
        <w:jc w:val="center"/>
      </w:pPr>
      <w:r>
        <w:rPr>
          <w:b/>
          <w:sz w:val="28"/>
        </w:rPr>
        <w:t>Facultad de Ingeniería</w:t>
      </w:r>
    </w:p>
    <w:p>
      <w:pPr>
        <w:spacing w:after="200"/>
        <w:jc w:val="center"/>
      </w:pPr>
      <w:r>
        <w:rPr>
          <w:b/>
          <w:sz w:val="28"/>
        </w:rPr>
        <w:t>Carrera de Ingeniería de Sistemas</w:t>
      </w:r>
    </w:p>
    <w:p>
      <w:pPr>
        <w:pStyle w:val="Ttulo"/>
        <w:spacing w:before="400" w:after="200"/>
        <w:jc w:val="center"/>
      </w:pPr>
      <w:r>
        <w:rPr>
          <w:sz w:val="40"/>
        </w:rPr>
        <w:t>Implementación de una intranet para la gestión de distribución en una empresa Backus</w:t>
      </w:r>
    </w:p>
    <w:p>
      <w:pPr>
        <w:spacing w:after="200"/>
        <w:jc w:val="center"/>
      </w:pPr>
      <w:r>
        <w:rPr>
          <w:b/>
          <w:sz w:val="28"/>
        </w:rPr>
        <w:t>Avance de Proyecto Final 2</w:t>
      </w:r>
    </w:p>
    <w:p>
      <w:pPr>
        <w:spacing w:after="200"/>
        <w:jc w:val="center"/>
      </w:pPr>
      <w:r>
        <w:rPr>
          <w:b w:val="0"/>
          <w:sz w:val="28"/>
        </w:rPr>
        <w:t>Capa de persistencia y seguridad backend</w:t>
      </w:r>
    </w:p>
    <w:p>
      <w:pPr>
        <w:spacing w:after="200"/>
        <w:jc w:val="center"/>
      </w:pPr>
      <w:r>
        <w:rPr>
          <w:b/>
          <w:sz w:val="28"/>
        </w:rPr>
        <w:t>Desarrollo Web Integrado 100000ST62</w:t>
      </w:r>
    </w:p>
    <w:p>
      <w:pPr>
        <w:spacing w:after="200"/>
        <w:jc w:val="center"/>
      </w:pPr>
      <w:r>
        <w:rPr>
          <w:b w:val="0"/>
          <w:sz w:val="28"/>
        </w:rPr>
        <w:t>Sección 60618</w:t>
      </w:r>
    </w:p>
    <w:p>
      <w:pPr>
        <w:spacing w:after="200"/>
        <w:jc w:val="center"/>
      </w:pPr>
      <w:r>
        <w:rPr>
          <w:b/>
          <w:sz w:val="28"/>
        </w:rPr>
        <w:t>Estudiante</w:t>
      </w:r>
    </w:p>
    <w:p>
      <w:pPr>
        <w:spacing w:after="200"/>
        <w:jc w:val="center"/>
      </w:pPr>
      <w:r>
        <w:rPr>
          <w:b w:val="0"/>
          <w:sz w:val="28"/>
        </w:rPr>
        <w:t>Mathias Sebastian Herrera Gutierrez</w:t>
        <w:br/>
        <w:t>Código U23263869</w:t>
      </w:r>
    </w:p>
    <w:p>
      <w:pPr>
        <w:spacing w:after="200"/>
        <w:jc w:val="center"/>
      </w:pPr>
      <w:r>
        <w:rPr>
          <w:b w:val="0"/>
          <w:sz w:val="28"/>
        </w:rPr>
        <w:t>Responsable del análisis, desarrollo y pruebas del APF2</w:t>
      </w:r>
    </w:p>
    <w:p>
      <w:pPr>
        <w:spacing w:after="200"/>
        <w:jc w:val="center"/>
      </w:pPr>
      <w:r>
        <w:rPr>
          <w:b/>
          <w:sz w:val="28"/>
        </w:rPr>
        <w:t>Docente</w:t>
      </w:r>
    </w:p>
    <w:p>
      <w:pPr>
        <w:spacing w:after="200"/>
        <w:jc w:val="center"/>
      </w:pPr>
      <w:r>
        <w:rPr>
          <w:b w:val="0"/>
          <w:sz w:val="28"/>
        </w:rPr>
        <w:t>Cesar Augusto Cardenas la torre</w:t>
      </w:r>
    </w:p>
    <w:p>
      <w:pPr>
        <w:spacing w:after="200"/>
        <w:jc w:val="center"/>
      </w:pPr>
      <w:r>
        <w:rPr>
          <w:b w:val="0"/>
          <w:sz w:val="28"/>
        </w:rPr>
        <w:t>2026 Ciclo 2 Agosto</w:t>
        <w:br/>
        <w:t>Lima Perú</w:t>
        <w:br/>
        <w:t>09 de octubre de 2026</w:t>
      </w:r>
    </w:p>
    <w:p>
      <w:pPr>
        <w:pStyle w:val="Ttulo1"/>
        <w:pageBreakBefore/>
      </w:pPr>
      <w:r>
        <w:t>Índice de contenido</w:t>
      </w:r>
    </w:p>
    <w:p>
      <w:pPr>
        <w:tabs>
          <w:tab w:pos="8391" w:val="right"/>
        </w:tabs>
        <w:spacing w:after="80" w:line="240" w:lineRule="auto"/>
      </w:pPr>
      <w:r>
        <w:rPr>
          <w:sz w:val="22"/>
        </w:rPr>
        <w:t>Presentación y continuidad del proyecto</w:t>
        <w:tab/>
        <w:t>3</w:t>
      </w:r>
    </w:p>
    <w:p>
      <w:pPr>
        <w:tabs>
          <w:tab w:pos="8391" w:val="right"/>
        </w:tabs>
        <w:spacing w:after="80" w:line="240" w:lineRule="auto"/>
      </w:pPr>
      <w:r>
        <w:rPr>
          <w:sz w:val="22"/>
        </w:rPr>
        <w:t>Capítulo 1 Configuración y modelo de persistencia</w:t>
        <w:tab/>
        <w:t>4</w:t>
      </w:r>
    </w:p>
    <w:p>
      <w:pPr>
        <w:tabs>
          <w:tab w:pos="8391" w:val="right"/>
        </w:tabs>
        <w:spacing w:after="80" w:line="240" w:lineRule="auto"/>
      </w:pPr>
      <w:r>
        <w:rPr>
          <w:sz w:val="22"/>
        </w:rPr>
        <w:t>1.1 Conexión y entorno de ejecución</w:t>
        <w:tab/>
        <w:t>4</w:t>
      </w:r>
    </w:p>
    <w:p>
      <w:pPr>
        <w:tabs>
          <w:tab w:pos="8391" w:val="right"/>
        </w:tabs>
        <w:spacing w:after="80" w:line="240" w:lineRule="auto"/>
      </w:pPr>
      <w:r>
        <w:rPr>
          <w:sz w:val="22"/>
        </w:rPr>
        <w:t>1.2 Modelo relacional y relaciones normalizadas</w:t>
        <w:tab/>
        <w:t>5</w:t>
      </w:r>
    </w:p>
    <w:p>
      <w:pPr>
        <w:tabs>
          <w:tab w:pos="8391" w:val="right"/>
        </w:tabs>
        <w:spacing w:after="80" w:line="240" w:lineRule="auto"/>
      </w:pPr>
      <w:r>
        <w:rPr>
          <w:sz w:val="22"/>
        </w:rPr>
        <w:t>1.3 Repositorios de Spring Data JPA</w:t>
        <w:tab/>
        <w:t>7</w:t>
      </w:r>
    </w:p>
    <w:p>
      <w:pPr>
        <w:tabs>
          <w:tab w:pos="8391" w:val="right"/>
        </w:tabs>
        <w:spacing w:after="80" w:line="240" w:lineRule="auto"/>
      </w:pPr>
      <w:r>
        <w:rPr>
          <w:sz w:val="22"/>
        </w:rPr>
        <w:t>1.4 Evidencia de la persistencia en PostgreSQL</w:t>
        <w:tab/>
        <w:t>8</w:t>
      </w:r>
    </w:p>
    <w:p>
      <w:pPr>
        <w:tabs>
          <w:tab w:pos="8391" w:val="right"/>
        </w:tabs>
        <w:spacing w:after="80" w:line="240" w:lineRule="auto"/>
      </w:pPr>
      <w:r>
        <w:rPr>
          <w:sz w:val="22"/>
        </w:rPr>
        <w:t>Capítulo 2 Operaciones CRUD JPQL y transacciones</w:t>
        <w:tab/>
        <w:t>9</w:t>
      </w:r>
    </w:p>
    <w:p>
      <w:pPr>
        <w:tabs>
          <w:tab w:pos="8391" w:val="right"/>
        </w:tabs>
        <w:spacing w:after="80" w:line="240" w:lineRule="auto"/>
      </w:pPr>
      <w:r>
        <w:rPr>
          <w:sz w:val="22"/>
        </w:rPr>
        <w:t>2.1 Servicios y operaciones CRUD</w:t>
        <w:tab/>
        <w:t>9</w:t>
      </w:r>
    </w:p>
    <w:p>
      <w:pPr>
        <w:tabs>
          <w:tab w:pos="8391" w:val="right"/>
        </w:tabs>
        <w:spacing w:after="80" w:line="240" w:lineRule="auto"/>
      </w:pPr>
      <w:r>
        <w:rPr>
          <w:sz w:val="22"/>
        </w:rPr>
        <w:t>2.2 Consultas avanzadas con JPQL</w:t>
        <w:tab/>
        <w:t>10</w:t>
      </w:r>
    </w:p>
    <w:p>
      <w:pPr>
        <w:tabs>
          <w:tab w:pos="8391" w:val="right"/>
        </w:tabs>
        <w:spacing w:after="80" w:line="240" w:lineRule="auto"/>
      </w:pPr>
      <w:r>
        <w:rPr>
          <w:sz w:val="22"/>
        </w:rPr>
        <w:t>2.3 Manejo transaccional del inventario</w:t>
        <w:tab/>
        <w:t>11</w:t>
      </w:r>
    </w:p>
    <w:p>
      <w:pPr>
        <w:tabs>
          <w:tab w:pos="8391" w:val="right"/>
        </w:tabs>
        <w:spacing w:after="80" w:line="240" w:lineRule="auto"/>
      </w:pPr>
      <w:r>
        <w:rPr>
          <w:sz w:val="22"/>
        </w:rPr>
        <w:t>2.4 Evidencia de operaciones CRUD</w:t>
        <w:tab/>
        <w:t>12</w:t>
      </w:r>
    </w:p>
    <w:p>
      <w:pPr>
        <w:tabs>
          <w:tab w:pos="8391" w:val="right"/>
        </w:tabs>
        <w:spacing w:after="80" w:line="240" w:lineRule="auto"/>
      </w:pPr>
      <w:r>
        <w:rPr>
          <w:sz w:val="22"/>
        </w:rPr>
        <w:t>Capítulo 3 Seguridad y autenticación JWT</w:t>
        <w:tab/>
        <w:t>13</w:t>
      </w:r>
    </w:p>
    <w:p>
      <w:pPr>
        <w:tabs>
          <w:tab w:pos="8391" w:val="right"/>
        </w:tabs>
        <w:spacing w:after="80" w:line="240" w:lineRule="auto"/>
      </w:pPr>
      <w:r>
        <w:rPr>
          <w:sz w:val="22"/>
        </w:rPr>
        <w:t>3.1 Reglas de acceso y permisos</w:t>
        <w:tab/>
        <w:t>13</w:t>
      </w:r>
    </w:p>
    <w:p>
      <w:pPr>
        <w:tabs>
          <w:tab w:pos="8391" w:val="right"/>
        </w:tabs>
        <w:spacing w:after="80" w:line="240" w:lineRule="auto"/>
      </w:pPr>
      <w:r>
        <w:rPr>
          <w:sz w:val="22"/>
        </w:rPr>
        <w:t>3.2 Generación y validación del token</w:t>
        <w:tab/>
        <w:t>14</w:t>
      </w:r>
    </w:p>
    <w:p>
      <w:pPr>
        <w:tabs>
          <w:tab w:pos="8391" w:val="right"/>
        </w:tabs>
        <w:spacing w:after="80" w:line="240" w:lineRule="auto"/>
      </w:pPr>
      <w:r>
        <w:rPr>
          <w:sz w:val="22"/>
        </w:rPr>
        <w:t>3.3 Filtro de autenticación y vigencia del usuario</w:t>
        <w:tab/>
        <w:t>15</w:t>
      </w:r>
    </w:p>
    <w:p>
      <w:pPr>
        <w:tabs>
          <w:tab w:pos="8391" w:val="right"/>
        </w:tabs>
        <w:spacing w:after="80" w:line="240" w:lineRule="auto"/>
      </w:pPr>
      <w:r>
        <w:rPr>
          <w:sz w:val="22"/>
        </w:rPr>
        <w:t>3.4 Evidencias obligatorias de seguridad</w:t>
        <w:tab/>
        <w:t>16</w:t>
      </w:r>
    </w:p>
    <w:p>
      <w:pPr>
        <w:tabs>
          <w:tab w:pos="8391" w:val="right"/>
        </w:tabs>
        <w:spacing w:after="80" w:line="240" w:lineRule="auto"/>
      </w:pPr>
      <w:r>
        <w:rPr>
          <w:sz w:val="22"/>
        </w:rPr>
        <w:t>Capítulo 4 Pruebas conclusiones y repositorio</w:t>
        <w:tab/>
        <w:t>17</w:t>
      </w:r>
    </w:p>
    <w:p>
      <w:pPr>
        <w:tabs>
          <w:tab w:pos="8391" w:val="right"/>
        </w:tabs>
        <w:spacing w:after="80" w:line="240" w:lineRule="auto"/>
      </w:pPr>
      <w:r>
        <w:rPr>
          <w:sz w:val="22"/>
        </w:rPr>
        <w:t>4.1 Pruebas de endpoints y evidencias</w:t>
        <w:tab/>
        <w:t>17</w:t>
      </w:r>
    </w:p>
    <w:p>
      <w:pPr>
        <w:tabs>
          <w:tab w:pos="8391" w:val="right"/>
        </w:tabs>
        <w:spacing w:after="80" w:line="240" w:lineRule="auto"/>
      </w:pPr>
      <w:r>
        <w:rPr>
          <w:sz w:val="22"/>
        </w:rPr>
        <w:t>4.2 Pruebas de integridad y autorización</w:t>
        <w:tab/>
        <w:t>18</w:t>
      </w:r>
    </w:p>
    <w:p>
      <w:pPr>
        <w:tabs>
          <w:tab w:pos="8391" w:val="right"/>
        </w:tabs>
        <w:spacing w:after="80" w:line="240" w:lineRule="auto"/>
      </w:pPr>
      <w:r>
        <w:rPr>
          <w:sz w:val="22"/>
        </w:rPr>
        <w:t>4.3 Pruebas de integración rollback y concurrencia</w:t>
        <w:tab/>
        <w:t>19</w:t>
      </w:r>
    </w:p>
    <w:p>
      <w:pPr>
        <w:tabs>
          <w:tab w:pos="8391" w:val="right"/>
        </w:tabs>
        <w:spacing w:after="80" w:line="240" w:lineRule="auto"/>
      </w:pPr>
      <w:r>
        <w:rPr>
          <w:sz w:val="22"/>
        </w:rPr>
        <w:t>4.4 Conclusiones técnicas y enlace al proyecto</w:t>
        <w:tab/>
        <w:t>20</w:t>
      </w:r>
    </w:p>
    <w:p>
      <w:pPr>
        <w:tabs>
          <w:tab w:pos="8391" w:val="right"/>
        </w:tabs>
        <w:spacing w:after="80" w:line="240" w:lineRule="auto"/>
      </w:pPr>
      <w:r>
        <w:rPr>
          <w:sz w:val="22"/>
        </w:rPr>
        <w:t>Anexo A Ejecución para la revisión docente</w:t>
        <w:tab/>
        <w:t>21</w:t>
      </w:r>
    </w:p>
    <w:p>
      <w:pPr>
        <w:tabs>
          <w:tab w:pos="8391" w:val="right"/>
        </w:tabs>
        <w:spacing w:after="80" w:line="240" w:lineRule="auto"/>
      </w:pPr>
      <w:r>
        <w:rPr>
          <w:sz w:val="22"/>
        </w:rPr>
        <w:t>Anexo B Colección de Postman y trazabilidad</w:t>
        <w:tab/>
        <w:t>22</w:t>
      </w:r>
    </w:p>
    <w:p>
      <w:pPr>
        <w:tabs>
          <w:tab w:pos="8391" w:val="right"/>
        </w:tabs>
        <w:spacing w:after="80" w:line="240" w:lineRule="auto"/>
      </w:pPr>
      <w:r>
        <w:rPr>
          <w:sz w:val="22"/>
        </w:rPr>
        <w:t>Bibliografía</w:t>
        <w:tab/>
        <w:t>23</w:t>
      </w:r>
    </w:p>
    <w:p>
      <w:pPr>
        <w:jc w:val="both"/>
      </w:pPr>
      <w:r>
        <w:rPr>
          <w:b w:val="0"/>
        </w:rPr>
        <w:t>Las figuras y tablas se identifican junto a su contenido. Los anexos explican cómo repetir las pruebas en un entorno local.</w:t>
      </w:r>
    </w:p>
    <w:p>
      <w:pPr>
        <w:pStyle w:val="Ttulo1"/>
        <w:pageBreakBefore/>
      </w:pPr>
      <w:r>
        <w:t>Presentación y continuidad del proyecto</w:t>
      </w:r>
    </w:p>
    <w:p>
      <w:pPr>
        <w:jc w:val="both"/>
      </w:pPr>
      <w:r>
        <w:rPr>
          <w:b w:val="0"/>
        </w:rPr>
        <w:t>El presente avance implementa y verifica la persistencia relacional y la seguridad de la API backend de la intranet de distribución propuesta en el avance 01. El resultado es una API ejecutable con PostgreSQL, operaciones CRUD, consultas JPQL y autenticación JWT, acompañada por pruebas reproducibles y una colección de Postman.</w:t>
      </w:r>
    </w:p>
    <w:p>
      <w:pPr>
        <w:jc w:val="both"/>
      </w:pPr>
      <w:r>
        <w:rPr>
          <w:b w:val="0"/>
        </w:rPr>
        <w:t>Se conserva el título del caso y la arquitectura por capas del proyecto original. El avance 01 fue elaborado de forma grupal; el APF2 se presenta de manera individual por Mathias Sebastian Herrera Gutierrez, tras el cambio a la sección 60618. La referencia al trabajo de origen se conserva en ORIGEN.md del repositorio, sin atribuir retroactivamente el código compartido a una sola persona.</w:t>
      </w:r>
    </w:p>
    <w:p>
      <w:pPr>
        <w:jc w:val="both"/>
      </w:pPr>
      <w:r>
        <w:rPr>
          <w:b w:val="0"/>
        </w:rPr>
        <w:t>Backus constituye el contexto del caso académico. Las pruebas usan nombres, direcciones y cuentas sintéticas. El prototipo se valida en un entorno local para evaluar la solución académica propuesta.</w:t>
      </w:r>
    </w:p>
    <w:p>
      <w:pPr>
        <w:pStyle w:val="Ttulo2"/>
      </w:pPr>
      <w:r>
        <w:t>Alcance del incremento</w:t>
      </w:r>
    </w:p>
    <w:tbl>
      <w:tblPr>
        <w:tblW w:type="auto" w:w="0"/>
        <w:jc w:val="center"/>
        <w:tblLayout w:type="fixed"/>
        <w:tblLook w:firstColumn="1" w:firstRow="1" w:lastColumn="0" w:lastRow="0" w:noHBand="0" w:noVBand="1" w:val="04A0"/>
      </w:tblPr>
      <w:tblGrid>
        <w:gridCol w:w="2438"/>
        <w:gridCol w:w="6066"/>
      </w:tblGrid>
      <w:tr>
        <w:trPr>
          <w:cantSplit/>
          <w:tblHeader/>
        </w:trPr>
        <w:tc>
          <w:tcPr>
            <w:tcW w:type="dxa" w:w="243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1"/>
              </w:rPr>
              <w:t>Requerimientos del APF1</w:t>
            </w:r>
          </w:p>
        </w:tc>
        <w:tc>
          <w:tcPr>
            <w:tcW w:type="dxa" w:w="606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1"/>
              </w:rPr>
              <w:t>Resultado entregado</w:t>
            </w:r>
          </w:p>
        </w:tc>
      </w:tr>
      <w:tr>
        <w:trPr>
          <w:cantSplit/>
        </w:trPr>
        <w:tc>
          <w:tcPr>
            <w:tcW w:type="dxa" w:w="243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RF 01 a RF 03</w:t>
            </w:r>
          </w:p>
        </w:tc>
        <w:tc>
          <w:tcPr>
            <w:tcW w:type="dxa" w:w="606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Login, roles, permisos y CRUD de usuarios</w:t>
            </w:r>
          </w:p>
        </w:tc>
      </w:tr>
      <w:tr>
        <w:trPr>
          <w:cantSplit/>
        </w:trPr>
        <w:tc>
          <w:tcPr>
            <w:tcW w:type="dxa" w:w="243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RF 04 a RF 05</w:t>
            </w:r>
          </w:p>
        </w:tc>
        <w:tc>
          <w:tcPr>
            <w:tcW w:type="dxa" w:w="606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CRUD de sedes y almacenes</w:t>
            </w:r>
          </w:p>
        </w:tc>
      </w:tr>
      <w:tr>
        <w:trPr>
          <w:cantSplit/>
        </w:trPr>
        <w:tc>
          <w:tcPr>
            <w:tcW w:type="dxa" w:w="243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RF 06 a RF 07</w:t>
            </w:r>
          </w:p>
        </w:tc>
        <w:tc>
          <w:tcPr>
            <w:tcW w:type="dxa" w:w="606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CRUD de productos y categorías</w:t>
            </w:r>
          </w:p>
        </w:tc>
      </w:tr>
      <w:tr>
        <w:trPr>
          <w:cantSplit/>
        </w:trPr>
        <w:tc>
          <w:tcPr>
            <w:tcW w:type="dxa" w:w="243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RF 08</w:t>
            </w:r>
          </w:p>
        </w:tc>
        <w:tc>
          <w:tcPr>
            <w:tcW w:type="dxa" w:w="606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Existencias, entradas, traslados, stock crítico e historial</w:t>
            </w:r>
          </w:p>
        </w:tc>
      </w:tr>
      <w:tr>
        <w:trPr>
          <w:cantSplit/>
        </w:trPr>
        <w:tc>
          <w:tcPr>
            <w:tcW w:type="dxa" w:w="243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RF 09 a RF 26</w:t>
            </w:r>
          </w:p>
        </w:tc>
        <w:tc>
          <w:tcPr>
            <w:tcW w:type="dxa" w:w="606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Backlog para avances posteriores</w:t>
            </w:r>
          </w:p>
        </w:tc>
      </w:tr>
    </w:tbl>
    <w:p>
      <w:pPr>
        <w:spacing w:after="20"/>
      </w:pPr>
    </w:p>
    <w:p>
      <w:pPr>
        <w:jc w:val="both"/>
      </w:pPr>
      <w:r>
        <w:rPr>
          <w:b w:val="0"/>
        </w:rPr>
        <w:t>La entrega se concentra en el backend de la Unidad 2. La interfaz Angular, los pedidos, las rutas, la flota y los reportes empresariales permanecen como extensiones del proyecto final. El traslado entre almacenes se incorpora como proceso de negocio para demostrar atomicidad y consistencia del inventario.</w:t>
      </w:r>
    </w:p>
    <w:p>
      <w:pPr>
        <w:pStyle w:val="Ttulo1"/>
        <w:pageBreakBefore/>
      </w:pPr>
      <w:r>
        <w:t>Capítulo 1 Configuración y modelo de persistencia</w:t>
      </w:r>
    </w:p>
    <w:p>
      <w:pPr>
        <w:pStyle w:val="Ttulo2"/>
      </w:pPr>
      <w:r>
        <w:t>1.1 Conexión y entorno de ejecución</w:t>
      </w:r>
    </w:p>
    <w:p>
      <w:pPr>
        <w:jc w:val="both"/>
      </w:pPr>
      <w:r>
        <w:rPr>
          <w:b w:val="0"/>
        </w:rPr>
        <w:t>La conexión se configura en application.properties mediante variables de entorno. El arranque local genera una configuración privada, inicia PostgreSQL con Docker Compose y ejecuta Spring Boot. No se incluyen contraseñas ni claves de firma en el repositorio público.</w:t>
      </w:r>
    </w:p>
    <w:p>
      <w:pPr>
        <w:spacing w:before="80" w:after="160" w:line="252" w:lineRule="auto"/>
        <w:shd w:fill="F3F4F6"/>
      </w:pPr>
      <w:r>
        <w:rPr>
          <w:rFonts w:ascii="Courier New" w:hAnsi="Courier New"/>
          <w:color w:val="000000"/>
          <w:sz w:val="18"/>
        </w:rPr>
        <w:t>spring.datasource.url=${DB_URL:jdbc:postgresql://localhost:55432/intranet}</w:t>
        <w:br/>
        <w:t>spring.datasource.username=${DB_USERNAME:intranet}</w:t>
        <w:br/>
        <w:t>spring.datasource.password=${DB_PASSWORD}</w:t>
        <w:br/>
        <w:t>spring.datasource.driver-class-name=org.postgresql.Driver</w:t>
        <w:br/>
        <w:t>spring.jpa.hibernate.ddl-auto=${DDL_AUTO:update}</w:t>
        <w:br/>
        <w:t>spring.jpa.open-in-view=false</w:t>
        <w:br/>
        <w:t>spring.jpa.properties.hibernate.dialect=\</w:t>
        <w:br/>
        <w:t xml:space="preserve">  org.hibernate.dialect.PostgreSQLDialect</w:t>
      </w:r>
    </w:p>
    <w:p>
      <w:pPr>
        <w:jc w:val="both"/>
      </w:pPr>
      <w:r>
        <w:rPr>
          <w:b w:val="0"/>
        </w:rPr>
        <w:t>La propiedad ddl-auto=update permite observar la creación automática de tablas requerida por la plantilla. PostgreSQL almacena los registros y aplica claves foráneas, restricciones únicas y comprobaciones de cantidades. La desactivación de open-in-view mantiene la lectura y conversión a DTO dentro de los servicios.</w:t>
      </w:r>
    </w:p>
    <w:tbl>
      <w:tblPr>
        <w:tblW w:type="auto" w:w="0"/>
        <w:jc w:val="center"/>
        <w:tblLayout w:type="fixed"/>
        <w:tblLook w:firstColumn="1" w:firstRow="1" w:lastColumn="0" w:lastRow="0" w:noHBand="0" w:noVBand="1" w:val="04A0"/>
      </w:tblPr>
      <w:tblGrid>
        <w:gridCol w:w="2381"/>
        <w:gridCol w:w="1701"/>
        <w:gridCol w:w="4422"/>
      </w:tblGrid>
      <w:tr>
        <w:trPr>
          <w:cantSplit/>
          <w:tblHeader/>
        </w:trPr>
        <w:tc>
          <w:tcPr>
            <w:tcW w:type="dxa" w:w="238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1"/>
              </w:rPr>
              <w:t>Componente</w:t>
            </w:r>
          </w:p>
        </w:tc>
        <w:tc>
          <w:tcPr>
            <w:tcW w:type="dxa" w:w="170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1"/>
              </w:rPr>
              <w:t>Versión utilizada</w:t>
            </w:r>
          </w:p>
        </w:tc>
        <w:tc>
          <w:tcPr>
            <w:tcW w:type="dxa" w:w="442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1"/>
              </w:rPr>
              <w:t>Función</w:t>
            </w:r>
          </w:p>
        </w:tc>
      </w:tr>
      <w:tr>
        <w:trPr>
          <w:cantSplit/>
        </w:trPr>
        <w:tc>
          <w:tcPr>
            <w:tcW w:type="dxa" w:w="238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Java</w:t>
            </w:r>
          </w:p>
        </w:tc>
        <w:tc>
          <w:tcPr>
            <w:tcW w:type="dxa" w:w="170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21</w:t>
            </w:r>
          </w:p>
        </w:tc>
        <w:tc>
          <w:tcPr>
            <w:tcW w:type="dxa" w:w="442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Ejecución del backend</w:t>
            </w:r>
          </w:p>
        </w:tc>
      </w:tr>
      <w:tr>
        <w:trPr>
          <w:cantSplit/>
        </w:trPr>
        <w:tc>
          <w:tcPr>
            <w:tcW w:type="dxa" w:w="238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Spring Boot</w:t>
            </w:r>
          </w:p>
        </w:tc>
        <w:tc>
          <w:tcPr>
            <w:tcW w:type="dxa" w:w="170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3.5.16</w:t>
            </w:r>
          </w:p>
        </w:tc>
        <w:tc>
          <w:tcPr>
            <w:tcW w:type="dxa" w:w="442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Configuración y API REST</w:t>
            </w:r>
          </w:p>
        </w:tc>
      </w:tr>
      <w:tr>
        <w:trPr>
          <w:cantSplit/>
        </w:trPr>
        <w:tc>
          <w:tcPr>
            <w:tcW w:type="dxa" w:w="238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Gradle Wrapper</w:t>
            </w:r>
          </w:p>
        </w:tc>
        <w:tc>
          <w:tcPr>
            <w:tcW w:type="dxa" w:w="170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8.8</w:t>
            </w:r>
          </w:p>
        </w:tc>
        <w:tc>
          <w:tcPr>
            <w:tcW w:type="dxa" w:w="442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Compilación y pruebas reproducibles</w:t>
            </w:r>
          </w:p>
        </w:tc>
      </w:tr>
      <w:tr>
        <w:trPr>
          <w:cantSplit/>
        </w:trPr>
        <w:tc>
          <w:tcPr>
            <w:tcW w:type="dxa" w:w="238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PostgreSQL</w:t>
            </w:r>
          </w:p>
        </w:tc>
        <w:tc>
          <w:tcPr>
            <w:tcW w:type="dxa" w:w="170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17.11</w:t>
            </w:r>
          </w:p>
        </w:tc>
        <w:tc>
          <w:tcPr>
            <w:tcW w:type="dxa" w:w="442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Persistencia relacional</w:t>
            </w:r>
          </w:p>
        </w:tc>
      </w:tr>
      <w:tr>
        <w:trPr>
          <w:cantSplit/>
        </w:trPr>
        <w:tc>
          <w:tcPr>
            <w:tcW w:type="dxa" w:w="238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JJWT</w:t>
            </w:r>
          </w:p>
        </w:tc>
        <w:tc>
          <w:tcPr>
            <w:tcW w:type="dxa" w:w="170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0.12.6</w:t>
            </w:r>
          </w:p>
        </w:tc>
        <w:tc>
          <w:tcPr>
            <w:tcW w:type="dxa" w:w="442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Firma y validación JWT</w:t>
            </w:r>
          </w:p>
        </w:tc>
      </w:tr>
      <w:tr>
        <w:trPr>
          <w:cantSplit/>
        </w:trPr>
        <w:tc>
          <w:tcPr>
            <w:tcW w:type="dxa" w:w="238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Testcontainers</w:t>
            </w:r>
          </w:p>
        </w:tc>
        <w:tc>
          <w:tcPr>
            <w:tcW w:type="dxa" w:w="170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1.21.4</w:t>
            </w:r>
          </w:p>
        </w:tc>
        <w:tc>
          <w:tcPr>
            <w:tcW w:type="dxa" w:w="442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PostgreSQL aislado en pruebas</w:t>
            </w:r>
          </w:p>
        </w:tc>
      </w:tr>
    </w:tbl>
    <w:p>
      <w:pPr>
        <w:spacing w:after="20"/>
      </w:pPr>
    </w:p>
    <w:p>
      <w:pPr>
        <w:jc w:val="both"/>
      </w:pPr>
      <w:r>
        <w:rPr>
          <w:b w:val="0"/>
        </w:rPr>
        <w:t>Se conserva Gradle del repositorio base. La guía menciona Maven como ejemplo de ejecución; el comando equivalente de este proyecto es ./gradlew bootRun. Las versiones y la configuración completa están fijadas en los archivos del repositorio.</w:t>
      </w:r>
    </w:p>
    <w:p>
      <w:pPr>
        <w:pStyle w:val="Ttulo2"/>
        <w:pageBreakBefore/>
      </w:pPr>
      <w:r>
        <w:t>1.2 Modelo relacional y relaciones normalizadas</w:t>
      </w:r>
    </w:p>
    <w:p>
      <w:pPr>
        <w:jc w:val="both"/>
      </w:pPr>
      <w:r>
        <w:rPr>
          <w:b w:val="0"/>
        </w:rPr>
        <w:t>El modelo comprende nueve entidades JPA y una tabla de asociación. Usuario pertenece a un Rol; Rol se vincula con Permiso mediante roles_permisos. En el dominio de inventario, cada Almacén pertenece a una Sede y cada Producto pertenece a una Categoría.</w:t>
      </w:r>
    </w:p>
    <w:p>
      <w:pPr>
        <w:spacing w:after="80"/>
        <w:jc w:val="center"/>
      </w:pPr>
      <w:r>
        <w:drawing>
          <wp:inline xmlns:a="http://schemas.openxmlformats.org/drawingml/2006/main" xmlns:pic="http://schemas.openxmlformats.org/drawingml/2006/picture">
            <wp:extent cx="5112000" cy="3307765"/>
            <wp:docPr id="2" name="Picture 2"/>
            <wp:cNvGraphicFramePr>
              <a:graphicFrameLocks noChangeAspect="1"/>
            </wp:cNvGraphicFramePr>
            <a:graphic>
              <a:graphicData uri="http://schemas.openxmlformats.org/drawingml/2006/picture">
                <pic:pic>
                  <pic:nvPicPr>
                    <pic:cNvPr id="0" name="modelo-relacional.png"/>
                    <pic:cNvPicPr/>
                  </pic:nvPicPr>
                  <pic:blipFill>
                    <a:blip r:embed="rId9"/>
                    <a:stretch>
                      <a:fillRect/>
                    </a:stretch>
                  </pic:blipFill>
                  <pic:spPr>
                    <a:xfrm>
                      <a:off x="0" y="0"/>
                      <a:ext cx="5112000" cy="3307765"/>
                    </a:xfrm>
                    <a:prstGeom prst="rect"/>
                  </pic:spPr>
                </pic:pic>
              </a:graphicData>
            </a:graphic>
          </wp:inline>
        </w:drawing>
      </w:r>
    </w:p>
    <w:p>
      <w:pPr>
        <w:spacing w:after="160"/>
        <w:jc w:val="center"/>
      </w:pPr>
      <w:r>
        <w:rPr>
          <w:i/>
          <w:sz w:val="20"/>
        </w:rPr>
        <w:t>Figura 1 Modelo relacional implementado con entidades JPA y claves foráneas</w:t>
      </w:r>
    </w:p>
    <w:tbl>
      <w:tblPr>
        <w:tblW w:type="auto" w:w="0"/>
        <w:jc w:val="center"/>
        <w:tblLayout w:type="fixed"/>
        <w:tblLook w:firstColumn="1" w:firstRow="1" w:lastColumn="0" w:lastRow="0" w:noHBand="0" w:noVBand="1" w:val="04A0"/>
      </w:tblPr>
      <w:tblGrid>
        <w:gridCol w:w="2665"/>
        <w:gridCol w:w="1417"/>
        <w:gridCol w:w="4422"/>
      </w:tblGrid>
      <w:tr>
        <w:trPr>
          <w:cantSplit/>
          <w:tblHeader/>
        </w:trPr>
        <w:tc>
          <w:tcPr>
            <w:tcW w:type="dxa" w:w="266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0"/>
              </w:rPr>
              <w:t>Relación</w:t>
            </w:r>
          </w:p>
        </w:tc>
        <w:tc>
          <w:tcPr>
            <w:tcW w:type="dxa" w:w="141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0"/>
              </w:rPr>
              <w:t>Tipo</w:t>
            </w:r>
          </w:p>
        </w:tc>
        <w:tc>
          <w:tcPr>
            <w:tcW w:type="dxa" w:w="442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0"/>
              </w:rPr>
              <w:t>Mapeo o restricción</w:t>
            </w:r>
          </w:p>
        </w:tc>
      </w:tr>
      <w:tr>
        <w:trPr>
          <w:cantSplit/>
        </w:trPr>
        <w:tc>
          <w:tcPr>
            <w:tcW w:type="dxa" w:w="266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Rol a Usuario</w:t>
            </w:r>
          </w:p>
        </w:tc>
        <w:tc>
          <w:tcPr>
            <w:tcW w:type="dxa" w:w="141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1 a N</w:t>
            </w:r>
          </w:p>
        </w:tc>
        <w:tc>
          <w:tcPr>
            <w:tcW w:type="dxa" w:w="442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@ManyToOne en Usuario</w:t>
            </w:r>
          </w:p>
        </w:tc>
      </w:tr>
      <w:tr>
        <w:trPr>
          <w:cantSplit/>
        </w:trPr>
        <w:tc>
          <w:tcPr>
            <w:tcW w:type="dxa" w:w="266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Rol a Permiso</w:t>
            </w:r>
          </w:p>
        </w:tc>
        <w:tc>
          <w:tcPr>
            <w:tcW w:type="dxa" w:w="141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N a M</w:t>
            </w:r>
          </w:p>
        </w:tc>
        <w:tc>
          <w:tcPr>
            <w:tcW w:type="dxa" w:w="442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@ManyToMany y roles_permisos</w:t>
            </w:r>
          </w:p>
        </w:tc>
      </w:tr>
      <w:tr>
        <w:trPr>
          <w:cantSplit/>
        </w:trPr>
        <w:tc>
          <w:tcPr>
            <w:tcW w:type="dxa" w:w="266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Sede a Almacén</w:t>
            </w:r>
          </w:p>
        </w:tc>
        <w:tc>
          <w:tcPr>
            <w:tcW w:type="dxa" w:w="141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1 a N</w:t>
            </w:r>
          </w:p>
        </w:tc>
        <w:tc>
          <w:tcPr>
            <w:tcW w:type="dxa" w:w="442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@ManyToOne en Almacen</w:t>
            </w:r>
          </w:p>
        </w:tc>
      </w:tr>
      <w:tr>
        <w:trPr>
          <w:cantSplit/>
        </w:trPr>
        <w:tc>
          <w:tcPr>
            <w:tcW w:type="dxa" w:w="266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Categoría a Producto</w:t>
            </w:r>
          </w:p>
        </w:tc>
        <w:tc>
          <w:tcPr>
            <w:tcW w:type="dxa" w:w="141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1 a N</w:t>
            </w:r>
          </w:p>
        </w:tc>
        <w:tc>
          <w:tcPr>
            <w:tcW w:type="dxa" w:w="442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@ManyToOne en Producto</w:t>
            </w:r>
          </w:p>
        </w:tc>
      </w:tr>
      <w:tr>
        <w:trPr>
          <w:cantSplit/>
        </w:trPr>
        <w:tc>
          <w:tcPr>
            <w:tcW w:type="dxa" w:w="266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Producto y Almacén a Existencia</w:t>
            </w:r>
          </w:p>
        </w:tc>
        <w:tc>
          <w:tcPr>
            <w:tcW w:type="dxa" w:w="141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1 a N por entidad</w:t>
            </w:r>
          </w:p>
        </w:tc>
        <w:tc>
          <w:tcPr>
            <w:tcW w:type="dxa" w:w="442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Par producto_id y almacen_id único</w:t>
            </w:r>
          </w:p>
        </w:tc>
      </w:tr>
      <w:tr>
        <w:trPr>
          <w:cantSplit/>
        </w:trPr>
        <w:tc>
          <w:tcPr>
            <w:tcW w:type="dxa" w:w="266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Producto y Almacén a Movimiento</w:t>
            </w:r>
          </w:p>
        </w:tc>
        <w:tc>
          <w:tcPr>
            <w:tcW w:type="dxa" w:w="141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1 a N por entidad</w:t>
            </w:r>
          </w:p>
        </w:tc>
        <w:tc>
          <w:tcPr>
            <w:tcW w:type="dxa" w:w="442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Origen opcional y destino obligatorio</w:t>
            </w:r>
          </w:p>
        </w:tc>
      </w:tr>
    </w:tbl>
    <w:p>
      <w:pPr>
        <w:spacing w:after="20"/>
      </w:pPr>
    </w:p>
    <w:p>
      <w:pPr>
        <w:jc w:val="both"/>
      </w:pPr>
      <w:r>
        <w:rPr>
          <w:b w:val="0"/>
        </w:rPr>
        <w:t>Las relaciones se representan por claves foráneas. La tabla Existencia evita repetir atributos del producto y del almacén; Movimiento conserva el historial de cantidades, origen, destino, fecha y responsable. No se agregan colecciones inversas cuando no existe un caso de uso que las requiera.</w:t>
      </w:r>
    </w:p>
    <w:p>
      <w:pPr>
        <w:pStyle w:val="Ttulo2"/>
        <w:pageBreakBefore/>
      </w:pPr>
      <w:r>
        <w:t>1.2 Mapeo ORM de las entidades principales</w:t>
      </w:r>
    </w:p>
    <w:p>
      <w:pPr>
        <w:jc w:val="both"/>
      </w:pPr>
      <w:r>
        <w:rPr>
          <w:b w:val="0"/>
        </w:rPr>
        <w:t>Las clases del paquete model utilizan @Entity, @Table, @Id y @GeneratedValue. Los identificadores se generan con IDENTITY. El siguiente extracto corresponde al producto y a la existencia por almacén.</w:t>
      </w:r>
    </w:p>
    <w:p>
      <w:pPr>
        <w:spacing w:before="80" w:after="160" w:line="252" w:lineRule="auto"/>
        <w:shd w:fill="F3F4F6"/>
      </w:pPr>
      <w:r>
        <w:rPr>
          <w:rFonts w:ascii="Courier New" w:hAnsi="Courier New"/>
          <w:color w:val="000000"/>
          <w:sz w:val="18"/>
        </w:rPr>
        <w:t>@Entity</w:t>
        <w:br/>
        <w:t>@Table(name="productos")</w:t>
        <w:br/>
        <w:t>@Check(constraints="stock_minimo &gt;= 0")</w:t>
        <w:br/>
        <w:t>public class Producto {</w:t>
        <w:br/>
        <w:t xml:space="preserve">    @Id @GeneratedValue(strategy=GenerationType.IDENTITY)</w:t>
        <w:br/>
        <w:t xml:space="preserve">    private Long id;</w:t>
        <w:br/>
        <w:t xml:space="preserve">    @Column(nullable=false, unique=true, length=30)</w:t>
        <w:br/>
        <w:t xml:space="preserve">    private String codigo;</w:t>
        <w:br/>
        <w:t xml:space="preserve">    @Column(name="stock_minimo", nullable=false)</w:t>
        <w:br/>
        <w:t xml:space="preserve">    private Integer stockMinimo;</w:t>
        <w:br/>
        <w:t xml:space="preserve">    @ManyToOne(fetch=FetchType.LAZY, optional=false)</w:t>
        <w:br/>
        <w:t xml:space="preserve">    @JoinColumn(name="categoria_id", nullable=false)</w:t>
        <w:br/>
        <w:t xml:space="preserve">    private Categoria categoria;</w:t>
        <w:br/>
        <w:t>}</w:t>
      </w:r>
    </w:p>
    <w:p>
      <w:pPr>
        <w:spacing w:before="80" w:after="160" w:line="252" w:lineRule="auto"/>
        <w:shd w:fill="F3F4F6"/>
      </w:pPr>
      <w:r>
        <w:rPr>
          <w:rFonts w:ascii="Courier New" w:hAnsi="Courier New"/>
          <w:color w:val="000000"/>
          <w:sz w:val="18"/>
        </w:rPr>
        <w:t>@Entity</w:t>
        <w:br/>
        <w:t>@Table(name="existencias", uniqueConstraints=@UniqueConstraint(</w:t>
        <w:br/>
        <w:t xml:space="preserve">    columnNames={"producto_id","almacen_id"}))</w:t>
        <w:br/>
        <w:t>@Check(constraints="cantidad &gt;= 0")</w:t>
        <w:br/>
        <w:t>public class Existencia {</w:t>
        <w:br/>
        <w:t xml:space="preserve">    @Id @GeneratedValue(strategy=GenerationType.IDENTITY)</w:t>
        <w:br/>
        <w:t xml:space="preserve">    private Long id;</w:t>
        <w:br/>
        <w:t xml:space="preserve">    @ManyToOne(fetch=FetchType.LAZY, optional=false)</w:t>
        <w:br/>
        <w:t xml:space="preserve">    @JoinColumn(name="producto_id", nullable=false)</w:t>
        <w:br/>
        <w:t xml:space="preserve">    private Producto producto;</w:t>
        <w:br/>
        <w:t xml:space="preserve">    @ManyToOne(fetch=FetchType.LAZY, optional=false)</w:t>
        <w:br/>
        <w:t xml:space="preserve">    @JoinColumn(name="almacen_id", nullable=false)</w:t>
        <w:br/>
        <w:t xml:space="preserve">    private Almacen almacen;</w:t>
        <w:br/>
        <w:t xml:space="preserve">    @Column(nullable=false) private Integer cantidad = 0;</w:t>
        <w:br/>
        <w:t xml:space="preserve">    @Version private Long version;</w:t>
        <w:br/>
        <w:t>}</w:t>
      </w:r>
    </w:p>
    <w:p>
      <w:pPr>
        <w:jc w:val="both"/>
      </w:pPr>
      <w:r>
        <w:rPr>
          <w:b w:val="0"/>
        </w:rPr>
        <w:t>Los extractos omiten getters, setters e importaciones. @Check impide cantidades negativas en PostgreSQL, mientras @Version detecta modificaciones con una versión obsoleta. Los DTO evitan exponer las relaciones completas de Hibernate o el hash de la contraseña en las respuestas de la API.</w:t>
      </w:r>
    </w:p>
    <w:p>
      <w:pPr>
        <w:pStyle w:val="Ttulo2"/>
        <w:pageBreakBefore/>
      </w:pPr>
      <w:r>
        <w:t>1.3 Repositorios de Spring Data JPA</w:t>
      </w:r>
    </w:p>
    <w:p>
      <w:pPr>
        <w:jc w:val="both"/>
      </w:pPr>
      <w:r>
        <w:rPr>
          <w:b w:val="0"/>
        </w:rPr>
        <w:t>Las interfaces del paquete repository heredan de JpaRepository. Sus operaciones save, findById, findAll y delete permiten expresar el CRUD desde el dominio, mientras las consultas específicas se declaran con @Query o métodos derivados.</w:t>
      </w:r>
    </w:p>
    <w:p>
      <w:pPr>
        <w:spacing w:before="80" w:after="160" w:line="252" w:lineRule="auto"/>
        <w:shd w:fill="F3F4F6"/>
      </w:pPr>
      <w:r>
        <w:rPr>
          <w:rFonts w:ascii="Courier New" w:hAnsi="Courier New"/>
          <w:color w:val="000000"/>
          <w:sz w:val="18"/>
        </w:rPr>
        <w:t>public interface ProductoRepository</w:t>
        <w:br/>
        <w:t xml:space="preserve">        extends JpaRepository&lt;Producto,Long&gt; {</w:t>
        <w:br/>
        <w:t xml:space="preserve">    boolean existsByCategoriaId(Long id);</w:t>
        <w:br/>
        <w:t xml:space="preserve">    // buscar y bloquear se documentan en el capítulo 2</w:t>
        <w:br/>
        <w:t>}</w:t>
      </w:r>
    </w:p>
    <w:tbl>
      <w:tblPr>
        <w:tblW w:type="auto" w:w="0"/>
        <w:jc w:val="center"/>
        <w:tblLayout w:type="fixed"/>
        <w:tblLook w:firstColumn="1" w:firstRow="1" w:lastColumn="0" w:lastRow="0" w:noHBand="0" w:noVBand="1" w:val="04A0"/>
      </w:tblPr>
      <w:tblGrid>
        <w:gridCol w:w="2494"/>
        <w:gridCol w:w="1587"/>
        <w:gridCol w:w="4422"/>
      </w:tblGrid>
      <w:tr>
        <w:trPr>
          <w:cantSplit/>
          <w:tblHeader/>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1"/>
              </w:rPr>
              <w:t>Repositorio</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1"/>
              </w:rPr>
              <w:t>Entidad</w:t>
            </w:r>
          </w:p>
        </w:tc>
        <w:tc>
          <w:tcPr>
            <w:tcW w:type="dxa" w:w="442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1"/>
              </w:rPr>
              <w:t>Uso principal</w:t>
            </w:r>
          </w:p>
        </w:tc>
      </w:tr>
      <w:tr>
        <w:trPr>
          <w:cantSplit/>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UsuarioRepository</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Usuario</w:t>
            </w:r>
          </w:p>
        </w:tc>
        <w:tc>
          <w:tcPr>
            <w:tcW w:type="dxa" w:w="442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CRUD y búsqueda de login con bloqueo</w:t>
            </w:r>
          </w:p>
        </w:tc>
      </w:tr>
      <w:tr>
        <w:trPr>
          <w:cantSplit/>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RolRepository</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Rol</w:t>
            </w:r>
          </w:p>
        </w:tc>
        <w:tc>
          <w:tcPr>
            <w:tcW w:type="dxa" w:w="442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Roles por ID o nombre</w:t>
            </w:r>
          </w:p>
        </w:tc>
      </w:tr>
      <w:tr>
        <w:trPr>
          <w:cantSplit/>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PermisoRepository</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Permiso</w:t>
            </w:r>
          </w:p>
        </w:tc>
        <w:tc>
          <w:tcPr>
            <w:tcW w:type="dxa" w:w="442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Permisos válidos y módulos</w:t>
            </w:r>
          </w:p>
        </w:tc>
      </w:tr>
      <w:tr>
        <w:trPr>
          <w:cantSplit/>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SedeRepository</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Sede</w:t>
            </w:r>
          </w:p>
        </w:tc>
        <w:tc>
          <w:tcPr>
            <w:tcW w:type="dxa" w:w="442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CRUD de sedes</w:t>
            </w:r>
          </w:p>
        </w:tc>
      </w:tr>
      <w:tr>
        <w:trPr>
          <w:cantSplit/>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AlmacenRepository</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Almacen</w:t>
            </w:r>
          </w:p>
        </w:tc>
        <w:tc>
          <w:tcPr>
            <w:tcW w:type="dxa" w:w="442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CRUD y referencia a sede</w:t>
            </w:r>
          </w:p>
        </w:tc>
      </w:tr>
      <w:tr>
        <w:trPr>
          <w:cantSplit/>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CategoriaRepository</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Categoria</w:t>
            </w:r>
          </w:p>
        </w:tc>
        <w:tc>
          <w:tcPr>
            <w:tcW w:type="dxa" w:w="442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CRUD de categorías</w:t>
            </w:r>
          </w:p>
        </w:tc>
      </w:tr>
      <w:tr>
        <w:trPr>
          <w:cantSplit/>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ProductoRepository</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Producto</w:t>
            </w:r>
          </w:p>
        </w:tc>
        <w:tc>
          <w:tcPr>
            <w:tcW w:type="dxa" w:w="442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CRUD, filtros JPQL y bloqueo</w:t>
            </w:r>
          </w:p>
        </w:tc>
      </w:tr>
      <w:tr>
        <w:trPr>
          <w:cantSplit/>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ExistenciaRepository</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Existencia</w:t>
            </w:r>
          </w:p>
        </w:tc>
        <w:tc>
          <w:tcPr>
            <w:tcW w:type="dxa" w:w="442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Stock por producto y almacén</w:t>
            </w:r>
          </w:p>
        </w:tc>
      </w:tr>
      <w:tr>
        <w:trPr>
          <w:cantSplit/>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MovimientoRepository</w:t>
            </w:r>
          </w:p>
        </w:tc>
        <w:tc>
          <w:tcPr>
            <w:tcW w:type="dxa" w:w="1587"/>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Movimiento</w:t>
            </w:r>
          </w:p>
        </w:tc>
        <w:tc>
          <w:tcPr>
            <w:tcW w:type="dxa" w:w="442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Historial y referencias existentes</w:t>
            </w:r>
          </w:p>
        </w:tc>
      </w:tr>
    </w:tbl>
    <w:p>
      <w:pPr>
        <w:spacing w:after="20"/>
      </w:pPr>
    </w:p>
    <w:p>
      <w:pPr>
        <w:jc w:val="both"/>
      </w:pPr>
      <w:r>
        <w:rPr>
          <w:b w:val="0"/>
        </w:rPr>
        <w:t>Los servicios resuelven referencias mediante IDs y rechazan asociaciones inexistentes. Antes de eliminar una categoría se comprueba si tiene productos; antes de eliminar una sede se comprueba si tiene almacenes. El inventario y su historial impiden eliminar productos o almacenes que perderían trazabilidad.</w:t>
      </w:r>
    </w:p>
    <w:p>
      <w:pPr>
        <w:jc w:val="both"/>
      </w:pPr>
      <w:r>
        <w:rPr>
          <w:b w:val="0"/>
        </w:rPr>
        <w:t>Las restricciones de PostgreSQL constituyen una segunda validación ante solicitudes concurrentes. Un código duplicado o una operación que contradice estas relaciones retorna HTTP 409, sin publicar mensajes internos del motor de base de datos.</w:t>
      </w:r>
    </w:p>
    <w:p>
      <w:pPr>
        <w:pStyle w:val="Ttulo2"/>
        <w:pageBreakBefore/>
      </w:pPr>
      <w:r>
        <w:t>1.4 Evidencia de la persistencia en PostgreSQL</w:t>
      </w:r>
    </w:p>
    <w:p>
      <w:pPr>
        <w:jc w:val="both"/>
      </w:pPr>
      <w:r>
        <w:rPr>
          <w:b w:val="0"/>
        </w:rPr>
        <w:t>La siguiente figura reproduce la salida de psql obtenida de la base local después de ejecutar las solicitudes de prueba. Se observan las diez tablas creadas por Hibernate, las existencias y los movimientos almacenados.</w:t>
      </w:r>
    </w:p>
    <w:p>
      <w:pPr>
        <w:spacing w:after="80"/>
        <w:jc w:val="center"/>
      </w:pPr>
      <w:r>
        <w:drawing>
          <wp:inline xmlns:a="http://schemas.openxmlformats.org/drawingml/2006/main" xmlns:pic="http://schemas.openxmlformats.org/drawingml/2006/picture">
            <wp:extent cx="5220000" cy="3506612"/>
            <wp:docPr id="3" name="Picture 3"/>
            <wp:cNvGraphicFramePr>
              <a:graphicFrameLocks noChangeAspect="1"/>
            </wp:cNvGraphicFramePr>
            <a:graphic>
              <a:graphicData uri="http://schemas.openxmlformats.org/drawingml/2006/picture">
                <pic:pic>
                  <pic:nvPicPr>
                    <pic:cNvPr id="0" name="postgresql.png"/>
                    <pic:cNvPicPr/>
                  </pic:nvPicPr>
                  <pic:blipFill>
                    <a:blip r:embed="rId10"/>
                    <a:stretch>
                      <a:fillRect/>
                    </a:stretch>
                  </pic:blipFill>
                  <pic:spPr>
                    <a:xfrm>
                      <a:off x="0" y="0"/>
                      <a:ext cx="5220000" cy="3506612"/>
                    </a:xfrm>
                    <a:prstGeom prst="rect"/>
                  </pic:spPr>
                </pic:pic>
              </a:graphicData>
            </a:graphic>
          </wp:inline>
        </w:drawing>
      </w:r>
    </w:p>
    <w:p>
      <w:pPr>
        <w:spacing w:after="160"/>
        <w:jc w:val="center"/>
      </w:pPr>
      <w:r>
        <w:rPr>
          <w:i/>
          <w:sz w:val="20"/>
        </w:rPr>
        <w:t>Figura 2 Reporte real de PostgreSQL generado con scripts/evidencia-bd.sql</w:t>
      </w:r>
    </w:p>
    <w:p>
      <w:pPr>
        <w:jc w:val="both"/>
      </w:pPr>
      <w:r>
        <w:rPr>
          <w:b w:val="0"/>
        </w:rPr>
        <w:t>La entrada de 20 unidades y el traslado de 7 unidades producen dos existencias: 13 en el origen y 7 en el destino. Los dos movimientos persistidos permiten reconstruir la operación. El total continúa siendo 20 unidades.</w:t>
      </w:r>
    </w:p>
    <w:p>
      <w:pPr>
        <w:spacing w:before="80" w:after="160" w:line="252" w:lineRule="auto"/>
        <w:shd w:fill="F3F4F6"/>
      </w:pPr>
      <w:r>
        <w:rPr>
          <w:rFonts w:ascii="Courier New" w:hAnsi="Courier New"/>
          <w:color w:val="000000"/>
          <w:sz w:val="18"/>
        </w:rPr>
        <w:t>docker compose exec -T db psql -U intranet -d intranet -f - \</w:t>
        <w:br/>
        <w:t xml:space="preserve">  &lt; scripts/evidencia-bd.sql</w:t>
      </w:r>
    </w:p>
    <w:p>
      <w:pPr>
        <w:jc w:val="both"/>
      </w:pPr>
      <w:r>
        <w:rPr>
          <w:b w:val="0"/>
        </w:rPr>
        <w:t>Fuente de la evidencia: docs/evidencias/postgresql.txt. Los nombres de los registros son sintéticos y los códigos incluyen un sufijo de prueba. El archivo SQL consulta tablas y registros sin revelar contraseñas o claves de firma.</w:t>
      </w:r>
    </w:p>
    <w:p>
      <w:pPr>
        <w:pStyle w:val="Ttulo1"/>
        <w:pageBreakBefore/>
      </w:pPr>
      <w:r>
        <w:t>Capítulo 2 Operaciones CRUD JPQL y transacciones</w:t>
      </w:r>
    </w:p>
    <w:p>
      <w:pPr>
        <w:pStyle w:val="Ttulo2"/>
      </w:pPr>
      <w:r>
        <w:t>2.1 Servicios y operaciones CRUD</w:t>
      </w:r>
    </w:p>
    <w:p>
      <w:pPr>
        <w:jc w:val="both"/>
      </w:pPr>
      <w:r>
        <w:rPr>
          <w:b w:val="0"/>
        </w:rPr>
        <w:t>Se conserva la arquitectura Controller, DTO, Service, implementación y Repository. Los controladores validan entradas con @Valid y comprueban permisos. CatalogoServiceImpl implementa las operaciones del catálogo; UsuarioServiceImpl y RolServiceImpl administran usuarios y roles; InventarioServiceImpl ejecuta entradas y traslados.</w:t>
      </w:r>
    </w:p>
    <w:p>
      <w:pPr>
        <w:spacing w:after="80"/>
        <w:jc w:val="center"/>
      </w:pPr>
      <w:r>
        <w:drawing>
          <wp:inline xmlns:a="http://schemas.openxmlformats.org/drawingml/2006/main" xmlns:pic="http://schemas.openxmlformats.org/drawingml/2006/picture">
            <wp:extent cx="5400000" cy="2064706"/>
            <wp:docPr id="4" name="Picture 4"/>
            <wp:cNvGraphicFramePr>
              <a:graphicFrameLocks noChangeAspect="1"/>
            </wp:cNvGraphicFramePr>
            <a:graphic>
              <a:graphicData uri="http://schemas.openxmlformats.org/drawingml/2006/picture">
                <pic:pic>
                  <pic:nvPicPr>
                    <pic:cNvPr id="0" name="arquitectura.png"/>
                    <pic:cNvPicPr/>
                  </pic:nvPicPr>
                  <pic:blipFill>
                    <a:blip r:embed="rId11"/>
                    <a:stretch>
                      <a:fillRect/>
                    </a:stretch>
                  </pic:blipFill>
                  <pic:spPr>
                    <a:xfrm>
                      <a:off x="0" y="0"/>
                      <a:ext cx="5400000" cy="2064706"/>
                    </a:xfrm>
                    <a:prstGeom prst="rect"/>
                  </pic:spPr>
                </pic:pic>
              </a:graphicData>
            </a:graphic>
          </wp:inline>
        </w:drawing>
      </w:r>
    </w:p>
    <w:p>
      <w:pPr>
        <w:spacing w:after="160"/>
        <w:jc w:val="center"/>
      </w:pPr>
      <w:r>
        <w:rPr>
          <w:i/>
          <w:sz w:val="20"/>
        </w:rPr>
        <w:t>Figura 3 Flujo de una solicitud autenticada hasta la base de datos</w:t>
      </w:r>
    </w:p>
    <w:p>
      <w:pPr>
        <w:spacing w:before="80" w:after="160" w:line="252" w:lineRule="auto"/>
        <w:shd w:fill="F3F4F6"/>
      </w:pPr>
      <w:r>
        <w:rPr>
          <w:rFonts w:ascii="Courier New" w:hAnsi="Courier New"/>
          <w:color w:val="000000"/>
          <w:sz w:val="18"/>
        </w:rPr>
        <w:t>@Transactional</w:t>
        <w:br/>
        <w:t>public ProductoView guardarProducto(Long id, ProductoRequest r) {</w:t>
        <w:br/>
        <w:t xml:space="preserve">    var x = id == null ? new Producto() : obtener(productos,id);</w:t>
        <w:br/>
        <w:t xml:space="preserve">    x.setCodigo(r.codigo().trim().toUpperCase());</w:t>
        <w:br/>
        <w:t xml:space="preserve">    x.setNombre(r.nombre().trim());</w:t>
        <w:br/>
        <w:t xml:space="preserve">    x.setUnidadMedida(r.unidadMedida().trim());</w:t>
        <w:br/>
        <w:t xml:space="preserve">    x.setStockMinimo(r.stockMinimo());</w:t>
        <w:br/>
        <w:t xml:space="preserve">    x.setCategoria(obtener(categorias,r.categoriaId()));</w:t>
        <w:br/>
        <w:t xml:space="preserve">    return ProductoView.from(productos.saveAndFlush(x));</w:t>
        <w:br/>
        <w:t>}</w:t>
      </w:r>
    </w:p>
    <w:tbl>
      <w:tblPr>
        <w:tblW w:type="auto" w:w="0"/>
        <w:jc w:val="center"/>
        <w:tblLayout w:type="fixed"/>
        <w:tblLook w:firstColumn="1" w:firstRow="1" w:lastColumn="0" w:lastRow="0" w:noHBand="0" w:noVBand="1" w:val="04A0"/>
      </w:tblPr>
      <w:tblGrid>
        <w:gridCol w:w="2154"/>
        <w:gridCol w:w="1474"/>
        <w:gridCol w:w="4876"/>
      </w:tblGrid>
      <w:tr>
        <w:trPr>
          <w:cantSplit/>
          <w:tblHeader/>
        </w:trPr>
        <w:tc>
          <w:tcPr>
            <w:tcW w:type="dxa" w:w="215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1"/>
              </w:rPr>
              <w:t>Operación</w:t>
            </w:r>
          </w:p>
        </w:tc>
        <w:tc>
          <w:tcPr>
            <w:tcW w:type="dxa" w:w="147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1"/>
              </w:rPr>
              <w:t>Respuesta</w:t>
            </w:r>
          </w:p>
        </w:tc>
        <w:tc>
          <w:tcPr>
            <w:tcW w:type="dxa" w:w="48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1"/>
              </w:rPr>
              <w:t>Comportamiento</w:t>
            </w:r>
          </w:p>
        </w:tc>
      </w:tr>
      <w:tr>
        <w:trPr>
          <w:cantSplit/>
        </w:trPr>
        <w:tc>
          <w:tcPr>
            <w:tcW w:type="dxa" w:w="215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POST</w:t>
            </w:r>
          </w:p>
        </w:tc>
        <w:tc>
          <w:tcPr>
            <w:tcW w:type="dxa" w:w="147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201</w:t>
            </w:r>
          </w:p>
        </w:tc>
        <w:tc>
          <w:tcPr>
            <w:tcW w:type="dxa" w:w="48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Crear un registro validado</w:t>
            </w:r>
          </w:p>
        </w:tc>
      </w:tr>
      <w:tr>
        <w:trPr>
          <w:cantSplit/>
        </w:trPr>
        <w:tc>
          <w:tcPr>
            <w:tcW w:type="dxa" w:w="215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GET</w:t>
            </w:r>
          </w:p>
        </w:tc>
        <w:tc>
          <w:tcPr>
            <w:tcW w:type="dxa" w:w="147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200</w:t>
            </w:r>
          </w:p>
        </w:tc>
        <w:tc>
          <w:tcPr>
            <w:tcW w:type="dxa" w:w="48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Consultar datos existentes</w:t>
            </w:r>
          </w:p>
        </w:tc>
      </w:tr>
      <w:tr>
        <w:trPr>
          <w:cantSplit/>
        </w:trPr>
        <w:tc>
          <w:tcPr>
            <w:tcW w:type="dxa" w:w="215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PUT</w:t>
            </w:r>
          </w:p>
        </w:tc>
        <w:tc>
          <w:tcPr>
            <w:tcW w:type="dxa" w:w="147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200</w:t>
            </w:r>
          </w:p>
        </w:tc>
        <w:tc>
          <w:tcPr>
            <w:tcW w:type="dxa" w:w="48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Actualizar un registro por ID</w:t>
            </w:r>
          </w:p>
        </w:tc>
      </w:tr>
      <w:tr>
        <w:trPr>
          <w:cantSplit/>
        </w:trPr>
        <w:tc>
          <w:tcPr>
            <w:tcW w:type="dxa" w:w="215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DELETE</w:t>
            </w:r>
          </w:p>
        </w:tc>
        <w:tc>
          <w:tcPr>
            <w:tcW w:type="dxa" w:w="147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204</w:t>
            </w:r>
          </w:p>
        </w:tc>
        <w:tc>
          <w:tcPr>
            <w:tcW w:type="dxa" w:w="48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Eliminar cuando no hay referencias</w:t>
            </w:r>
          </w:p>
        </w:tc>
      </w:tr>
      <w:tr>
        <w:trPr>
          <w:cantSplit/>
        </w:trPr>
        <w:tc>
          <w:tcPr>
            <w:tcW w:type="dxa" w:w="215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Entrada incorrecta</w:t>
            </w:r>
          </w:p>
        </w:tc>
        <w:tc>
          <w:tcPr>
            <w:tcW w:type="dxa" w:w="147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400 404 409</w:t>
            </w:r>
          </w:p>
        </w:tc>
        <w:tc>
          <w:tcPr>
            <w:tcW w:type="dxa" w:w="48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Validación, ausencia o conflicto</w:t>
            </w:r>
          </w:p>
        </w:tc>
      </w:tr>
    </w:tbl>
    <w:p>
      <w:pPr>
        <w:spacing w:after="20"/>
      </w:pPr>
    </w:p>
    <w:p>
      <w:pPr>
        <w:pStyle w:val="Ttulo2"/>
        <w:pageBreakBefore/>
      </w:pPr>
      <w:r>
        <w:t>2.2 Consultas avanzadas con JPQL</w:t>
      </w:r>
    </w:p>
    <w:p>
      <w:pPr>
        <w:jc w:val="both"/>
      </w:pPr>
      <w:r>
        <w:rPr>
          <w:b w:val="0"/>
        </w:rPr>
        <w:t>Se implementan consultas sobre entidades y atributos Java, con parámetros enlazados por @Param. La búsqueda de productos combina categoría y texto sin construir SQL con datos del usuario.</w:t>
      </w:r>
    </w:p>
    <w:p>
      <w:pPr>
        <w:spacing w:before="80" w:after="160" w:line="252" w:lineRule="auto"/>
        <w:shd w:fill="F3F4F6"/>
      </w:pPr>
      <w:r>
        <w:rPr>
          <w:rFonts w:ascii="Courier New" w:hAnsi="Courier New"/>
          <w:color w:val="000000"/>
          <w:sz w:val="18"/>
        </w:rPr>
        <w:t>@Query("""</w:t>
        <w:br/>
        <w:t xml:space="preserve">    select p from Producto p join fetch p.categoria c</w:t>
        <w:br/>
        <w:t xml:space="preserve">    where (:categoriaId is null or c.id = :categoriaId)</w:t>
        <w:br/>
        <w:t xml:space="preserve">      and (lower(p.nombre) like lower(concat('%', :texto, '%'))</w:t>
        <w:br/>
        <w:t xml:space="preserve">        or lower(p.codigo) like lower(concat('%', :texto, '%')))</w:t>
        <w:br/>
        <w:t xml:space="preserve">    order by p.codigo</w:t>
        <w:br/>
        <w:t xml:space="preserve">    """)</w:t>
        <w:br/>
        <w:t>List&lt;Producto&gt; buscar(@Param("categoriaId") Long categoriaId,</w:t>
        <w:br/>
        <w:t xml:space="preserve">                      @Param("texto") String texto);</w:t>
      </w:r>
    </w:p>
    <w:p>
      <w:pPr>
        <w:jc w:val="both"/>
      </w:pPr>
      <w:r>
        <w:rPr>
          <w:b w:val="0"/>
        </w:rPr>
        <w:t>La segunda consulta filtra existencias por almacén y categoría. Al activar critico, devuelve registros cuya cantidad es menor o igual al stock mínimo del producto. JOIN FETCH recupera los datos requeridos para convertir la respuesta a DTO dentro de la transacción de lectura.</w:t>
      </w:r>
    </w:p>
    <w:p>
      <w:pPr>
        <w:spacing w:before="80" w:after="160" w:line="252" w:lineRule="auto"/>
        <w:shd w:fill="F3F4F6"/>
      </w:pPr>
      <w:r>
        <w:rPr>
          <w:rFonts w:ascii="Courier New" w:hAnsi="Courier New"/>
          <w:color w:val="000000"/>
          <w:sz w:val="18"/>
        </w:rPr>
        <w:t>@Query("""</w:t>
        <w:br/>
        <w:t xml:space="preserve">    select e from Existencia e</w:t>
        <w:br/>
        <w:t xml:space="preserve">    join fetch e.producto p join fetch p.categoria c</w:t>
        <w:br/>
        <w:t xml:space="preserve">    join fetch e.almacen a</w:t>
        <w:br/>
        <w:t xml:space="preserve">    where (:almacenId is null or a.id = :almacenId)</w:t>
        <w:br/>
        <w:t xml:space="preserve">      and (:categoriaId is null or c.id = :categoriaId)</w:t>
        <w:br/>
        <w:t xml:space="preserve">      and (:critico = false or e.cantidad &lt;= p.stockMinimo)</w:t>
        <w:br/>
        <w:t xml:space="preserve">    order by a.codigo, p.codigo</w:t>
        <w:br/>
        <w:t xml:space="preserve">    """)</w:t>
        <w:br/>
        <w:t>List&lt;Existencia&gt; buscar(@Param("almacenId") Long almacenId,</w:t>
        <w:br/>
        <w:t xml:space="preserve">    @Param("categoriaId") Long categoriaId,</w:t>
        <w:br/>
        <w:t xml:space="preserve">    @Param("critico") boolean critico);</w:t>
      </w:r>
    </w:p>
    <w:p>
      <w:pPr>
        <w:spacing w:before="80" w:after="160" w:line="252" w:lineRule="auto"/>
        <w:shd w:fill="F3F4F6"/>
      </w:pPr>
      <w:r>
        <w:rPr>
          <w:rFonts w:ascii="Courier New" w:hAnsi="Courier New"/>
          <w:color w:val="000000"/>
          <w:sz w:val="18"/>
        </w:rPr>
        <w:t>GET /api/v1/productos?categoriaId=&lt;id&gt;&amp;texto=actualizado</w:t>
        <w:br/>
        <w:t>GET /api/v1/inventario?almacenId=&lt;id&gt;&amp;categoriaId=&lt;id&gt;&amp;critico=true</w:t>
      </w:r>
    </w:p>
    <w:p>
      <w:pPr>
        <w:jc w:val="both"/>
      </w:pPr>
      <w:r>
        <w:rPr>
          <w:b w:val="0"/>
        </w:rPr>
        <w:t>Los fragmentos presentan el mismo contenido JPQL con saltos de línea para facilitar la lectura. Los casos 13 y 20 del reporte de cURL comprueban la búsqueda de producto y el stock crítico del almacén destino. Los filtros se encuentran en ProductoRepository y ExistenciaRepository.</w:t>
      </w:r>
    </w:p>
    <w:p>
      <w:pPr>
        <w:pStyle w:val="Ttulo2"/>
        <w:pageBreakBefore/>
      </w:pPr>
      <w:r>
        <w:t>2.3 Manejo transaccional del inventario</w:t>
      </w:r>
    </w:p>
    <w:p>
      <w:pPr>
        <w:jc w:val="both"/>
      </w:pPr>
      <w:r>
        <w:rPr>
          <w:b w:val="0"/>
        </w:rPr>
        <w:t>Una transferencia debe descontar unidades del origen, sumar las mismas unidades al destino y registrar el movimiento. Los tres cambios se ejecutan bajo @Transactional. Si ocurre una excepción, se revierte la unidad completa de trabajo.</w:t>
      </w:r>
    </w:p>
    <w:p>
      <w:pPr>
        <w:spacing w:before="80" w:after="160" w:line="252" w:lineRule="auto"/>
        <w:shd w:fill="F3F4F6"/>
      </w:pPr>
      <w:r>
        <w:rPr>
          <w:rFonts w:ascii="Courier New" w:hAnsi="Courier New"/>
          <w:color w:val="000000"/>
          <w:sz w:val="18"/>
        </w:rPr>
        <w:t>@Transactional</w:t>
        <w:br/>
        <w:t>public MovimientoView trasladar(TrasladoRequest r, String responsable) {</w:t>
        <w:br/>
        <w:t xml:space="preserve">    if (r.origenId().equals(r.destinoId()))</w:t>
        <w:br/>
        <w:t xml:space="preserve">        throw new IllegalArgumentException("Almacenes distintos requeridos");</w:t>
        <w:br/>
        <w:t xml:space="preserve">    Producto producto = bloquear(r.productoId());</w:t>
        <w:br/>
        <w:t xml:space="preserve">    Almacen origen = almacen(r.origenId());</w:t>
        <w:br/>
        <w:t xml:space="preserve">    Existencia salida = stock(producto,origen);</w:t>
        <w:br/>
        <w:t xml:space="preserve">    if (salida.getCantidad() &lt; r.cantidad())</w:t>
        <w:br/>
        <w:t xml:space="preserve">        throw new IllegalStateException("Stock insuficiente");</w:t>
        <w:br/>
        <w:t xml:space="preserve">    salida.setCantidad(salida.getCantidad()-r.cantidad());</w:t>
        <w:br/>
        <w:t xml:space="preserve">    existencias.saveAndFlush(salida);</w:t>
        <w:br/>
        <w:t xml:space="preserve">    Almacen destino = almacen(r.destinoId());</w:t>
        <w:br/>
        <w:t xml:space="preserve">    Existencia llegada = stock(producto,destino);</w:t>
        <w:br/>
        <w:t xml:space="preserve">    llegada.setCantidad(Math.addExact(llegada.getCantidad(),r.cantidad()));</w:t>
        <w:br/>
        <w:t xml:space="preserve">    existencias.save(llegada);</w:t>
        <w:br/>
        <w:t xml:space="preserve">    return registrar(producto,origen,destino,r.cantidad(),</w:t>
        <w:br/>
        <w:t xml:space="preserve">        "TRASLADO",r.motivo(),responsable);</w:t>
        <w:br/>
        <w:t>}</w:t>
      </w:r>
    </w:p>
    <w:p>
      <w:pPr>
        <w:spacing w:before="80" w:after="160" w:line="252" w:lineRule="auto"/>
        <w:shd w:fill="F3F4F6"/>
      </w:pPr>
      <w:r>
        <w:rPr>
          <w:rFonts w:ascii="Courier New" w:hAnsi="Courier New"/>
          <w:color w:val="000000"/>
          <w:sz w:val="18"/>
        </w:rPr>
        <w:t>@Lock(LockModeType.PESSIMISTIC_WRITE)</w:t>
        <w:br/>
        <w:t>@Query("select p from Producto p where p.id = :id")</w:t>
        <w:br/>
        <w:t>Optional&lt;Producto&gt; bloquear(@Param("id") Long id);</w:t>
      </w:r>
    </w:p>
    <w:p>
      <w:pPr>
        <w:jc w:val="both"/>
      </w:pPr>
      <w:r>
        <w:rPr>
          <w:b w:val="0"/>
        </w:rPr>
        <w:t>El bloqueo de la fila del producto serializa sus movimientos hasta finalizar la transacción. Así, dos solicitudes no consumen el mismo stock ni crean dos existencias para el mismo producto y almacén. @Version y las restricciones del esquema añaden protección a la persistencia.</w:t>
      </w:r>
    </w:p>
    <w:p>
      <w:pPr>
        <w:jc w:val="both"/>
      </w:pPr>
      <w:r>
        <w:rPr>
          <w:b w:val="0"/>
        </w:rPr>
        <w:t>La prueba de rollback usa un destino inexistente después de saveAndFlush de la salida. PostgreSQL recibe una actualización temporal, pero el error revierte el cambio: el origen conserva 13 unidades y no se añade un movimiento. La prueba de concurrencia inicia dos traslados de 7 unidades sobre un origen con 10; uno se confirma y el otro se rechaza.</w:t>
      </w:r>
    </w:p>
    <w:p>
      <w:pPr>
        <w:pStyle w:val="Ttulo2"/>
        <w:pageBreakBefore/>
      </w:pPr>
      <w:r>
        <w:t>2.4 Evidencia de operaciones CRUD</w:t>
      </w:r>
    </w:p>
    <w:p>
      <w:pPr>
        <w:jc w:val="both"/>
      </w:pPr>
      <w:r>
        <w:rPr>
          <w:b w:val="0"/>
        </w:rPr>
        <w:t>Las pruebas HTTP se ejecutaron contra la aplicación iniciada con su PostgreSQL local. La figura reúne creación, lectura y actualización de un producto, junto con la eliminación de otro producto temporal sin referencias.</w:t>
      </w:r>
    </w:p>
    <w:p>
      <w:pPr>
        <w:spacing w:after="80"/>
        <w:jc w:val="center"/>
      </w:pPr>
      <w:r>
        <w:drawing>
          <wp:inline xmlns:a="http://schemas.openxmlformats.org/drawingml/2006/main" xmlns:pic="http://schemas.openxmlformats.org/drawingml/2006/picture">
            <wp:extent cx="5220000" cy="2846435"/>
            <wp:docPr id="5" name="Picture 5"/>
            <wp:cNvGraphicFramePr>
              <a:graphicFrameLocks noChangeAspect="1"/>
            </wp:cNvGraphicFramePr>
            <a:graphic>
              <a:graphicData uri="http://schemas.openxmlformats.org/drawingml/2006/picture">
                <pic:pic>
                  <pic:nvPicPr>
                    <pic:cNvPr id="0" name="crud.png"/>
                    <pic:cNvPicPr/>
                  </pic:nvPicPr>
                  <pic:blipFill>
                    <a:blip r:embed="rId12"/>
                    <a:stretch>
                      <a:fillRect/>
                    </a:stretch>
                  </pic:blipFill>
                  <pic:spPr>
                    <a:xfrm>
                      <a:off x="0" y="0"/>
                      <a:ext cx="5220000" cy="2846435"/>
                    </a:xfrm>
                    <a:prstGeom prst="rect"/>
                  </pic:spPr>
                </pic:pic>
              </a:graphicData>
            </a:graphic>
          </wp:inline>
        </w:drawing>
      </w:r>
    </w:p>
    <w:p>
      <w:pPr>
        <w:spacing w:after="160"/>
        <w:jc w:val="center"/>
      </w:pPr>
      <w:r>
        <w:rPr>
          <w:i/>
          <w:sz w:val="20"/>
        </w:rPr>
        <w:t>Figura 4 Reporte de solicitudes CRUD reales con sus estados HTTP</w:t>
      </w:r>
    </w:p>
    <w:p>
      <w:pPr>
        <w:jc w:val="both"/>
      </w:pPr>
      <w:r>
        <w:rPr>
          <w:b w:val="0"/>
        </w:rPr>
        <w:t>El producto del inventario permanece guardado para conservar los movimientos de prueba. La eliminación se comprueba con un producto temporal diferente, seguido por una consulta que devuelve 404. La eliminación de un producto con historial devuelve 409.</w:t>
      </w:r>
    </w:p>
    <w:p>
      <w:pPr>
        <w:jc w:val="both"/>
      </w:pPr>
      <w:r>
        <w:rPr>
          <w:b w:val="0"/>
        </w:rPr>
        <w:t>Las respuestas completas se conservan en resultados-api.json y resultados-api.md. La guía admite reportes de cURL como evidencia de API. Las figuras de este informe corresponden a exportaciones de los resultados obtenidos mediante cURL. La colección de Postman se entrega para repetir y visualizar las mismas operaciones.</w:t>
      </w:r>
    </w:p>
    <w:p>
      <w:pPr>
        <w:pStyle w:val="Ttulo1"/>
        <w:pageBreakBefore/>
      </w:pPr>
      <w:r>
        <w:t>Capítulo 3 Seguridad y autenticación JWT</w:t>
      </w:r>
    </w:p>
    <w:p>
      <w:pPr>
        <w:pStyle w:val="Ttulo2"/>
      </w:pPr>
      <w:r>
        <w:t>3.1 Reglas de acceso y permisos</w:t>
      </w:r>
    </w:p>
    <w:p>
      <w:pPr>
        <w:jc w:val="both"/>
      </w:pPr>
      <w:r>
        <w:rPr>
          <w:b w:val="0"/>
        </w:rPr>
        <w:t>SecurityFilterChain configura una API sin sesiones de servidor. Solo el login y el estado público permiten acceso anónimo. El registro de usuarios exige permiso administrativo para evitar que cualquier visitante asigne roles.</w:t>
      </w:r>
    </w:p>
    <w:p>
      <w:pPr>
        <w:spacing w:before="80" w:after="160" w:line="252" w:lineRule="auto"/>
        <w:shd w:fill="F3F4F6"/>
      </w:pPr>
      <w:r>
        <w:rPr>
          <w:rFonts w:ascii="Courier New" w:hAnsi="Courier New"/>
          <w:color w:val="000000"/>
          <w:sz w:val="18"/>
        </w:rPr>
        <w:t>.sessionManagement(s -&gt;</w:t>
        <w:br/>
        <w:t xml:space="preserve">    s.sessionCreationPolicy(SessionCreationPolicy.STATELESS))</w:t>
        <w:br/>
        <w:t>.authorizeHttpRequests(a -&gt; a</w:t>
        <w:br/>
        <w:t xml:space="preserve">    .requestMatchers(HttpMethod.POST,"/api/v1/auth/login").permitAll()</w:t>
        <w:br/>
        <w:t xml:space="preserve">    .requestMatchers(HttpMethod.GET,"/api/v1/public/estado").permitAll()</w:t>
        <w:br/>
        <w:t xml:space="preserve">    .anyRequest().authenticated())</w:t>
        <w:br/>
        <w:t>.addFilterBefore(jwtFilter,UsernamePasswordAuthenticationFilter.class)</w:t>
      </w:r>
    </w:p>
    <w:p>
      <w:pPr>
        <w:jc w:val="both"/>
      </w:pPr>
      <w:r>
        <w:rPr>
          <w:b w:val="0"/>
        </w:rPr>
        <w:t>Las decisiones de negocio se expresan con @PreAuthorize. La presencia de un token válido identifica al usuario; sus permisos determinan qué operación puede ejecutar. La denegación por ausencia de autenticación retorna 401 y la falta de permiso retorna 403.</w:t>
      </w:r>
    </w:p>
    <w:tbl>
      <w:tblPr>
        <w:tblW w:type="auto" w:w="0"/>
        <w:jc w:val="center"/>
        <w:tblLayout w:type="fixed"/>
        <w:tblLook w:firstColumn="1" w:firstRow="1" w:lastColumn="0" w:lastRow="0" w:noHBand="0" w:noVBand="1" w:val="04A0"/>
      </w:tblPr>
      <w:tblGrid>
        <w:gridCol w:w="1928"/>
        <w:gridCol w:w="3288"/>
        <w:gridCol w:w="3288"/>
      </w:tblGrid>
      <w:tr>
        <w:trPr>
          <w:cantSplit/>
          <w:tblHeader/>
        </w:trPr>
        <w:tc>
          <w:tcPr>
            <w:tcW w:type="dxa" w:w="1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2"/>
              </w:rPr>
              <w:t>Rol inicial</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2"/>
              </w:rPr>
              <w:t>Lectura</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2"/>
              </w:rPr>
              <w:t>Escritura</w:t>
            </w:r>
          </w:p>
        </w:tc>
      </w:tr>
      <w:tr>
        <w:trPr>
          <w:cantSplit/>
        </w:trPr>
        <w:tc>
          <w:tcPr>
            <w:tcW w:type="dxa" w:w="1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2"/>
              </w:rPr>
              <w:t>ADMIN</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2"/>
              </w:rPr>
              <w:t>Usuarios, roles y catálogo</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2"/>
              </w:rPr>
              <w:t>Administración e inventario</w:t>
            </w:r>
          </w:p>
        </w:tc>
      </w:tr>
      <w:tr>
        <w:trPr>
          <w:cantSplit/>
        </w:trPr>
        <w:tc>
          <w:tcPr>
            <w:tcW w:type="dxa" w:w="1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2"/>
              </w:rPr>
              <w:t>ALMACENERO</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2"/>
              </w:rPr>
              <w:t>Catálogo, stock e historial</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2"/>
              </w:rPr>
              <w:t>Catálogo, entradas y traslados</w:t>
            </w:r>
          </w:p>
        </w:tc>
      </w:tr>
      <w:tr>
        <w:trPr>
          <w:cantSplit/>
        </w:trPr>
        <w:tc>
          <w:tcPr>
            <w:tcW w:type="dxa" w:w="1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2"/>
              </w:rPr>
              <w:t>AUDITOR</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2"/>
              </w:rPr>
              <w:t>Catálogo, stock e historial</w:t>
            </w:r>
          </w:p>
        </w:tc>
        <w:tc>
          <w:tcPr>
            <w:tcW w:type="dxa" w:w="32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2"/>
              </w:rPr>
              <w:t>Sin permisos de escritura</w:t>
            </w:r>
          </w:p>
        </w:tc>
      </w:tr>
    </w:tbl>
    <w:p>
      <w:pPr>
        <w:spacing w:after="20"/>
      </w:pPr>
    </w:p>
    <w:p>
      <w:pPr>
        <w:spacing w:before="80" w:after="160" w:line="252" w:lineRule="auto"/>
        <w:shd w:fill="F3F4F6"/>
      </w:pPr>
      <w:r>
        <w:rPr>
          <w:rFonts w:ascii="Courier New" w:hAnsi="Courier New"/>
          <w:color w:val="000000"/>
          <w:sz w:val="18"/>
        </w:rPr>
        <w:t>@PreAuthorize("hasAuthority('INVENTARIO_GESTIONAR')")</w:t>
        <w:br/>
        <w:t>@PostMapping</w:t>
        <w:br/>
        <w:t>public ResponseEntity&lt;ProductoView&gt; crear(</w:t>
        <w:br/>
        <w:t xml:space="preserve">    @Valid @RequestBody ProductoRequest r) { ... }</w:t>
      </w:r>
    </w:p>
    <w:p>
      <w:pPr>
        <w:jc w:val="both"/>
      </w:pPr>
      <w:r>
        <w:rPr>
          <w:b w:val="0"/>
        </w:rPr>
        <w:t>CSRF se desactiva para esta API que recibe el JWT en el encabezado Authorization y no utiliza cookies de sesión. CORS permite los orígenes declarados en CORS_ORIGINS, inicialmente localhost:4200. CORS no sustituye la autenticación ni las reglas de permisos.</w:t>
      </w:r>
    </w:p>
    <w:p>
      <w:pPr>
        <w:pStyle w:val="Ttulo2"/>
        <w:pageBreakBefore/>
      </w:pPr>
      <w:r>
        <w:t>3.2 Generación y validación del token</w:t>
      </w:r>
    </w:p>
    <w:p>
      <w:pPr>
        <w:jc w:val="both"/>
      </w:pPr>
      <w:r>
        <w:rPr>
          <w:b w:val="0"/>
        </w:rPr>
        <w:t>El login valida la contraseña mediante Spring Security y BCrypt. Una autenticación correcta produce un JWT firmado con una SecretKey obtenida de JWT_SECRET, cuyo valor local es aleatorio y está codificado en Base64.</w:t>
      </w:r>
    </w:p>
    <w:p>
      <w:pPr>
        <w:spacing w:before="80" w:after="160" w:line="252" w:lineRule="auto"/>
        <w:shd w:fill="F3F4F6"/>
      </w:pPr>
      <w:r>
        <w:rPr>
          <w:rFonts w:ascii="Courier New" w:hAnsi="Courier New"/>
          <w:color w:val="000000"/>
          <w:sz w:val="18"/>
        </w:rPr>
        <w:t>private SecretKey key() {</w:t>
        <w:br/>
        <w:t xml:space="preserve">    return Keys.hmacShaKeyFor(Decoders.BASE64.decode(jwtSecret));</w:t>
        <w:br/>
        <w:t>}</w:t>
        <w:br/>
        <w:t>public String generarToken(Authentication authentication) {</w:t>
        <w:br/>
        <w:t xml:space="preserve">    String username = authentication.getName();</w:t>
        <w:br/>
        <w:t xml:space="preserve">    Date fechaActual = new Date();</w:t>
        <w:br/>
        <w:t xml:space="preserve">    Date fechaExpiracion =</w:t>
        <w:br/>
        <w:t xml:space="preserve">        new Date(fechaActual.getTime()+jwtExpirationDate);</w:t>
        <w:br/>
        <w:t xml:space="preserve">    return Jwts.builder()</w:t>
        <w:br/>
        <w:t xml:space="preserve">        .subject(username)</w:t>
        <w:br/>
        <w:t xml:space="preserve">        .issuedAt(fechaActual)</w:t>
        <w:br/>
        <w:t xml:space="preserve">        .expiration(fechaExpiracion)</w:t>
        <w:br/>
        <w:t xml:space="preserve">        .signWith(key())</w:t>
        <w:br/>
        <w:t xml:space="preserve">        .compact();</w:t>
        <w:br/>
        <w:t>}</w:t>
      </w:r>
    </w:p>
    <w:p>
      <w:pPr>
        <w:spacing w:before="80" w:after="160" w:line="252" w:lineRule="auto"/>
        <w:shd w:fill="F3F4F6"/>
      </w:pPr>
      <w:r>
        <w:rPr>
          <w:rFonts w:ascii="Courier New" w:hAnsi="Courier New"/>
          <w:color w:val="000000"/>
          <w:sz w:val="18"/>
        </w:rPr>
        <w:t>return Jwts.parser()</w:t>
        <w:br/>
        <w:t xml:space="preserve">    .verifyWith(key())</w:t>
        <w:br/>
        <w:t xml:space="preserve">    .build()</w:t>
        <w:br/>
        <w:t xml:space="preserve">    .parseSignedClaims(token)</w:t>
        <w:br/>
        <w:t xml:space="preserve">    .getPayload()</w:t>
        <w:br/>
        <w:t xml:space="preserve">    .getSubject();</w:t>
      </w:r>
    </w:p>
    <w:p>
      <w:pPr>
        <w:jc w:val="both"/>
      </w:pPr>
      <w:r>
        <w:rPr>
          <w:b w:val="0"/>
        </w:rPr>
        <w:t>JWT_EXPIRATION configura el tiempo de vigencia, con una hora como valor inicial. JJWT selecciona el algoritmo HMAC compatible con el tamaño de la clave; el entorno de demostración generó HS384 con una clave aleatoria de 48 bytes. La prueba registra el algoritmo sin publicar el token.</w:t>
      </w:r>
    </w:p>
    <w:p>
      <w:pPr>
        <w:jc w:val="both"/>
      </w:pPr>
      <w:r>
        <w:rPr>
          <w:b w:val="0"/>
        </w:rPr>
        <w:t>Un JWT firmado permite comprobar integridad y autenticidad, pero su contenido no está cifrado. En este proyecto contiene el sujeto y las fechas de emisión y expiración; los permisos se recuperan de la base de datos. Una firma alterada, un formato inválido o una fecha expirada impiden el acceso y producen HTTP 401.</w:t>
      </w:r>
    </w:p>
    <w:p>
      <w:pPr>
        <w:jc w:val="both"/>
      </w:pPr>
      <w:r>
        <w:rPr>
          <w:b w:val="0"/>
        </w:rPr>
        <w:t>Los valores de firma y las contraseñas no se escriben en el código, las evidencias ni la colección exportada. Las respuestas de usuario tampoco incluyen la contraseña o su hash.</w:t>
      </w:r>
    </w:p>
    <w:p>
      <w:pPr>
        <w:pStyle w:val="Ttulo2"/>
        <w:pageBreakBefore/>
      </w:pPr>
      <w:r>
        <w:t>3.3 Filtro de autenticación y vigencia del usuario</w:t>
      </w:r>
    </w:p>
    <w:p>
      <w:pPr>
        <w:jc w:val="both"/>
      </w:pPr>
      <w:r>
        <w:rPr>
          <w:b w:val="0"/>
        </w:rPr>
        <w:t>JwtAuthenticationFilter extiende OncePerRequestFilter. Lee el encabezado Bearer, valida el token y obtiene el usuario vigente. Solo entonces establece Authentication en SecurityContextHolder y permite que continúe la solicitud.</w:t>
      </w:r>
    </w:p>
    <w:p>
      <w:pPr>
        <w:spacing w:before="80" w:after="160" w:line="252" w:lineRule="auto"/>
        <w:shd w:fill="F3F4F6"/>
      </w:pPr>
      <w:r>
        <w:rPr>
          <w:rFonts w:ascii="Courier New" w:hAnsi="Courier New"/>
          <w:color w:val="000000"/>
          <w:sz w:val="18"/>
        </w:rPr>
        <w:t>String header = req.getHeader("Authorization");</w:t>
        <w:br/>
        <w:t>String email = tokens.obtenerUsernameDelJWT(header.substring(7));</w:t>
        <w:br/>
        <w:t>var user = users.loadUserByUsername(email);</w:t>
        <w:br/>
        <w:t>if (!user.isEnabled() || !user.isAccountNonLocked())</w:t>
        <w:br/>
        <w:t xml:space="preserve">    throw new IllegalArgumentException();</w:t>
        <w:br/>
        <w:t>var auth = new UsernamePasswordAuthenticationToken(</w:t>
        <w:br/>
        <w:t xml:space="preserve">    user,null,user.getAuthorities());</w:t>
        <w:br/>
        <w:t>SecurityContextHolder.getContext().setAuthentication(auth);</w:t>
      </w:r>
    </w:p>
    <w:p>
      <w:pPr>
        <w:jc w:val="both"/>
      </w:pPr>
      <w:r>
        <w:rPr>
          <w:b w:val="0"/>
        </w:rPr>
        <w:t>El filtro captura JwtException, IllegalArgumentException y UsernameNotFoundException. Así, una firma incorrecta o un usuario eliminado se trata como un acceso no autenticado, en lugar de propagarse como un error 500. El encabezado con un formato distinto a Bearer también se rechaza.</w:t>
      </w:r>
    </w:p>
    <w:p>
      <w:pPr>
        <w:pStyle w:val="Ttulo2"/>
      </w:pPr>
      <w:r>
        <w:t>Control de intentos fallidos</w:t>
      </w:r>
    </w:p>
    <w:p>
      <w:pPr>
        <w:jc w:val="both"/>
      </w:pPr>
      <w:r>
        <w:rPr>
          <w:b w:val="0"/>
        </w:rPr>
        <w:t>El login bloquea la fila de Usuario durante su actualización. Cada contraseña incorrecta incrementa intentosFallidos; el quinto fallo marca la cuenta como bloqueada y devuelve HTTP 423. La transacción usa noRollbackFor para conservar el contador aunque se lance una excepción de autenticación. Un login válido reinicia el contador.</w:t>
      </w:r>
    </w:p>
    <w:p>
      <w:pPr>
        <w:spacing w:before="80" w:after="160" w:line="252" w:lineRule="auto"/>
        <w:shd w:fill="F3F4F6"/>
      </w:pPr>
      <w:r>
        <w:rPr>
          <w:rFonts w:ascii="Courier New" w:hAnsi="Courier New"/>
          <w:color w:val="000000"/>
          <w:sz w:val="18"/>
        </w:rPr>
        <w:t>@Transactional(noRollbackFor={</w:t>
        <w:br/>
        <w:t xml:space="preserve">    BadCredentialsException.class, LockedException.class})</w:t>
        <w:br/>
        <w:t>public JwtAuthResponseDTO login(LoginRequestDTO r) { ... }</w:t>
      </w:r>
    </w:p>
    <w:p>
      <w:pPr>
        <w:jc w:val="both"/>
      </w:pPr>
      <w:r>
        <w:rPr>
          <w:b w:val="0"/>
        </w:rPr>
        <w:t>CustomUserDetailsService refleja el estado esActivo y esBloqueado de la base. Si un usuario se desactiva, se bloquea o se elimina, un token emitido anteriormente deja de habilitar solicitudes. La prueba de integración comprueba la desactivación; la prueba HTTP comprueba el token de un usuario eliminado.</w:t>
      </w:r>
    </w:p>
    <w:p>
      <w:pPr>
        <w:jc w:val="both"/>
      </w:pPr>
      <w:r>
        <w:rPr>
          <w:b w:val="0"/>
        </w:rPr>
        <w:t>La inscripción del filtro como filtro general del contenedor está desactivada mediante FilterRegistrationBean; su ejecución pertenece a la cadena de Spring Security. Esto conserva un único lugar para aplicar las reglas de la API.</w:t>
      </w:r>
    </w:p>
    <w:p>
      <w:pPr>
        <w:pStyle w:val="Ttulo2"/>
        <w:pageBreakBefore/>
      </w:pPr>
      <w:r>
        <w:t>3.4 Evidencias obligatorias de seguridad</w:t>
      </w:r>
    </w:p>
    <w:p>
      <w:pPr>
        <w:jc w:val="both"/>
      </w:pPr>
      <w:r>
        <w:rPr>
          <w:b w:val="0"/>
        </w:rPr>
        <w:t>Se probó el mismo endpoint protegido antes y después del login. Las tres evidencias muestran ausencia del token, generación exitosa y acceso autorizado. El token se omite al publicar el informe; su generación se comprobó y su valor completo solo existe durante la prueba.</w:t>
      </w:r>
    </w:p>
    <w:p>
      <w:pPr>
        <w:spacing w:after="80"/>
        <w:jc w:val="center"/>
      </w:pPr>
      <w:r>
        <w:drawing>
          <wp:inline xmlns:a="http://schemas.openxmlformats.org/drawingml/2006/main" xmlns:pic="http://schemas.openxmlformats.org/drawingml/2006/picture">
            <wp:extent cx="5040000" cy="1236282"/>
            <wp:docPr id="6" name="Picture 6"/>
            <wp:cNvGraphicFramePr>
              <a:graphicFrameLocks noChangeAspect="1"/>
            </wp:cNvGraphicFramePr>
            <a:graphic>
              <a:graphicData uri="http://schemas.openxmlformats.org/drawingml/2006/picture">
                <pic:pic>
                  <pic:nvPicPr>
                    <pic:cNvPr id="0" name="seguridad-sin-token.png"/>
                    <pic:cNvPicPr/>
                  </pic:nvPicPr>
                  <pic:blipFill>
                    <a:blip r:embed="rId13"/>
                    <a:stretch>
                      <a:fillRect/>
                    </a:stretch>
                  </pic:blipFill>
                  <pic:spPr>
                    <a:xfrm>
                      <a:off x="0" y="0"/>
                      <a:ext cx="5040000" cy="1236282"/>
                    </a:xfrm>
                    <a:prstGeom prst="rect"/>
                  </pic:spPr>
                </pic:pic>
              </a:graphicData>
            </a:graphic>
          </wp:inline>
        </w:drawing>
      </w:r>
    </w:p>
    <w:p>
      <w:pPr>
        <w:spacing w:after="160"/>
        <w:jc w:val="center"/>
      </w:pPr>
      <w:r>
        <w:rPr>
          <w:i/>
          <w:sz w:val="20"/>
        </w:rPr>
        <w:t>Figura 5 Consulta de productos sin JWT y respuesta HTTP 401</w:t>
      </w:r>
    </w:p>
    <w:p>
      <w:pPr>
        <w:spacing w:after="80"/>
        <w:jc w:val="center"/>
      </w:pPr>
      <w:r>
        <w:drawing>
          <wp:inline xmlns:a="http://schemas.openxmlformats.org/drawingml/2006/main" xmlns:pic="http://schemas.openxmlformats.org/drawingml/2006/picture">
            <wp:extent cx="5040000" cy="1236282"/>
            <wp:docPr id="7" name="Picture 7"/>
            <wp:cNvGraphicFramePr>
              <a:graphicFrameLocks noChangeAspect="1"/>
            </wp:cNvGraphicFramePr>
            <a:graphic>
              <a:graphicData uri="http://schemas.openxmlformats.org/drawingml/2006/picture">
                <pic:pic>
                  <pic:nvPicPr>
                    <pic:cNvPr id="0" name="seguridad-login.png"/>
                    <pic:cNvPicPr/>
                  </pic:nvPicPr>
                  <pic:blipFill>
                    <a:blip r:embed="rId14"/>
                    <a:stretch>
                      <a:fillRect/>
                    </a:stretch>
                  </pic:blipFill>
                  <pic:spPr>
                    <a:xfrm>
                      <a:off x="0" y="0"/>
                      <a:ext cx="5040000" cy="1236282"/>
                    </a:xfrm>
                    <a:prstGeom prst="rect"/>
                  </pic:spPr>
                </pic:pic>
              </a:graphicData>
            </a:graphic>
          </wp:inline>
        </w:drawing>
      </w:r>
    </w:p>
    <w:p>
      <w:pPr>
        <w:spacing w:after="160"/>
        <w:jc w:val="center"/>
      </w:pPr>
      <w:r>
        <w:rPr>
          <w:i/>
          <w:sz w:val="20"/>
        </w:rPr>
        <w:t>Figura 6 Login con respuesta HTTP 200 y accessToken generado y omitido</w:t>
      </w:r>
    </w:p>
    <w:p>
      <w:pPr>
        <w:spacing w:after="80"/>
        <w:jc w:val="center"/>
      </w:pPr>
      <w:r>
        <w:drawing>
          <wp:inline xmlns:a="http://schemas.openxmlformats.org/drawingml/2006/main" xmlns:pic="http://schemas.openxmlformats.org/drawingml/2006/picture">
            <wp:extent cx="5040000" cy="933882"/>
            <wp:docPr id="8" name="Picture 8"/>
            <wp:cNvGraphicFramePr>
              <a:graphicFrameLocks noChangeAspect="1"/>
            </wp:cNvGraphicFramePr>
            <a:graphic>
              <a:graphicData uri="http://schemas.openxmlformats.org/drawingml/2006/picture">
                <pic:pic>
                  <pic:nvPicPr>
                    <pic:cNvPr id="0" name="seguridad-con-token.png"/>
                    <pic:cNvPicPr/>
                  </pic:nvPicPr>
                  <pic:blipFill>
                    <a:blip r:embed="rId15"/>
                    <a:stretch>
                      <a:fillRect/>
                    </a:stretch>
                  </pic:blipFill>
                  <pic:spPr>
                    <a:xfrm>
                      <a:off x="0" y="0"/>
                      <a:ext cx="5040000" cy="933882"/>
                    </a:xfrm>
                    <a:prstGeom prst="rect"/>
                  </pic:spPr>
                </pic:pic>
              </a:graphicData>
            </a:graphic>
          </wp:inline>
        </w:drawing>
      </w:r>
    </w:p>
    <w:p>
      <w:pPr>
        <w:spacing w:after="160"/>
        <w:jc w:val="center"/>
      </w:pPr>
      <w:r>
        <w:rPr>
          <w:i/>
          <w:sz w:val="20"/>
        </w:rPr>
        <w:t>Figura 7 Consulta del mismo endpoint con Bearer y respuesta HTTP 200</w:t>
      </w:r>
    </w:p>
    <w:p>
      <w:pPr>
        <w:jc w:val="both"/>
      </w:pPr>
      <w:r>
        <w:rPr>
          <w:b w:val="0"/>
        </w:rPr>
        <w:t>Los casos adicionales verifican JWT malformado, firma alterada y permisos insuficientes. La prueba del JWT expirado se ejecuta en la suite de integración. Fuentes: casos 01 a 05 y 27 a 32 del reporte de API, y resultados-integracion.json.</w:t>
      </w:r>
    </w:p>
    <w:p>
      <w:pPr>
        <w:pStyle w:val="Ttulo1"/>
        <w:pageBreakBefore/>
      </w:pPr>
      <w:r>
        <w:t>Capítulo 4 Pruebas conclusiones y repositorio</w:t>
      </w:r>
    </w:p>
    <w:p>
      <w:pPr>
        <w:pStyle w:val="Ttulo2"/>
      </w:pPr>
      <w:r>
        <w:t>4.1 Pruebas de endpoints y evidencias</w:t>
      </w:r>
    </w:p>
    <w:p>
      <w:pPr>
        <w:jc w:val="both"/>
      </w:pPr>
      <w:r>
        <w:rPr>
          <w:b w:val="0"/>
        </w:rPr>
        <w:t>El script validar-api.py ejecutó 36 solicitudes con cURL contra el backend local. Todas obtuvieron el estado HTTP esperado. Los casos incluyen respuestas exitosas y rechazos previstos; un 401, 403, 404 o 409 esperado cuenta como validación correcta.</w:t>
      </w:r>
    </w:p>
    <w:tbl>
      <w:tblPr>
        <w:tblW w:type="auto" w:w="0"/>
        <w:jc w:val="center"/>
        <w:tblLayout w:type="fixed"/>
        <w:tblLook w:firstColumn="1" w:firstRow="1" w:lastColumn="0" w:lastRow="0" w:noHBand="0" w:noVBand="1" w:val="04A0"/>
      </w:tblPr>
      <w:tblGrid>
        <w:gridCol w:w="624"/>
        <w:gridCol w:w="5726"/>
        <w:gridCol w:w="964"/>
        <w:gridCol w:w="1191"/>
      </w:tblGrid>
      <w:tr>
        <w:trPr>
          <w:cantSplit/>
          <w:tblHeader/>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0"/>
              </w:rPr>
              <w:t>Caso</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0"/>
              </w:rPr>
              <w:t>Operación probada</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0"/>
              </w:rPr>
              <w:t>HTTP</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0"/>
              </w:rPr>
              <w:t>Resultado</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01</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Acceso protegido sin JWT</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401</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02</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Inicio de sesión y generación JWT</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200</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03</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Mismo endpoint con JWT válido</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200</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04</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JWT malformado</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401</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05</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Firma JWT alterada</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401</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06</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Crear categoría</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201</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07</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Crear sede</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201</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08</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Crear almacén origen</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201</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09</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Crear almacén destino</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201</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10</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Crear producto</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201</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11</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Consultar producto</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200</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12</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Actualizar producto</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200</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13</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Búsqueda JPQL por categoría y nombre</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200</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14</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Rechazar categoría referenciada</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409</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15</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Rechazar código duplicado</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409</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16</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Rechazar datos inválidos</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400</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17</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Entrada de existencias</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201</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18</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Traslado atómico entre almacenes</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201</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OK</w:t>
            </w:r>
          </w:p>
        </w:tc>
      </w:tr>
    </w:tbl>
    <w:p>
      <w:pPr>
        <w:spacing w:after="20"/>
      </w:pPr>
    </w:p>
    <w:p>
      <w:pPr>
        <w:jc w:val="both"/>
      </w:pPr>
      <w:r>
        <w:rPr>
          <w:b w:val="0"/>
        </w:rPr>
        <w:t>Las evidencias se registraron el 09 de octubre de 2026 en hora de Lima. El script limita su destino a localhost y genera códigos diferentes en cada ejecución. Las contraseñas y los JWT se redactan antes de escribir los archivos de resultados.</w:t>
      </w:r>
    </w:p>
    <w:p>
      <w:pPr>
        <w:pStyle w:val="Ttulo2"/>
        <w:pageBreakBefore/>
      </w:pPr>
      <w:r>
        <w:t>4.2 Pruebas de integridad y autorización</w:t>
      </w:r>
    </w:p>
    <w:tbl>
      <w:tblPr>
        <w:tblW w:type="auto" w:w="0"/>
        <w:jc w:val="center"/>
        <w:tblLayout w:type="fixed"/>
        <w:tblLook w:firstColumn="1" w:firstRow="1" w:lastColumn="0" w:lastRow="0" w:noHBand="0" w:noVBand="1" w:val="04A0"/>
      </w:tblPr>
      <w:tblGrid>
        <w:gridCol w:w="624"/>
        <w:gridCol w:w="5726"/>
        <w:gridCol w:w="964"/>
        <w:gridCol w:w="1191"/>
      </w:tblGrid>
      <w:tr>
        <w:trPr>
          <w:cantSplit/>
          <w:tblHeader/>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0"/>
              </w:rPr>
              <w:t>Caso</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0"/>
              </w:rPr>
              <w:t>Operación probada</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0"/>
              </w:rPr>
              <w:t>HTTP</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0"/>
              </w:rPr>
              <w:t>Resultado</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19</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Consultar stock origen después del traslado</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200</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20</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Consulta JPQL de stock crítico</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200</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21</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Rechazar traslado por stock insuficiente</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409</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22</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Rollback con destino inexistente</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404</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23</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Stock conservado tras la reversión</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200</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24</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Historial de movimientos</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200</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25</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Roles y permisos</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200</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26</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Administrador crea auditor</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201</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27</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Inicio de sesión del auditor</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200</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28</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Auditor consulta inventario</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200</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29</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Auditor no puede modificar catálogo</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403</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30</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Auditor no puede administrar usuarios</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403</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31</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Administrador elimina usuario de prueba</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204</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32</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Token de usuario eliminado es rechazado</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401</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33</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Crear producto para comprobar eliminación</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201</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34</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Eliminar producto sin referencias</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204</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35</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Registro eliminado retorna 404</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404</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OK</w:t>
            </w:r>
          </w:p>
        </w:tc>
      </w:tr>
      <w:tr>
        <w:trPr>
          <w:cantSplit/>
        </w:trPr>
        <w:tc>
          <w:tcPr>
            <w:tcW w:type="dxa" w:w="6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36</w:t>
            </w:r>
          </w:p>
        </w:tc>
        <w:tc>
          <w:tcPr>
            <w:tcW w:type="dxa" w:w="572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Rechazar eliminación de producto con historial</w:t>
            </w:r>
          </w:p>
        </w:tc>
        <w:tc>
          <w:tcPr>
            <w:tcW w:type="dxa" w:w="9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409</w:t>
            </w:r>
          </w:p>
        </w:tc>
        <w:tc>
          <w:tcPr>
            <w:tcW w:type="dxa" w:w="119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OK</w:t>
            </w:r>
          </w:p>
        </w:tc>
      </w:tr>
    </w:tbl>
    <w:p>
      <w:pPr>
        <w:spacing w:after="20"/>
      </w:pPr>
    </w:p>
    <w:p>
      <w:pPr>
        <w:jc w:val="both"/>
      </w:pPr>
      <w:r>
        <w:rPr>
          <w:b w:val="0"/>
        </w:rPr>
        <w:t>La prueba de integridad deja el origen con 13 unidades después de un traslado válido. Tanto el rechazo por stock insuficiente como el destino inexistente conservan ese valor. La eliminación de un producto con movimientos se rechaza para conservar el historial.</w:t>
      </w:r>
    </w:p>
    <w:p>
      <w:pPr>
        <w:jc w:val="both"/>
      </w:pPr>
      <w:r>
        <w:rPr>
          <w:b w:val="0"/>
        </w:rPr>
        <w:t>El rol AUDITOR consulta inventario con HTTP 200, pero la creación de categorías y la administración de usuarios devuelven HTTP 403. Después de eliminar al usuario de prueba, su token devuelve HTTP 401. Estas comprobaciones distinguen autenticación, autorización y vigencia del usuario.</w:t>
      </w:r>
    </w:p>
    <w:p>
      <w:pPr>
        <w:pStyle w:val="Ttulo2"/>
        <w:pageBreakBefore/>
      </w:pPr>
      <w:r>
        <w:t>4.3 Pruebas de integración rollback y concurrencia</w:t>
      </w:r>
    </w:p>
    <w:p>
      <w:pPr>
        <w:jc w:val="both"/>
      </w:pPr>
      <w:r>
        <w:rPr>
          <w:b w:val="0"/>
        </w:rPr>
        <w:t>La suite JUnit utiliza SpringBootTest, MockMvc y PostgreSQL aislado con Testcontainers. Se ejecutaron 14 pruebas: cero fallos, cero errores y cero pruebas omitidas. No se sustituye PostgreSQL por una base en memoria.</w:t>
      </w:r>
    </w:p>
    <w:tbl>
      <w:tblPr>
        <w:tblW w:type="auto" w:w="0"/>
        <w:jc w:val="center"/>
        <w:tblLayout w:type="fixed"/>
        <w:tblLook w:firstColumn="1" w:firstRow="1" w:lastColumn="0" w:lastRow="0" w:noHBand="0" w:noVBand="1" w:val="04A0"/>
      </w:tblPr>
      <w:tblGrid>
        <w:gridCol w:w="2494"/>
        <w:gridCol w:w="6009"/>
      </w:tblGrid>
      <w:tr>
        <w:trPr>
          <w:cantSplit/>
          <w:tblHeader/>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0"/>
              </w:rPr>
              <w:t>Grupo</w:t>
            </w:r>
          </w:p>
        </w:tc>
        <w:tc>
          <w:tcPr>
            <w:tcW w:type="dxa" w:w="600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0"/>
              </w:rPr>
              <w:t>Validación realizada</w:t>
            </w:r>
          </w:p>
        </w:tc>
      </w:tr>
      <w:tr>
        <w:trPr>
          <w:cantSplit/>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CRUD y referencias</w:t>
            </w:r>
          </w:p>
        </w:tc>
        <w:tc>
          <w:tcPr>
            <w:tcW w:type="dxa" w:w="600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Categorías, productos, sedes, almacenes, usuarios y permisos inválidos</w:t>
            </w:r>
          </w:p>
        </w:tc>
      </w:tr>
      <w:tr>
        <w:trPr>
          <w:cantSplit/>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JPQL y validaciones</w:t>
            </w:r>
          </w:p>
        </w:tc>
        <w:tc>
          <w:tcPr>
            <w:tcW w:type="dxa" w:w="600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Filtro de producto, stock crítico, duplicidad y datos incorrectos</w:t>
            </w:r>
          </w:p>
        </w:tc>
      </w:tr>
      <w:tr>
        <w:trPr>
          <w:cantSplit/>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Autenticación</w:t>
            </w:r>
          </w:p>
        </w:tc>
        <w:tc>
          <w:tcPr>
            <w:tcW w:type="dxa" w:w="600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Ruta pública, ausencia de JWT y registro protegido</w:t>
            </w:r>
          </w:p>
        </w:tc>
      </w:tr>
      <w:tr>
        <w:trPr>
          <w:cantSplit/>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JWT</w:t>
            </w:r>
          </w:p>
        </w:tc>
        <w:tc>
          <w:tcPr>
            <w:tcW w:type="dxa" w:w="600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Formato inválido, expiración y firma con otra clave</w:t>
            </w:r>
          </w:p>
        </w:tc>
      </w:tr>
      <w:tr>
        <w:trPr>
          <w:cantSplit/>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Permisos y contraseña</w:t>
            </w:r>
          </w:p>
        </w:tc>
        <w:tc>
          <w:tcPr>
            <w:tcW w:type="dxa" w:w="600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Auditor sin escritura y respuestas sin password; BCrypt</w:t>
            </w:r>
          </w:p>
        </w:tc>
      </w:tr>
      <w:tr>
        <w:trPr>
          <w:cantSplit/>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Vigencia</w:t>
            </w:r>
          </w:p>
        </w:tc>
        <w:tc>
          <w:tcPr>
            <w:tcW w:type="dxa" w:w="600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Usuario inactivo no reutiliza JWT</w:t>
            </w:r>
          </w:p>
        </w:tc>
      </w:tr>
      <w:tr>
        <w:trPr>
          <w:cantSplit/>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Bloqueo de cuenta</w:t>
            </w:r>
          </w:p>
        </w:tc>
        <w:tc>
          <w:tcPr>
            <w:tcW w:type="dxa" w:w="600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Cinco fallos persistidos y bloqueo al quinto intento</w:t>
            </w:r>
          </w:p>
        </w:tc>
      </w:tr>
      <w:tr>
        <w:trPr>
          <w:cantSplit/>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Inventario</w:t>
            </w:r>
          </w:p>
        </w:tc>
        <w:tc>
          <w:tcPr>
            <w:tcW w:type="dxa" w:w="600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Conservación de cantidades e historial de dos movimientos</w:t>
            </w:r>
          </w:p>
        </w:tc>
      </w:tr>
      <w:tr>
        <w:trPr>
          <w:cantSplit/>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Rollback</w:t>
            </w:r>
          </w:p>
        </w:tc>
        <w:tc>
          <w:tcPr>
            <w:tcW w:type="dxa" w:w="600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0"/>
              </w:rPr>
              <w:t>Reversión después de enviar la salida a PostgreSQL</w:t>
            </w:r>
          </w:p>
        </w:tc>
      </w:tr>
      <w:tr>
        <w:trPr>
          <w:cantSplit/>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Concurrencia</w:t>
            </w:r>
          </w:p>
        </w:tc>
        <w:tc>
          <w:tcPr>
            <w:tcW w:type="dxa" w:w="6009"/>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0"/>
              </w:rPr>
              <w:t>Dos traslados simultáneos no sobregiran stock</w:t>
            </w:r>
          </w:p>
        </w:tc>
      </w:tr>
    </w:tbl>
    <w:p>
      <w:pPr>
        <w:spacing w:after="20"/>
      </w:pPr>
    </w:p>
    <w:p>
      <w:pPr>
        <w:spacing w:before="80" w:after="160" w:line="252" w:lineRule="auto"/>
        <w:shd w:fill="F3F4F6"/>
      </w:pPr>
      <w:r>
        <w:rPr>
          <w:rFonts w:ascii="Courier New" w:hAnsi="Courier New"/>
          <w:color w:val="000000"/>
          <w:sz w:val="18"/>
        </w:rPr>
        <w:t>./gradlew clean test bootJar --no-daemon</w:t>
        <w:br/>
        <w:t>Resultado local: BUILD SUCCESSFUL</w:t>
        <w:br/>
        <w:t>Pruebas de integración: 14</w:t>
        <w:br/>
        <w:t>Fallos: 0 | Errores: 0 | Omitidas: 0</w:t>
        <w:br/>
        <w:t>Peticiones cURL: 36 de 36 con el HTTP esperado</w:t>
      </w:r>
    </w:p>
    <w:p>
      <w:pPr>
        <w:jc w:val="both"/>
      </w:pPr>
      <w:r>
        <w:rPr>
          <w:b w:val="0"/>
        </w:rPr>
        <w:t>En la prueba concurrente, el origen inicia con 10 unidades y recibe dos solicitudes de traslado de 7. Solo una se confirma: el origen termina con 3 y el destino con 7. El bloqueo pesimista y la transacción protegen el proceso frente a escrituras simultáneas.</w:t>
      </w:r>
    </w:p>
    <w:p>
      <w:pPr>
        <w:jc w:val="both"/>
      </w:pPr>
      <w:r>
        <w:rPr>
          <w:b w:val="0"/>
        </w:rPr>
        <w:t>GitHub Actions ejecuta el mismo comando con Java 21 y Docker en cada push. La ejecución 38017439753 finalizó correctamente y publicó el reporte como artefacto del workflow. La evidencia local se encuentra en docs/evidencias/resultados-integracion.json; el resultado completo se genera en build/reports/tests/test/.</w:t>
      </w:r>
    </w:p>
    <w:p>
      <w:pPr>
        <w:pStyle w:val="Ttulo2"/>
        <w:pageBreakBefore/>
      </w:pPr>
      <w:r>
        <w:t>4.4 Conclusiones técnicas y enlace al proyecto</w:t>
      </w:r>
    </w:p>
    <w:p>
      <w:pPr>
        <w:jc w:val="both"/>
      </w:pPr>
      <w:r>
        <w:rPr>
          <w:b w:val="0"/>
        </w:rPr>
        <w:t>Spring Data JPA permite implementar el CRUD mediante contratos de repositorio y entidades relacionadas. Las consultas JPQL expresan filtros del negocio sin depender del nombre físico de las tablas. La integridad se refuerza con validación de DTO, reglas de servicio y restricciones de PostgreSQL.</w:t>
      </w:r>
    </w:p>
    <w:p>
      <w:pPr>
        <w:jc w:val="both"/>
      </w:pPr>
      <w:r>
        <w:rPr>
          <w:b w:val="0"/>
        </w:rPr>
        <w:t>La transaccionalidad del traslado mantiene como una unidad el descuento, el incremento y el historial. El caso con destino inexistente demuestra rollback después de una escritura efectiva, y el caso concurrente demuestra que dos solicitudes no consumen el mismo stock disponible.</w:t>
      </w:r>
    </w:p>
    <w:p>
      <w:pPr>
        <w:jc w:val="both"/>
      </w:pPr>
      <w:r>
        <w:rPr>
          <w:b w:val="0"/>
        </w:rPr>
        <w:t>La autenticación JWT protege la identidad de quien invoca la API, mientras los permisos del rol controlan las acciones autorizadas. La consulta del usuario vigente permite rechazar tokens de cuentas inactivas, bloqueadas o eliminadas. BCrypt evita almacenar contraseñas de acceso en texto plano.</w:t>
      </w:r>
    </w:p>
    <w:p>
      <w:pPr>
        <w:jc w:val="both"/>
      </w:pPr>
      <w:r>
        <w:rPr>
          <w:b w:val="0"/>
        </w:rPr>
        <w:t>El alcance verificado corresponde a persistencia y seguridad backend. Los módulos de pedidos, rutas, flota, reportería y la interfaz de usuario continuarán en posteriores incrementos. Para una puesta en producción se prevén migraciones versionadas, HTTPS, recuperación controlada de cuentas y estrategias de renovación o revocación de tokens.</w:t>
      </w:r>
    </w:p>
    <w:p>
      <w:pPr>
        <w:pStyle w:val="Ttulo2"/>
      </w:pPr>
      <w:r>
        <w:t>Repositorio individual público</w:t>
      </w:r>
    </w:p>
    <w:p>
      <w:pPr>
        <w:jc w:val="both"/>
      </w:pPr>
      <w:hyperlink r:id="rId16">
        <w:r>
          <w:rPr>
            <w:color w:val="000000"/>
            <w:b/>
          </w:rPr>
          <w:t>https://github.com/Deithmho/intranet-distribucion-apf2</w:t>
        </w:r>
      </w:hyperlink>
    </w:p>
    <w:p>
      <w:pPr>
        <w:jc w:val="both"/>
      </w:pPr>
      <w:r>
        <w:rPr>
          <w:b w:val="0"/>
        </w:rPr>
        <w:t>El repositorio conserva los paquetes del proyecto base y presenta commits organizados para seguridad, persistencia, pruebas y documentación. ORIGEN.md documenta la procedencia compartida; el APF2 tiene un solo responsable académico.</w:t>
      </w:r>
    </w:p>
    <w:tbl>
      <w:tblPr>
        <w:tblW w:type="auto" w:w="0"/>
        <w:jc w:val="center"/>
        <w:tblLayout w:type="fixed"/>
        <w:tblLook w:firstColumn="1" w:firstRow="1" w:lastColumn="0" w:lastRow="0" w:noHBand="0" w:noVBand="1" w:val="04A0"/>
      </w:tblPr>
      <w:tblGrid>
        <w:gridCol w:w="1531"/>
        <w:gridCol w:w="6973"/>
      </w:tblGrid>
      <w:tr>
        <w:trPr>
          <w:cantSplit/>
          <w:tblHeader/>
        </w:trPr>
        <w:tc>
          <w:tcPr>
            <w:tcW w:type="dxa" w:w="153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1"/>
              </w:rPr>
              <w:t>Commit</w:t>
            </w:r>
          </w:p>
        </w:tc>
        <w:tc>
          <w:tcPr>
            <w:tcW w:type="dxa" w:w="697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1"/>
              </w:rPr>
              <w:t>Contenido</w:t>
            </w:r>
          </w:p>
        </w:tc>
      </w:tr>
      <w:tr>
        <w:trPr>
          <w:cantSplit/>
        </w:trPr>
        <w:tc>
          <w:tcPr>
            <w:tcW w:type="dxa" w:w="153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7baa2a6</w:t>
            </w:r>
          </w:p>
        </w:tc>
        <w:tc>
          <w:tcPr>
            <w:tcW w:type="dxa" w:w="697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Base grupal saneada y procedencia</w:t>
            </w:r>
          </w:p>
        </w:tc>
      </w:tr>
      <w:tr>
        <w:trPr>
          <w:cantSplit/>
        </w:trPr>
        <w:tc>
          <w:tcPr>
            <w:tcW w:type="dxa" w:w="153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2d25462</w:t>
            </w:r>
          </w:p>
        </w:tc>
        <w:tc>
          <w:tcPr>
            <w:tcW w:type="dxa" w:w="697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Java 21 y seguridad JWT con permisos</w:t>
            </w:r>
          </w:p>
        </w:tc>
      </w:tr>
      <w:tr>
        <w:trPr>
          <w:cantSplit/>
        </w:trPr>
        <w:tc>
          <w:tcPr>
            <w:tcW w:type="dxa" w:w="153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f3d8420</w:t>
            </w:r>
          </w:p>
        </w:tc>
        <w:tc>
          <w:tcPr>
            <w:tcW w:type="dxa" w:w="697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Catálogo JPA y traslados atómicos</w:t>
            </w:r>
          </w:p>
        </w:tc>
      </w:tr>
      <w:tr>
        <w:trPr>
          <w:cantSplit/>
        </w:trPr>
        <w:tc>
          <w:tcPr>
            <w:tcW w:type="dxa" w:w="153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9337db8</w:t>
            </w:r>
          </w:p>
        </w:tc>
        <w:tc>
          <w:tcPr>
            <w:tcW w:type="dxa" w:w="697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PostgreSQL, rollback y concurrencia</w:t>
            </w:r>
          </w:p>
        </w:tc>
      </w:tr>
      <w:tr>
        <w:trPr>
          <w:cantSplit/>
        </w:trPr>
        <w:tc>
          <w:tcPr>
            <w:tcW w:type="dxa" w:w="153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b0b1fcc</w:t>
            </w:r>
          </w:p>
        </w:tc>
        <w:tc>
          <w:tcPr>
            <w:tcW w:type="dxa" w:w="697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Ejecución, evidencias y Postman</w:t>
            </w:r>
          </w:p>
        </w:tc>
      </w:tr>
    </w:tbl>
    <w:p>
      <w:pPr>
        <w:spacing w:after="20"/>
      </w:pPr>
    </w:p>
    <w:p>
      <w:pPr>
        <w:pStyle w:val="Ttulo1"/>
        <w:pageBreakBefore/>
      </w:pPr>
      <w:r>
        <w:t>Anexo A Ejecución para la revisión docente</w:t>
      </w:r>
    </w:p>
    <w:p>
      <w:pPr>
        <w:jc w:val="both"/>
      </w:pPr>
      <w:r>
        <w:rPr>
          <w:b w:val="0"/>
        </w:rPr>
        <w:t>Requisitos previos: JDK 21, Docker con Compose, Git, Bash y OpenSSL. La primera ejecución descarga Gradle, las dependencias Java y la imagen de PostgreSQL. En Windows, los scripts Bash se pueden ejecutar desde Git Bash o WSL con Docker disponible.</w:t>
      </w:r>
    </w:p>
    <w:p>
      <w:pPr>
        <w:pStyle w:val="Ttulo2"/>
      </w:pPr>
      <w:r>
        <w:t>1 Clonar e iniciar el backend</w:t>
      </w:r>
    </w:p>
    <w:p>
      <w:pPr>
        <w:spacing w:before="80" w:after="160" w:line="252" w:lineRule="auto"/>
        <w:shd w:fill="F3F4F6"/>
      </w:pPr>
      <w:r>
        <w:rPr>
          <w:rFonts w:ascii="Courier New" w:hAnsi="Courier New"/>
          <w:color w:val="000000"/>
          <w:sz w:val="18"/>
        </w:rPr>
        <w:t>git clone https://github.com/Deithmho/intranet-distribucion-apf2.git</w:t>
        <w:br/>
        <w:t>cd intranet-distribucion-apf2</w:t>
        <w:br/>
        <w:t>bash scripts/iniciar.sh</w:t>
      </w:r>
    </w:p>
    <w:p>
      <w:pPr>
        <w:jc w:val="both"/>
      </w:pPr>
      <w:r>
        <w:rPr>
          <w:b w:val="0"/>
        </w:rPr>
        <w:t>El script genera .env sin sobrescribir uno existente, levanta PostgreSQL y ejecuta la aplicación. La API atiende en localhost:8080 y la base en localhost:55432. La contraseña del administrador se consulta en ADMIN_PASSWORD del .env local; no se comparte en el informe.</w:t>
      </w:r>
    </w:p>
    <w:p>
      <w:pPr>
        <w:pStyle w:val="Ttulo2"/>
      </w:pPr>
      <w:r>
        <w:t>2 Utilizar una base de datos propia</w:t>
      </w:r>
    </w:p>
    <w:p>
      <w:pPr>
        <w:jc w:val="both"/>
      </w:pPr>
      <w:r>
        <w:rPr>
          <w:b w:val="0"/>
        </w:rPr>
        <w:t>Como alternativa, generar .env con scripts/configurar-entorno.sh y ajustar DB_URL, DB_USERNAME y DB_PASSWORD con los datos de PostgreSQL propio. application.properties lee esas variables. Antes de ejecutar Gradle, cargar el entorno de la siguiente manera.</w:t>
      </w:r>
    </w:p>
    <w:p>
      <w:pPr>
        <w:spacing w:before="80" w:after="160" w:line="252" w:lineRule="auto"/>
        <w:shd w:fill="F3F4F6"/>
      </w:pPr>
      <w:r>
        <w:rPr>
          <w:rFonts w:ascii="Courier New" w:hAnsi="Courier New"/>
          <w:color w:val="000000"/>
          <w:sz w:val="18"/>
        </w:rPr>
        <w:t>set -a</w:t>
        <w:br/>
        <w:t>source .env</w:t>
        <w:br/>
        <w:t>set +a</w:t>
        <w:br/>
        <w:t>./gradlew bootRun --no-daemon</w:t>
      </w:r>
    </w:p>
    <w:p>
      <w:pPr>
        <w:pStyle w:val="Ttulo2"/>
      </w:pPr>
      <w:r>
        <w:t>3 Repetir las pruebas y consultar la base</w:t>
      </w:r>
    </w:p>
    <w:p>
      <w:pPr>
        <w:spacing w:before="80" w:after="160" w:line="252" w:lineRule="auto"/>
        <w:shd w:fill="F3F4F6"/>
      </w:pPr>
      <w:r>
        <w:rPr>
          <w:rFonts w:ascii="Courier New" w:hAnsi="Courier New"/>
          <w:color w:val="000000"/>
          <w:sz w:val="18"/>
        </w:rPr>
        <w:t># En otra terminal y dentro del repositorio</w:t>
        <w:br/>
        <w:t>./gradlew clean test bootJar --no-daemon</w:t>
        <w:br/>
        <w:t>set -a</w:t>
        <w:br/>
        <w:t>source .env</w:t>
        <w:br/>
        <w:t>set +a</w:t>
        <w:br/>
        <w:t>python3 scripts/validar-api.py</w:t>
        <w:br/>
        <w:t>docker compose exec -T db psql -U intranet -d intranet -f - \</w:t>
        <w:br/>
        <w:t xml:space="preserve">  &lt; scripts/evidencia-bd.sql</w:t>
      </w:r>
    </w:p>
    <w:p>
      <w:pPr>
        <w:jc w:val="both"/>
      </w:pPr>
      <w:r>
        <w:rPr>
          <w:b w:val="0"/>
        </w:rPr>
        <w:t>Detener Spring Boot con Ctrl+C. docker compose stop db detiene la base y conserva los registros. Para reanudar, ejecutar otra vez scripts/iniciar.sh. La suite Testcontainers usa una base aislada y no modifica la base de desarrollo.</w:t>
      </w:r>
    </w:p>
    <w:p>
      <w:pPr>
        <w:pStyle w:val="Ttulo1"/>
        <w:pageBreakBefore/>
      </w:pPr>
      <w:r>
        <w:t>Anexo B Colección de Postman y trazabilidad</w:t>
      </w:r>
    </w:p>
    <w:p>
      <w:pPr>
        <w:jc w:val="both"/>
      </w:pPr>
      <w:r>
        <w:rPr>
          <w:b w:val="0"/>
        </w:rPr>
        <w:t>Importar postman/APF2.postman_collection.json y APF2.postman_environment.json. Seleccionar APF2 local y completar adminPassword con el valor de ADMIN_PASSWORD del entorno propio. El token y los identificadores se guardan automáticamente durante la ejecución y no están presentes en los archivos exportados.</w:t>
      </w:r>
    </w:p>
    <w:p>
      <w:pPr>
        <w:jc w:val="both"/>
      </w:pPr>
      <w:r>
        <w:rPr>
          <w:b w:val="0"/>
        </w:rPr>
        <w:t>Ejecutar la colección en orden desde Collection Runner. Se incluyen 22 solicitudes con pruebas de estados HTTP y verificaciones de stock. La colección se ejecutó además con Newman 6.2.3 y sus 24 comprobaciones pasaron. El login inicial almacena token; las operaciones posteriores capturan sedeId, origenId, destinoId, categoriaId y productoId. Un runId permite repetirla con códigos diferentes.</w:t>
      </w:r>
    </w:p>
    <w:tbl>
      <w:tblPr>
        <w:tblW w:type="auto" w:w="0"/>
        <w:jc w:val="center"/>
        <w:tblLayout w:type="fixed"/>
        <w:tblLook w:firstColumn="1" w:firstRow="1" w:lastColumn="0" w:lastRow="0" w:noHBand="0" w:noVBand="1" w:val="04A0"/>
      </w:tblPr>
      <w:tblGrid>
        <w:gridCol w:w="2948"/>
        <w:gridCol w:w="5556"/>
      </w:tblGrid>
      <w:tr>
        <w:trPr>
          <w:cantSplit/>
          <w:tblHeader/>
        </w:trP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1"/>
              </w:rPr>
              <w:t>Exigencia de la guía</w:t>
            </w:r>
          </w:p>
        </w:tc>
        <w:tc>
          <w:tcPr>
            <w:tcW w:type="dxa" w:w="55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23384D"/>
          </w:tcPr>
          <w:p>
            <w:pPr>
              <w:spacing w:after="40" w:before="40" w:line="247" w:lineRule="auto"/>
            </w:pPr>
            <w:r>
              <w:rPr>
                <w:rFonts w:ascii="Times New Roman" w:hAnsi="Times New Roman"/>
                <w:b/>
                <w:color w:val="FFFFFF"/>
                <w:sz w:val="21"/>
              </w:rPr>
              <w:t>Evidencia entregada</w:t>
            </w:r>
          </w:p>
        </w:tc>
      </w:tr>
      <w:tr>
        <w:trPr>
          <w:cantSplit/>
        </w:trP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Conexión y esquema JPA</w:t>
            </w:r>
          </w:p>
        </w:tc>
        <w:tc>
          <w:tcPr>
            <w:tcW w:type="dxa" w:w="55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Capítulo 1; propiedades y reporte PostgreSQL</w:t>
            </w:r>
          </w:p>
        </w:tc>
      </w:tr>
      <w:tr>
        <w:trPr>
          <w:cantSplit/>
        </w:trP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Entidades y relaciones</w:t>
            </w:r>
          </w:p>
        </w:tc>
        <w:tc>
          <w:tcPr>
            <w:tcW w:type="dxa" w:w="55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Modelo de datos y extractos ORM</w:t>
            </w:r>
          </w:p>
        </w:tc>
      </w:tr>
      <w:tr>
        <w:trPr>
          <w:cantSplit/>
        </w:trP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JpaRepository y CRUD</w:t>
            </w:r>
          </w:p>
        </w:tc>
        <w:tc>
          <w:tcPr>
            <w:tcW w:type="dxa" w:w="55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Repositorios, servicios y reportes HTTP</w:t>
            </w:r>
          </w:p>
        </w:tc>
      </w:tr>
      <w:tr>
        <w:trPr>
          <w:cantSplit/>
        </w:trP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Consultas JPQL</w:t>
            </w:r>
          </w:p>
        </w:tc>
        <w:tc>
          <w:tcPr>
            <w:tcW w:type="dxa" w:w="55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Búsquedas por texto, categoría y stock crítico</w:t>
            </w:r>
          </w:p>
        </w:tc>
      </w:tr>
      <w:tr>
        <w:trPr>
          <w:cantSplit/>
        </w:trP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Transacciones</w:t>
            </w:r>
          </w:p>
        </w:tc>
        <w:tc>
          <w:tcPr>
            <w:tcW w:type="dxa" w:w="55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Traslado, rollback y prueba concurrente</w:t>
            </w:r>
          </w:p>
        </w:tc>
      </w:tr>
      <w:tr>
        <w:trPr>
          <w:cantSplit/>
        </w:trP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Spring Security</w:t>
            </w:r>
          </w:p>
        </w:tc>
        <w:tc>
          <w:tcPr>
            <w:tcW w:type="dxa" w:w="55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Rutas públicas y matriz de permisos</w:t>
            </w:r>
          </w:p>
        </w:tc>
      </w:tr>
      <w:tr>
        <w:trPr>
          <w:cantSplit/>
        </w:trP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Generación y filtro JWT</w:t>
            </w:r>
          </w:p>
        </w:tc>
        <w:tc>
          <w:tcPr>
            <w:tcW w:type="dxa" w:w="55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JwtTokenProvider y OncePerRequestFilter</w:t>
            </w:r>
          </w:p>
        </w:tc>
      </w:tr>
      <w:tr>
        <w:trPr>
          <w:cantSplit/>
        </w:trP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Prueba sin token</w:t>
            </w:r>
          </w:p>
        </w:tc>
        <w:tc>
          <w:tcPr>
            <w:tcW w:type="dxa" w:w="55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Caso 01 con HTTP 401</w:t>
            </w:r>
          </w:p>
        </w:tc>
      </w:tr>
      <w:tr>
        <w:trPr>
          <w:cantSplit/>
        </w:trP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Login y acceso autorizado</w:t>
            </w:r>
          </w:p>
        </w:tc>
        <w:tc>
          <w:tcPr>
            <w:tcW w:type="dxa" w:w="55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spacing w:after="40" w:before="40" w:line="247" w:lineRule="auto"/>
            </w:pPr>
            <w:r>
              <w:rPr>
                <w:rFonts w:ascii="Times New Roman" w:hAnsi="Times New Roman"/>
                <w:b w:val="0"/>
                <w:color w:val="000000"/>
                <w:sz w:val="21"/>
              </w:rPr>
              <w:t>Casos 02 y 03 con HTTP 200</w:t>
            </w:r>
          </w:p>
        </w:tc>
      </w:tr>
      <w:tr>
        <w:trPr>
          <w:cantSplit/>
        </w:trPr>
        <w:tc>
          <w:tcPr>
            <w:tcW w:type="dxa" w:w="29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Repositorio y ejecución</w:t>
            </w:r>
          </w:p>
        </w:tc>
        <w:tc>
          <w:tcPr>
            <w:tcW w:type="dxa" w:w="55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4F6F8"/>
          </w:tcPr>
          <w:p>
            <w:pPr>
              <w:spacing w:after="40" w:before="40" w:line="247" w:lineRule="auto"/>
            </w:pPr>
            <w:r>
              <w:rPr>
                <w:rFonts w:ascii="Times New Roman" w:hAnsi="Times New Roman"/>
                <w:b w:val="0"/>
                <w:color w:val="000000"/>
                <w:sz w:val="21"/>
              </w:rPr>
              <w:t>URL pública, commits y anexo A</w:t>
            </w:r>
          </w:p>
        </w:tc>
      </w:tr>
    </w:tbl>
    <w:p>
      <w:pPr>
        <w:spacing w:after="20"/>
      </w:pPr>
    </w:p>
    <w:p>
      <w:pPr>
        <w:jc w:val="both"/>
      </w:pPr>
      <w:r>
        <w:rPr>
          <w:b w:val="0"/>
        </w:rPr>
        <w:t>La guía y la plantilla se usan como requisitos del informe. Sus comandos y tecnologías sugeridas se adaptan a Gradle y PostgreSQL, que ya forman parte del proyecto. Las evidencias publicadas ocultan datos de autenticación y conservan rutas, operaciones, estados y resultados suficientes para repetir la revisión.</w:t>
      </w:r>
    </w:p>
    <w:p>
      <w:pPr>
        <w:pStyle w:val="Ttulo1"/>
        <w:pageBreakBefore/>
      </w:pPr>
      <w:r>
        <w:t>Bibliografía</w:t>
      </w:r>
    </w:p>
    <w:p>
      <w:pPr>
        <w:jc w:val="both"/>
      </w:pPr>
      <w:r>
        <w:rPr>
          <w:b w:val="0"/>
        </w:rPr>
        <w:t>SPRING. Spring Boot 3.5 System Requirements [en línea]. Disponible en:</w:t>
      </w:r>
    </w:p>
    <w:p>
      <w:pPr>
        <w:jc w:val="both"/>
      </w:pPr>
      <w:hyperlink r:id="rId17">
        <w:r>
          <w:rPr>
            <w:color w:val="000000"/>
          </w:rPr>
          <w:t>https://docs.spring.io/spring-boot/3.5/system-requirements.html</w:t>
        </w:r>
      </w:hyperlink>
    </w:p>
    <w:p>
      <w:pPr>
        <w:jc w:val="both"/>
      </w:pPr>
      <w:r>
        <w:rPr>
          <w:b w:val="0"/>
        </w:rPr>
        <w:t>Consulta: 09 de octubre de 2026.</w:t>
      </w:r>
    </w:p>
    <w:p>
      <w:pPr>
        <w:jc w:val="both"/>
      </w:pPr>
      <w:r>
        <w:rPr>
          <w:b w:val="0"/>
        </w:rPr>
        <w:t>SPRING. Spring Data JPA Query Methods [en línea]. Disponible en:</w:t>
      </w:r>
    </w:p>
    <w:p>
      <w:pPr>
        <w:jc w:val="both"/>
      </w:pPr>
      <w:hyperlink r:id="rId18">
        <w:r>
          <w:rPr>
            <w:color w:val="000000"/>
          </w:rPr>
          <w:t>https://docs.spring.io/spring-data/jpa/reference/jpa/query-methods.html</w:t>
        </w:r>
      </w:hyperlink>
    </w:p>
    <w:p>
      <w:pPr>
        <w:jc w:val="both"/>
      </w:pPr>
      <w:r>
        <w:rPr>
          <w:b w:val="0"/>
        </w:rPr>
        <w:t>Consulta: 09 de octubre de 2026.</w:t>
      </w:r>
    </w:p>
    <w:p>
      <w:pPr>
        <w:jc w:val="both"/>
      </w:pPr>
      <w:r>
        <w:rPr>
          <w:b w:val="0"/>
        </w:rPr>
        <w:t>SPRING. Spring Security Username Password Authentication [en línea]. Disponible en:</w:t>
      </w:r>
    </w:p>
    <w:p>
      <w:pPr>
        <w:jc w:val="both"/>
      </w:pPr>
      <w:hyperlink r:id="rId19">
        <w:r>
          <w:rPr>
            <w:color w:val="000000"/>
          </w:rPr>
          <w:t>https://docs.spring.io/spring-security/reference/servlet/authentication/passwords/index.html</w:t>
        </w:r>
      </w:hyperlink>
    </w:p>
    <w:p>
      <w:pPr>
        <w:jc w:val="both"/>
      </w:pPr>
      <w:r>
        <w:rPr>
          <w:b w:val="0"/>
        </w:rPr>
        <w:t>Consulta: 09 de octubre de 2026.</w:t>
      </w:r>
    </w:p>
    <w:p>
      <w:pPr>
        <w:jc w:val="both"/>
      </w:pPr>
      <w:r>
        <w:rPr>
          <w:b w:val="0"/>
        </w:rPr>
        <w:t>JWTK. JJWT Java JWT [en línea]. Disponible en:</w:t>
      </w:r>
    </w:p>
    <w:p>
      <w:pPr>
        <w:jc w:val="both"/>
      </w:pPr>
      <w:hyperlink r:id="rId20">
        <w:r>
          <w:rPr>
            <w:color w:val="000000"/>
          </w:rPr>
          <w:t>https://github.com/jwtk/jjwt</w:t>
        </w:r>
      </w:hyperlink>
    </w:p>
    <w:p>
      <w:pPr>
        <w:jc w:val="both"/>
      </w:pPr>
      <w:r>
        <w:rPr>
          <w:b w:val="0"/>
        </w:rPr>
        <w:t>Consulta: 09 de octubre de 2026.</w:t>
      </w:r>
    </w:p>
    <w:p>
      <w:pPr>
        <w:jc w:val="both"/>
      </w:pPr>
      <w:r>
        <w:rPr>
          <w:b w:val="0"/>
        </w:rPr>
        <w:t>EDUDEV2004. Intranet Distribución Backend [repositorio en línea]. Código de origen compartido. Disponible en:</w:t>
      </w:r>
    </w:p>
    <w:p>
      <w:pPr>
        <w:jc w:val="both"/>
      </w:pPr>
      <w:hyperlink r:id="rId21">
        <w:r>
          <w:rPr>
            <w:color w:val="000000"/>
          </w:rPr>
          <w:t>https://github.com/Edudev2004/intranet-distribucion-back</w:t>
        </w:r>
      </w:hyperlink>
    </w:p>
    <w:p>
      <w:pPr>
        <w:jc w:val="both"/>
      </w:pPr>
      <w:r>
        <w:rPr>
          <w:b w:val="0"/>
        </w:rPr>
        <w:t>Consulta: 09 de octubre de 2026.</w:t>
      </w:r>
    </w:p>
    <w:p>
      <w:pPr>
        <w:pStyle w:val="Ttulo2"/>
      </w:pPr>
      <w:r>
        <w:t>Material académico proporcionado</w:t>
      </w:r>
    </w:p>
    <w:p>
      <w:pPr>
        <w:jc w:val="both"/>
      </w:pPr>
      <w:r>
        <w:rPr>
          <w:b w:val="0"/>
        </w:rPr>
        <w:t>Avance 01 del proyecto Desarrollo Web Integrado. Informe grupal de planificación y contexto de la intranet de distribución. Documento proporcionado por el estudiante.</w:t>
      </w:r>
    </w:p>
    <w:p>
      <w:pPr>
        <w:jc w:val="both"/>
      </w:pPr>
      <w:r>
        <w:rPr>
          <w:b w:val="0"/>
        </w:rPr>
        <w:t>GUÍA DE ORIENTACIÓN Y ENTREGABLE semana 10. APF2 Capa de Persistencia y Seguridad Backend. Curso Desarrollo Web Integrado, ciclo 2026 Ciclo 2 Agosto. Material proporcionado para esta evaluación.</w:t>
      </w:r>
    </w:p>
    <w:p>
      <w:pPr>
        <w:jc w:val="both"/>
      </w:pPr>
      <w:r>
        <w:rPr>
          <w:b w:val="0"/>
        </w:rPr>
        <w:t>PLANTILLA DE INFORME TÉCNICO 2026. Avance de Proyecto Final 2. Esquema de capítulos, evidencias e instrucciones de ejecución. Material proporcionado para esta evaluación.</w:t>
      </w:r>
    </w:p>
    <w:sectPr w:rsidR="00676A99">
      <w:footerReference w:type="default" r:id="rId7"/>
      <w:pgSz w:w="11906" w:h="16838"/>
      <w:pgMar w:top="1417" w:right="1701" w:bottom="1417" w:left="1701" w:header="680" w:footer="68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r>
    <w:fldSimple w:instr="PAG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B0301"/>
    <w:multiLevelType w:val="multilevel"/>
    <w:tmpl w:val="E814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37C50"/>
    <w:multiLevelType w:val="multilevel"/>
    <w:tmpl w:val="9F588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4E7037"/>
    <w:multiLevelType w:val="multilevel"/>
    <w:tmpl w:val="59AEE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DA3E66"/>
    <w:multiLevelType w:val="multilevel"/>
    <w:tmpl w:val="3B326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CC741F"/>
    <w:multiLevelType w:val="multilevel"/>
    <w:tmpl w:val="567A1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620C34"/>
    <w:multiLevelType w:val="multilevel"/>
    <w:tmpl w:val="9D22A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7247457">
    <w:abstractNumId w:val="0"/>
  </w:num>
  <w:num w:numId="2" w16cid:durableId="380053527">
    <w:abstractNumId w:val="4"/>
  </w:num>
  <w:num w:numId="3" w16cid:durableId="558441583">
    <w:abstractNumId w:val="1"/>
  </w:num>
  <w:num w:numId="4" w16cid:durableId="1247572378">
    <w:abstractNumId w:val="5"/>
  </w:num>
  <w:num w:numId="5" w16cid:durableId="1486824288">
    <w:abstractNumId w:val="3"/>
  </w:num>
  <w:num w:numId="6" w16cid:durableId="145902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610"/>
    <w:rsid w:val="0004313C"/>
    <w:rsid w:val="004A028D"/>
    <w:rsid w:val="00676A99"/>
    <w:rsid w:val="00862610"/>
    <w:rsid w:val="00DD5C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9FB59"/>
  <w15:chartTrackingRefBased/>
  <w15:docId w15:val="{B327D504-7048-4886-81AE-60570078B6D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rFonts w:ascii="Times New Roman" w:hAnsi="Times New Roman"/>
      <w:color w:val="000000"/>
      <w:sz w:val="24"/>
    </w:rPr>
  </w:style>
  <w:style w:type="paragraph" w:styleId="Ttulo1">
    <w:name w:val="heading 1"/>
    <w:basedOn w:val="Normal"/>
    <w:next w:val="Normal"/>
    <w:link w:val="Ttulo1Car"/>
    <w:uiPriority w:val="9"/>
    <w:qFormat/>
    <w:rsid w:val="00862610"/>
    <w:pPr>
      <w:keepNext/>
      <w:keepLines/>
      <w:spacing w:before="160" w:after="160"/>
      <w:outlineLvl w:val="0"/>
    </w:pPr>
    <w:rPr>
      <w:rFonts w:asciiTheme="majorHAnsi" w:eastAsiaTheme="majorEastAsia" w:hAnsiTheme="majorHAnsi" w:cstheme="majorBidi" w:ascii="Times New Roman" w:hAnsi="Times New Roman"/>
      <w:b/>
      <w:color w:val="000000"/>
      <w:sz w:val="28"/>
      <w:szCs w:val="40"/>
    </w:rPr>
  </w:style>
  <w:style w:type="paragraph" w:styleId="Ttulo2">
    <w:name w:val="heading 2"/>
    <w:basedOn w:val="Normal"/>
    <w:next w:val="Normal"/>
    <w:link w:val="Ttulo2Car"/>
    <w:uiPriority w:val="9"/>
    <w:semiHidden/>
    <w:unhideWhenUsed/>
    <w:qFormat/>
    <w:rsid w:val="00862610"/>
    <w:pPr>
      <w:keepNext/>
      <w:keepLines/>
      <w:spacing w:before="160" w:after="160"/>
      <w:outlineLvl w:val="1"/>
    </w:pPr>
    <w:rPr>
      <w:rFonts w:asciiTheme="majorHAnsi" w:eastAsiaTheme="majorEastAsia" w:hAnsiTheme="majorHAnsi" w:cstheme="majorBidi" w:ascii="Times New Roman" w:hAnsi="Times New Roman"/>
      <w:b/>
      <w:color w:val="000000"/>
      <w:sz w:val="24"/>
      <w:szCs w:val="32"/>
    </w:rPr>
  </w:style>
  <w:style w:type="paragraph" w:styleId="Ttulo3">
    <w:name w:val="heading 3"/>
    <w:basedOn w:val="Normal"/>
    <w:next w:val="Normal"/>
    <w:link w:val="Ttulo3Car"/>
    <w:uiPriority w:val="9"/>
    <w:semiHidden/>
    <w:unhideWhenUsed/>
    <w:qFormat/>
    <w:rsid w:val="00862610"/>
    <w:pPr>
      <w:keepNext/>
      <w:keepLines/>
      <w:spacing w:before="160" w:after="160"/>
      <w:outlineLvl w:val="2"/>
    </w:pPr>
    <w:rPr>
      <w:rFonts w:eastAsiaTheme="majorEastAsia" w:cstheme="majorBidi" w:ascii="Times New Roman" w:hAnsi="Times New Roman"/>
      <w:b/>
      <w:color w:val="000000"/>
      <w:sz w:val="24"/>
      <w:szCs w:val="28"/>
    </w:rPr>
  </w:style>
  <w:style w:type="paragraph" w:styleId="Ttulo4">
    <w:name w:val="heading 4"/>
    <w:basedOn w:val="Normal"/>
    <w:next w:val="Normal"/>
    <w:link w:val="Ttulo4Car"/>
    <w:uiPriority w:val="9"/>
    <w:semiHidden/>
    <w:unhideWhenUsed/>
    <w:qFormat/>
    <w:rsid w:val="008626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626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626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626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626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6261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261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6261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6261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6261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6261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6261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6261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6261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62610"/>
    <w:rPr>
      <w:rFonts w:eastAsiaTheme="majorEastAsia" w:cstheme="majorBidi"/>
      <w:color w:val="272727" w:themeColor="text1" w:themeTint="D8"/>
    </w:rPr>
  </w:style>
  <w:style w:type="paragraph" w:styleId="Ttulo">
    <w:name w:val="Title"/>
    <w:basedOn w:val="Normal"/>
    <w:next w:val="Normal"/>
    <w:link w:val="TtuloCar"/>
    <w:uiPriority w:val="10"/>
    <w:qFormat/>
    <w:rsid w:val="00862610"/>
    <w:pPr>
      <w:keepNext/>
      <w:spacing w:after="160" w:line="240" w:lineRule="auto" w:before="160"/>
      <w:contextualSpacing/>
    </w:pPr>
    <w:rPr>
      <w:rFonts w:asciiTheme="majorHAnsi" w:eastAsiaTheme="majorEastAsia" w:hAnsiTheme="majorHAnsi" w:cstheme="majorBidi" w:ascii="Times New Roman" w:hAnsi="Times New Roman"/>
      <w:b/>
      <w:color w:val="000000"/>
      <w:spacing w:val="-10"/>
      <w:kern w:val="28"/>
      <w:sz w:val="32"/>
      <w:szCs w:val="56"/>
    </w:rPr>
  </w:style>
  <w:style w:type="character" w:customStyle="1" w:styleId="TtuloCar">
    <w:name w:val="Título Car"/>
    <w:basedOn w:val="Fuentedeprrafopredeter"/>
    <w:link w:val="Ttulo"/>
    <w:uiPriority w:val="10"/>
    <w:rsid w:val="008626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6261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6261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62610"/>
    <w:pPr>
      <w:spacing w:before="160"/>
      <w:jc w:val="center"/>
    </w:pPr>
    <w:rPr>
      <w:i/>
      <w:iCs/>
      <w:color w:val="404040" w:themeColor="text1" w:themeTint="BF"/>
    </w:rPr>
  </w:style>
  <w:style w:type="character" w:customStyle="1" w:styleId="CitaCar">
    <w:name w:val="Cita Car"/>
    <w:basedOn w:val="Fuentedeprrafopredeter"/>
    <w:link w:val="Cita"/>
    <w:uiPriority w:val="29"/>
    <w:rsid w:val="00862610"/>
    <w:rPr>
      <w:i/>
      <w:iCs/>
      <w:color w:val="404040" w:themeColor="text1" w:themeTint="BF"/>
    </w:rPr>
  </w:style>
  <w:style w:type="paragraph" w:styleId="Prrafodelista">
    <w:name w:val="List Paragraph"/>
    <w:basedOn w:val="Normal"/>
    <w:uiPriority w:val="34"/>
    <w:qFormat/>
    <w:rsid w:val="00862610"/>
    <w:pPr>
      <w:ind w:left="720"/>
      <w:contextualSpacing/>
    </w:pPr>
  </w:style>
  <w:style w:type="character" w:styleId="nfasisintenso">
    <w:name w:val="Intense Emphasis"/>
    <w:basedOn w:val="Fuentedeprrafopredeter"/>
    <w:uiPriority w:val="21"/>
    <w:qFormat/>
    <w:rsid w:val="00862610"/>
    <w:rPr>
      <w:i/>
      <w:iCs/>
      <w:color w:val="0F4761" w:themeColor="accent1" w:themeShade="BF"/>
    </w:rPr>
  </w:style>
  <w:style w:type="paragraph" w:styleId="Citadestacada">
    <w:name w:val="Intense Quote"/>
    <w:basedOn w:val="Normal"/>
    <w:next w:val="Normal"/>
    <w:link w:val="CitadestacadaCar"/>
    <w:uiPriority w:val="30"/>
    <w:qFormat/>
    <w:rsid w:val="008626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62610"/>
    <w:rPr>
      <w:i/>
      <w:iCs/>
      <w:color w:val="0F4761" w:themeColor="accent1" w:themeShade="BF"/>
    </w:rPr>
  </w:style>
  <w:style w:type="character" w:styleId="Referenciaintensa">
    <w:name w:val="Intense Reference"/>
    <w:basedOn w:val="Fuentedeprrafopredeter"/>
    <w:uiPriority w:val="32"/>
    <w:qFormat/>
    <w:rsid w:val="008626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hyperlink" Target="https://github.com/Deithmho/intranet-distribucion-apf2" TargetMode="External"/><Relationship Id="rId17" Type="http://schemas.openxmlformats.org/officeDocument/2006/relationships/hyperlink" Target="https://docs.spring.io/spring-boot/3.5/system-requirements.html" TargetMode="External"/><Relationship Id="rId18" Type="http://schemas.openxmlformats.org/officeDocument/2006/relationships/hyperlink" Target="https://docs.spring.io/spring-data/jpa/reference/jpa/query-methods.html" TargetMode="External"/><Relationship Id="rId19" Type="http://schemas.openxmlformats.org/officeDocument/2006/relationships/hyperlink" Target="https://docs.spring.io/spring-security/reference/servlet/authentication/passwords/index.html" TargetMode="External"/><Relationship Id="rId20" Type="http://schemas.openxmlformats.org/officeDocument/2006/relationships/hyperlink" Target="https://github.com/jwtk/jjwt" TargetMode="External"/><Relationship Id="rId21" Type="http://schemas.openxmlformats.org/officeDocument/2006/relationships/hyperlink" Target="https://github.com/Edudev2004/intranet-distribucion-back"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639</Words>
  <Characters>3516</Characters>
  <Application>Microsoft Office Word</Application>
  <DocSecurity>0</DocSecurity>
  <Lines>29</Lines>
  <Paragraphs>8</Paragraphs>
  <ScaleCrop>false</ScaleCrop>
  <Company/>
  <LinksUpToDate>false</LinksUpToDate>
  <CharactersWithSpaces>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de Proyecto Final 2 Intranet de distribución</dc:title>
  <dc:subject>Desarrollo Web Integrado 60618 Persistencia y seguridad</dc:subject>
  <dc:creator>Mathias Sebastian Herrera Gutierrez</dc:creator>
  <cp:keywords/>
  <dc:description/>
  <cp:lastModifiedBy>Mathias Sebastian Herrera Gutierrez</cp:lastModifiedBy>
  <cp:revision>1</cp:revision>
  <dcterms:created xsi:type="dcterms:W3CDTF">2026-09-25T18:09:00Z</dcterms:created>
  <dcterms:modified xsi:type="dcterms:W3CDTF">2026-09-25T18:13:00Z</dcterms:modified>
</cp:coreProperties>
</file>