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00" w:firstRow="0" w:lastRow="0" w:firstColumn="0" w:lastColumn="0" w:noHBand="0" w:noVBand="1"/>
      </w:tblPr>
      <w:tblGrid>
        <w:gridCol w:w="1926"/>
        <w:gridCol w:w="859"/>
        <w:gridCol w:w="4410"/>
        <w:gridCol w:w="900"/>
        <w:gridCol w:w="937"/>
      </w:tblGrid>
      <w:tr w:rsidR="009B1D4F" w:rsidRPr="00630AA4" w14:paraId="7E255A97" w14:textId="77777777" w:rsidTr="009B1D4F">
        <w:trPr>
          <w:trHeight w:val="288"/>
        </w:trPr>
        <w:tc>
          <w:tcPr>
            <w:tcW w:w="1926" w:type="dxa"/>
          </w:tcPr>
          <w:p w14:paraId="33F3EE38" w14:textId="77777777" w:rsidR="009B1D4F" w:rsidRPr="00BE390D" w:rsidRDefault="009B1D4F" w:rsidP="00147761">
            <w:pPr>
              <w:spacing w:line="240" w:lineRule="auto"/>
              <w:rPr>
                <w:rFonts w:cs="Times New Roman"/>
                <w:sz w:val="18"/>
                <w:szCs w:val="18"/>
              </w:rPr>
            </w:pPr>
          </w:p>
        </w:tc>
        <w:tc>
          <w:tcPr>
            <w:tcW w:w="5269" w:type="dxa"/>
            <w:gridSpan w:val="2"/>
          </w:tcPr>
          <w:p w14:paraId="30069E61" w14:textId="77777777" w:rsidR="009B1D4F" w:rsidRPr="00630AA4" w:rsidRDefault="009B1D4F" w:rsidP="00147761">
            <w:pPr>
              <w:spacing w:line="240" w:lineRule="auto"/>
              <w:jc w:val="center"/>
              <w:rPr>
                <w:rFonts w:cs="Times New Roman"/>
                <w:sz w:val="18"/>
                <w:szCs w:val="18"/>
              </w:rPr>
            </w:pPr>
            <w:r w:rsidRPr="00630AA4">
              <w:rPr>
                <w:rFonts w:cs="Times New Roman"/>
                <w:sz w:val="18"/>
                <w:szCs w:val="18"/>
              </w:rPr>
              <w:t>Description</w:t>
            </w:r>
          </w:p>
        </w:tc>
        <w:tc>
          <w:tcPr>
            <w:tcW w:w="1837" w:type="dxa"/>
            <w:gridSpan w:val="2"/>
          </w:tcPr>
          <w:p w14:paraId="08F6C662" w14:textId="77777777" w:rsidR="009B1D4F" w:rsidRPr="00630AA4" w:rsidRDefault="009B1D4F" w:rsidP="00147761">
            <w:pPr>
              <w:spacing w:line="240" w:lineRule="auto"/>
              <w:jc w:val="center"/>
              <w:rPr>
                <w:rFonts w:cs="Times New Roman"/>
                <w:sz w:val="18"/>
                <w:szCs w:val="18"/>
              </w:rPr>
            </w:pPr>
            <w:r w:rsidRPr="00630AA4">
              <w:rPr>
                <w:rFonts w:cs="Times New Roman"/>
                <w:sz w:val="18"/>
                <w:szCs w:val="18"/>
              </w:rPr>
              <w:t>Reference related to</w:t>
            </w:r>
          </w:p>
        </w:tc>
      </w:tr>
      <w:tr w:rsidR="009B1D4F" w:rsidRPr="00630AA4" w14:paraId="77F4AE62" w14:textId="77777777" w:rsidTr="009B1D4F">
        <w:trPr>
          <w:trHeight w:val="288"/>
        </w:trPr>
        <w:tc>
          <w:tcPr>
            <w:tcW w:w="1926" w:type="dxa"/>
          </w:tcPr>
          <w:p w14:paraId="7A114D83" w14:textId="77777777" w:rsidR="009B1D4F" w:rsidRPr="00630AA4" w:rsidRDefault="009B1D4F" w:rsidP="00147761">
            <w:pPr>
              <w:spacing w:line="240" w:lineRule="auto"/>
              <w:jc w:val="center"/>
              <w:rPr>
                <w:rFonts w:cs="Times New Roman"/>
                <w:sz w:val="18"/>
                <w:szCs w:val="18"/>
              </w:rPr>
            </w:pPr>
            <w:r w:rsidRPr="00630AA4">
              <w:rPr>
                <w:rFonts w:cs="Times New Roman"/>
                <w:sz w:val="18"/>
                <w:szCs w:val="18"/>
              </w:rPr>
              <w:t>Gene Symbol</w:t>
            </w:r>
          </w:p>
        </w:tc>
        <w:tc>
          <w:tcPr>
            <w:tcW w:w="859" w:type="dxa"/>
          </w:tcPr>
          <w:p w14:paraId="04D781C5" w14:textId="77777777" w:rsidR="009B1D4F" w:rsidRPr="00630AA4" w:rsidRDefault="009B1D4F" w:rsidP="00147761">
            <w:pPr>
              <w:spacing w:line="240" w:lineRule="auto"/>
              <w:jc w:val="both"/>
              <w:rPr>
                <w:rFonts w:cs="Times New Roman"/>
                <w:sz w:val="18"/>
                <w:szCs w:val="18"/>
              </w:rPr>
            </w:pPr>
            <w:r w:rsidRPr="00630AA4">
              <w:rPr>
                <w:rFonts w:cs="Times New Roman"/>
                <w:sz w:val="18"/>
                <w:szCs w:val="18"/>
              </w:rPr>
              <w:t>Location</w:t>
            </w:r>
          </w:p>
        </w:tc>
        <w:tc>
          <w:tcPr>
            <w:tcW w:w="4410" w:type="dxa"/>
          </w:tcPr>
          <w:p w14:paraId="5A9A1AB0" w14:textId="77777777" w:rsidR="009B1D4F" w:rsidRPr="00630AA4" w:rsidRDefault="009B1D4F" w:rsidP="00147761">
            <w:pPr>
              <w:spacing w:line="240" w:lineRule="auto"/>
              <w:jc w:val="center"/>
              <w:rPr>
                <w:rFonts w:cs="Times New Roman"/>
                <w:sz w:val="18"/>
                <w:szCs w:val="18"/>
              </w:rPr>
            </w:pPr>
            <w:r w:rsidRPr="00630AA4">
              <w:rPr>
                <w:rFonts w:cs="Times New Roman"/>
                <w:sz w:val="18"/>
                <w:szCs w:val="18"/>
              </w:rPr>
              <w:t>Function (STRING</w:t>
            </w:r>
            <w:r>
              <w:rPr>
                <w:rFonts w:cs="Times New Roman"/>
                <w:sz w:val="18"/>
                <w:szCs w:val="18"/>
              </w:rPr>
              <w:t xml:space="preserve"> or GENE CARD</w:t>
            </w:r>
            <w:r w:rsidRPr="00630AA4">
              <w:rPr>
                <w:rFonts w:cs="Times New Roman"/>
                <w:sz w:val="18"/>
                <w:szCs w:val="18"/>
              </w:rPr>
              <w:t>)</w:t>
            </w:r>
          </w:p>
        </w:tc>
        <w:tc>
          <w:tcPr>
            <w:tcW w:w="900" w:type="dxa"/>
          </w:tcPr>
          <w:p w14:paraId="64FEADA6" w14:textId="77777777" w:rsidR="009B1D4F" w:rsidRPr="00630AA4" w:rsidRDefault="009B1D4F" w:rsidP="00147761">
            <w:pPr>
              <w:spacing w:line="240" w:lineRule="auto"/>
              <w:jc w:val="center"/>
              <w:rPr>
                <w:rFonts w:cs="Times New Roman"/>
                <w:sz w:val="18"/>
                <w:szCs w:val="18"/>
              </w:rPr>
            </w:pPr>
            <w:r w:rsidRPr="00630AA4">
              <w:rPr>
                <w:rFonts w:cs="Times New Roman"/>
                <w:sz w:val="18"/>
                <w:szCs w:val="18"/>
              </w:rPr>
              <w:t>ASD</w:t>
            </w:r>
          </w:p>
        </w:tc>
        <w:tc>
          <w:tcPr>
            <w:tcW w:w="937" w:type="dxa"/>
          </w:tcPr>
          <w:p w14:paraId="19589FBC" w14:textId="77777777" w:rsidR="009B1D4F" w:rsidRPr="00630AA4" w:rsidRDefault="009B1D4F" w:rsidP="00147761">
            <w:pPr>
              <w:spacing w:line="240" w:lineRule="auto"/>
              <w:jc w:val="center"/>
              <w:rPr>
                <w:rFonts w:cs="Times New Roman"/>
                <w:sz w:val="18"/>
                <w:szCs w:val="18"/>
              </w:rPr>
            </w:pPr>
            <w:r w:rsidRPr="00630AA4">
              <w:rPr>
                <w:rFonts w:cs="Times New Roman"/>
                <w:sz w:val="18"/>
                <w:szCs w:val="18"/>
              </w:rPr>
              <w:t>SCZ</w:t>
            </w:r>
          </w:p>
        </w:tc>
      </w:tr>
      <w:tr w:rsidR="009B1D4F" w:rsidRPr="00501CE2" w14:paraId="33C4952D" w14:textId="77777777" w:rsidTr="009B1D4F">
        <w:trPr>
          <w:trHeight w:val="575"/>
        </w:trPr>
        <w:tc>
          <w:tcPr>
            <w:tcW w:w="1926" w:type="dxa"/>
          </w:tcPr>
          <w:p w14:paraId="00D2E38F" w14:textId="77777777" w:rsidR="009B1D4F" w:rsidRPr="00630AA4" w:rsidRDefault="009B1D4F" w:rsidP="00147761">
            <w:pPr>
              <w:spacing w:line="240" w:lineRule="auto"/>
              <w:rPr>
                <w:rFonts w:cs="Times New Roman"/>
                <w:sz w:val="18"/>
                <w:szCs w:val="18"/>
              </w:rPr>
            </w:pPr>
          </w:p>
          <w:p w14:paraId="3570A577" w14:textId="77777777" w:rsidR="009B1D4F" w:rsidRPr="00630AA4" w:rsidRDefault="009B1D4F" w:rsidP="00147761">
            <w:pPr>
              <w:spacing w:line="240" w:lineRule="auto"/>
              <w:rPr>
                <w:rFonts w:cs="Times New Roman"/>
                <w:sz w:val="18"/>
                <w:szCs w:val="18"/>
              </w:rPr>
            </w:pPr>
          </w:p>
          <w:p w14:paraId="3D8888C5" w14:textId="77777777" w:rsidR="009B1D4F" w:rsidRPr="00630AA4" w:rsidRDefault="009B1D4F" w:rsidP="00147761">
            <w:pPr>
              <w:spacing w:line="240" w:lineRule="auto"/>
              <w:rPr>
                <w:rFonts w:cs="Times New Roman"/>
                <w:sz w:val="18"/>
                <w:szCs w:val="18"/>
              </w:rPr>
            </w:pPr>
          </w:p>
          <w:p w14:paraId="39F3B7E5" w14:textId="77777777" w:rsidR="009B1D4F" w:rsidRPr="00630AA4" w:rsidRDefault="009B1D4F" w:rsidP="00147761">
            <w:pPr>
              <w:spacing w:line="240" w:lineRule="auto"/>
              <w:rPr>
                <w:rFonts w:cs="Times New Roman"/>
                <w:sz w:val="18"/>
                <w:szCs w:val="18"/>
              </w:rPr>
            </w:pPr>
          </w:p>
          <w:p w14:paraId="55E2AD39" w14:textId="77777777" w:rsidR="009B1D4F" w:rsidRPr="00630AA4" w:rsidRDefault="009B1D4F" w:rsidP="00147761">
            <w:pPr>
              <w:spacing w:line="240" w:lineRule="auto"/>
              <w:rPr>
                <w:rFonts w:cs="Times New Roman"/>
                <w:i/>
                <w:sz w:val="18"/>
                <w:szCs w:val="18"/>
              </w:rPr>
            </w:pPr>
            <w:r w:rsidRPr="00630AA4">
              <w:rPr>
                <w:rFonts w:cs="Times New Roman"/>
                <w:sz w:val="18"/>
                <w:szCs w:val="18"/>
              </w:rPr>
              <w:t>ADIPOR1</w:t>
            </w:r>
          </w:p>
        </w:tc>
        <w:tc>
          <w:tcPr>
            <w:tcW w:w="859" w:type="dxa"/>
          </w:tcPr>
          <w:p w14:paraId="741C4629" w14:textId="77777777" w:rsidR="009B1D4F" w:rsidRPr="00630AA4" w:rsidRDefault="009B1D4F" w:rsidP="00147761">
            <w:pPr>
              <w:spacing w:line="240" w:lineRule="auto"/>
              <w:jc w:val="both"/>
              <w:rPr>
                <w:rFonts w:cs="Times New Roman"/>
                <w:color w:val="000000"/>
                <w:sz w:val="18"/>
                <w:szCs w:val="18"/>
                <w:shd w:val="clear" w:color="auto" w:fill="FFFFFF"/>
              </w:rPr>
            </w:pPr>
          </w:p>
          <w:p w14:paraId="7BBC86A8" w14:textId="77777777" w:rsidR="009B1D4F" w:rsidRPr="00630AA4" w:rsidRDefault="009B1D4F" w:rsidP="00147761">
            <w:pPr>
              <w:spacing w:line="240" w:lineRule="auto"/>
              <w:jc w:val="both"/>
              <w:rPr>
                <w:rFonts w:cs="Times New Roman"/>
                <w:color w:val="000000"/>
                <w:sz w:val="18"/>
                <w:szCs w:val="18"/>
                <w:shd w:val="clear" w:color="auto" w:fill="FFFFFF"/>
              </w:rPr>
            </w:pPr>
          </w:p>
          <w:p w14:paraId="0A86CD4D" w14:textId="77777777" w:rsidR="009B1D4F" w:rsidRPr="00630AA4" w:rsidRDefault="009B1D4F" w:rsidP="00147761">
            <w:pPr>
              <w:spacing w:line="240" w:lineRule="auto"/>
              <w:jc w:val="both"/>
              <w:rPr>
                <w:rFonts w:cs="Times New Roman"/>
                <w:color w:val="000000"/>
                <w:sz w:val="18"/>
                <w:szCs w:val="18"/>
                <w:shd w:val="clear" w:color="auto" w:fill="FFFFFF"/>
              </w:rPr>
            </w:pPr>
          </w:p>
          <w:p w14:paraId="707EB698" w14:textId="77777777" w:rsidR="009B1D4F" w:rsidRDefault="009B1D4F" w:rsidP="00147761">
            <w:pPr>
              <w:spacing w:line="240" w:lineRule="auto"/>
              <w:jc w:val="both"/>
              <w:rPr>
                <w:rFonts w:cs="Times New Roman"/>
                <w:color w:val="000000"/>
                <w:sz w:val="18"/>
                <w:szCs w:val="18"/>
                <w:shd w:val="clear" w:color="auto" w:fill="FFFFFF"/>
              </w:rPr>
            </w:pPr>
          </w:p>
          <w:p w14:paraId="482FEB31" w14:textId="77777777" w:rsidR="009B1D4F" w:rsidRPr="00630AA4" w:rsidRDefault="009B1D4F" w:rsidP="00147761">
            <w:pPr>
              <w:spacing w:line="240" w:lineRule="auto"/>
              <w:jc w:val="both"/>
              <w:rPr>
                <w:rFonts w:cs="Times New Roman"/>
                <w:sz w:val="18"/>
                <w:szCs w:val="18"/>
              </w:rPr>
            </w:pPr>
            <w:r w:rsidRPr="00630AA4">
              <w:rPr>
                <w:rFonts w:cs="Times New Roman"/>
                <w:color w:val="000000"/>
                <w:sz w:val="18"/>
                <w:szCs w:val="18"/>
                <w:shd w:val="clear" w:color="auto" w:fill="FFFFFF"/>
              </w:rPr>
              <w:t>1q32.1</w:t>
            </w:r>
          </w:p>
        </w:tc>
        <w:tc>
          <w:tcPr>
            <w:tcW w:w="4410" w:type="dxa"/>
          </w:tcPr>
          <w:p w14:paraId="715E87F2" w14:textId="77777777" w:rsidR="009B1D4F" w:rsidRPr="00630AA4" w:rsidRDefault="009B1D4F" w:rsidP="00147761">
            <w:pPr>
              <w:jc w:val="both"/>
              <w:rPr>
                <w:rFonts w:cs="Times New Roman"/>
                <w:sz w:val="18"/>
                <w:szCs w:val="18"/>
              </w:rPr>
            </w:pPr>
            <w:r w:rsidRPr="00630AA4">
              <w:rPr>
                <w:rFonts w:cs="Times New Roman"/>
                <w:sz w:val="18"/>
                <w:szCs w:val="18"/>
              </w:rPr>
              <w:t xml:space="preserve">Adiponectin receptor protein 1; Receptor for ADIPOQ, an essential hormone secreted by adipocytes that regulates glucose and lipid metabolism. Required for normal glucose and fat homeostasis and for maintaining a normal body weight. ADIPOQ-binding activates a signaling cascade that leads to increased AMPK activity, and ultimately to increased fatty acid oxidation, increased glucose uptake and decreased gluconeogenesis. Has high affinity for globular adiponectin and low affinity for full-length adiponectin (By similarity); Belongs to the ADIPOR family </w:t>
            </w:r>
          </w:p>
          <w:p w14:paraId="52924440" w14:textId="77777777" w:rsidR="009B1D4F" w:rsidRPr="00630AA4" w:rsidRDefault="009B1D4F" w:rsidP="00147761">
            <w:pPr>
              <w:spacing w:line="240" w:lineRule="auto"/>
              <w:jc w:val="both"/>
              <w:rPr>
                <w:rFonts w:cs="Times New Roman"/>
                <w:sz w:val="18"/>
                <w:szCs w:val="18"/>
              </w:rPr>
            </w:pPr>
          </w:p>
        </w:tc>
        <w:tc>
          <w:tcPr>
            <w:tcW w:w="900" w:type="dxa"/>
          </w:tcPr>
          <w:p w14:paraId="50513679" w14:textId="77777777" w:rsidR="009B1D4F" w:rsidRDefault="009B1D4F" w:rsidP="00147761">
            <w:pPr>
              <w:spacing w:line="240" w:lineRule="auto"/>
              <w:rPr>
                <w:rFonts w:cs="Times New Roman"/>
                <w:sz w:val="18"/>
                <w:szCs w:val="18"/>
              </w:rPr>
            </w:pPr>
          </w:p>
          <w:p w14:paraId="56A39706" w14:textId="77777777" w:rsidR="009B1D4F" w:rsidRDefault="009B1D4F" w:rsidP="00147761">
            <w:pPr>
              <w:spacing w:line="240" w:lineRule="auto"/>
              <w:rPr>
                <w:rFonts w:cs="Times New Roman"/>
                <w:sz w:val="18"/>
                <w:szCs w:val="18"/>
              </w:rPr>
            </w:pPr>
          </w:p>
          <w:p w14:paraId="5CE59D91" w14:textId="77777777" w:rsidR="009B1D4F" w:rsidRDefault="009B1D4F" w:rsidP="00147761">
            <w:pPr>
              <w:spacing w:line="240" w:lineRule="auto"/>
              <w:rPr>
                <w:rFonts w:cs="Times New Roman"/>
                <w:sz w:val="18"/>
                <w:szCs w:val="18"/>
              </w:rPr>
            </w:pPr>
          </w:p>
          <w:p w14:paraId="6FDA9C17" w14:textId="77777777" w:rsidR="009B1D4F" w:rsidRDefault="009B1D4F" w:rsidP="00147761">
            <w:pPr>
              <w:spacing w:line="240" w:lineRule="auto"/>
              <w:rPr>
                <w:rFonts w:cs="Times New Roman"/>
                <w:sz w:val="18"/>
                <w:szCs w:val="18"/>
              </w:rPr>
            </w:pPr>
          </w:p>
          <w:p w14:paraId="30A30515" w14:textId="77777777" w:rsidR="009B1D4F" w:rsidRDefault="009B1D4F" w:rsidP="00147761">
            <w:pPr>
              <w:spacing w:line="240" w:lineRule="auto"/>
              <w:rPr>
                <w:rFonts w:cs="Times New Roman"/>
                <w:sz w:val="18"/>
                <w:szCs w:val="18"/>
              </w:rPr>
            </w:pPr>
            <w:r>
              <w:rPr>
                <w:rFonts w:cs="Times New Roman"/>
                <w:sz w:val="18"/>
                <w:szCs w:val="18"/>
              </w:rPr>
              <w:fldChar w:fldCharType="begin"/>
            </w:r>
            <w:r>
              <w:rPr>
                <w:rFonts w:cs="Times New Roman"/>
                <w:sz w:val="18"/>
                <w:szCs w:val="18"/>
              </w:rPr>
              <w:instrText xml:space="preserve"> ADDIN ZOTERO_ITEM CSL_CITATION {"citationID":"a201fhvlrhj","properties":{"formattedCitation":"\\super 37\\nosupersub{}","plainCitation":"37","noteIndex":0},"citationItems":[{"id":732,"uris":["http://zotero.org/users/local/c5nmaFTs/items/SWIKCH7M"],"itemData":{"id":732,"type":"article-journal","abstract":"CONTEXT: Autism spectrum disorders (ASDs) are a group of conditions characterized by impaired social function and repetitive behaviors. Their etiology is largely unknown.\nOBJECTIVE: This work aims to examine the associations of maternal second-trimester and cord blood leptin and adiponectin levels with ASDs in offspring.\nMETHODS: We used data from 1164 mother-child pairs enrolled in Project Viva, a prospective prebirth cohort. We used logistic regression analysis to examine the associations of leptin and adiponectin levels in maternal second-trimester blood and cord blood obtained at birth with ASDs. Additionally, we examined the association of maternal prepregnancy body mass index (BMI) as an exposure. Main outcome measures included doctor-diagnosed ASDs reported by mothers using questionnaires in midchildhood and early adolescence.\nRESULTS: The cumulative incidence of ASDs was 3.4%. Maternal prepregnancy BMI (per 5 points) was positively associated with ASDs in a logistic regression model adjusted for maternal race/ethnicity, education, smoking status and child sex (adjusted odds ratio [OR] 1.38; 95% CI, 1.06-1.79). Higher second-trimester adiponectin was associated with lower odds of ASD in offspring (unadjusted OR 0.49; 95% CI, 0.30-0.78; and OR 0.54; 95% CI, 0.32-0.91 after adjusting for maternal race/ethnicity, education, child sex, OR 0.55; 95% CI, 0.33-0.93 after adjusting for BMI, gestational weight gain, gestational diabetes, and smoking status). Maternal leptin and cord blood leptin and adiponectin levels were not associated with ASDs.\nCONCLUSION: Prepregnancy BMI and adiponectin during pregnancy may be useful as a tool to monitor the risk of autism. Increasing adiponectin levels prenatally may play a role in the prevention of ASDs.","container-title":"The Journal of Clinical Endocrinology and Metabolism","DOI":"10.1210/clinem/dgab378","ISSN":"1945-7197","issue":"10","journalAbbreviation":"J Clin Endocrinol Metab","language":"eng","note":"PMID: 34050756\nPMCID: PMC8475238","page":"e4118-e4127","source":"PubMed","title":"Maternal Midpregnancy Leptin and Adiponectin Levels as Predictors of Autism Spectrum Disorders: A Prenatal Cohort Study","title-short":"Maternal Midpregnancy Leptin and Adiponectin Levels as Predictors of Autism Spectrum Disorders","volume":"106","author":[{"family":"Joung","given":"Kyoung Eun"},{"family":"Rifas-Shiman","given":"Sheryl L."},{"family":"Oken","given":"Emily"},{"family":"Mantzoros","given":"Christos S."}],"issued":{"date-parts":[["2021",9,27]]}}}],"schema":"https://github.com/citation-style-language/schema/raw/master/csl-citation.json"} </w:instrText>
            </w:r>
            <w:r>
              <w:rPr>
                <w:rFonts w:cs="Times New Roman"/>
                <w:sz w:val="18"/>
                <w:szCs w:val="18"/>
              </w:rPr>
              <w:fldChar w:fldCharType="separate"/>
            </w:r>
            <w:r w:rsidRPr="00917505">
              <w:rPr>
                <w:rFonts w:cs="Times New Roman"/>
                <w:sz w:val="18"/>
                <w:vertAlign w:val="superscript"/>
              </w:rPr>
              <w:t>37</w:t>
            </w:r>
            <w:r>
              <w:rPr>
                <w:rFonts w:cs="Times New Roman"/>
                <w:sz w:val="18"/>
                <w:szCs w:val="18"/>
              </w:rPr>
              <w:fldChar w:fldCharType="end"/>
            </w:r>
            <w:r>
              <w:rPr>
                <w:rFonts w:cs="Times New Roman"/>
                <w:sz w:val="18"/>
                <w:szCs w:val="18"/>
              </w:rPr>
              <w:t>,</w:t>
            </w:r>
            <w:r>
              <w:rPr>
                <w:rFonts w:cs="Times New Roman"/>
                <w:sz w:val="18"/>
                <w:szCs w:val="18"/>
              </w:rPr>
              <w:fldChar w:fldCharType="begin"/>
            </w:r>
            <w:r>
              <w:rPr>
                <w:rFonts w:cs="Times New Roman"/>
                <w:sz w:val="18"/>
                <w:szCs w:val="18"/>
              </w:rPr>
              <w:instrText xml:space="preserve"> ADDIN ZOTERO_ITEM CSL_CITATION {"citationID":"a2mukvrm8av","properties":{"formattedCitation":"\\super 38\\nosupersub{}","plainCitation":"38","noteIndex":0},"citationItems":[{"id":738,"uris":["http://zotero.org/users/local/c5nmaFTs/items/W73MMMT8"],"itemData":{"id":738,"type":"thesis","abstract":"Autism spectrum disorder (ASD) is a complex neurodevelopmental condition characterized by impairments in social interaction and communication, and by the presence of restrictive repetitive behavior. The precise cause of ASD is largely unknown, but is thought to be due to genetic predisposition combined with environmental factors. Emerging epidemiological studies have identified several non-genetic risk factors for ASD, many of which may have their origins during prenatal and early postnatal periods. Among these, nutritional and metabolic factors during critical early life windows may be important, but they have not been well studied in a prospective birth cohort. \nTo address some of these knowledge gaps, this dissertation focused on the prospective associations between: 1) maternal folate and vitamin B12 status and development of ASD in children (specific aim 1); and 2) child’s leptin and adiponectin levels and development of ASD (specific aims 2 and 3). Data from the Boston Birth Cohort (BBC), a large prospective birth cohort, consisting of a predominantly urban, low-income minority population, were used. The BBC recruited mother-child pairs at birth and followed them from birth onwards for pediatric outcomes including ASD. Electronic Medical Records were used to identify children with ASD and other neurodevelopmental disorders.\n For specific aim 1, maternal folate status was defined using two complementary measures: maternal self-reported intake via questionnaire and maternal plasma biomarker of folate and vitamin B12 levels. Mothers’ supplement intake during pregnancy was associated with a ‘U-shaped’ relationship in ASD risk in their children. In addition, extremely high maternal plasma folate and vitamin B12 levels were associated with a greater risk of developing ASD in children. \nFor specific aims 2 and 3, the child’s plasma leptin and adiponectin levels were measured at two-time points: cord blood collected at delivery and venous blood collected in early childhood. Children with highest early childhood leptin levels (quartile 4), when compared to those with lowest levels (quartile 1), showed an increased risk of developing ASD. Extremely rapid weight gain during 1st year of life was associated with a greater ASD risk, when compared to those children whose growth was on track and this association persisted after adjusting for pertinent confounders. Early childhood leptin partially mediated the association between 1st year weight gain and ASD. However, no association with ASD was found for fetal growth pattern and cord leptin levels. On the other hand, cord adiponectin levels were inversely associated with ASD risk and this was independent of preterm birth, early childhood adiponectin and other known ASD risk factors. While higher early childhood adiponectin was also associated with a lower risk of ASD, the association attenuated after adjusting for cord adiponectin. \nThe findings from this dissertation, if confirmed by future studies, could have important clinical and public health implications. Notably, findings from specific aim 1 underscore the need to 1) regularly monitor folate levels in women of reproductive age (both at clinical and population level); and 2) identify an optimal plasma folate levels, so that adverse effects of both low and high levels of folate can be averted. Findings from specific aims 2 and 3 provide a basis to further explore whether biomarkers such as leptin and adiponectin, in combination with early life growth pattern can improve our ability to detect children at high risk of developing ASD at the earliest possible age, to inform targets for early prevention.","genre":"Thesis","language":"en_US","note":"Accepted: 2021-11-15T19:58:24Z","publisher":"Johns Hopkins University","source":"jscholarship.library.jhu.edu","title":"Folate, leptin, adiponectin and development of Autism Spectrum Disorder: A prospective birth cohort study","title-short":"Folate, leptin, adiponectin and development of Autism Spectrum Disorder","URL":"https://jscholarship.library.jhu.edu/handle/1774.2/66625","author":[{"family":"Raghavan","given":"Ramkripa"}],"accessed":{"date-parts":[["2022",11,6]]},"issued":{"date-parts":[["2018",3,16]]}}}],"schema":"https://github.com/citation-style-language/schema/raw/master/csl-citation.json"} </w:instrText>
            </w:r>
            <w:r>
              <w:rPr>
                <w:rFonts w:cs="Times New Roman"/>
                <w:sz w:val="18"/>
                <w:szCs w:val="18"/>
              </w:rPr>
              <w:fldChar w:fldCharType="separate"/>
            </w:r>
            <w:r w:rsidRPr="00917505">
              <w:rPr>
                <w:rFonts w:cs="Times New Roman"/>
                <w:sz w:val="18"/>
                <w:vertAlign w:val="superscript"/>
              </w:rPr>
              <w:t>38</w:t>
            </w:r>
            <w:r>
              <w:rPr>
                <w:rFonts w:cs="Times New Roman"/>
                <w:sz w:val="18"/>
                <w:szCs w:val="18"/>
              </w:rPr>
              <w:fldChar w:fldCharType="end"/>
            </w:r>
            <w:r>
              <w:rPr>
                <w:rFonts w:cs="Times New Roman"/>
                <w:sz w:val="18"/>
                <w:szCs w:val="18"/>
              </w:rPr>
              <w:t>,</w:t>
            </w:r>
            <w:r>
              <w:rPr>
                <w:rFonts w:cs="Times New Roman"/>
                <w:sz w:val="18"/>
                <w:szCs w:val="18"/>
              </w:rPr>
              <w:fldChar w:fldCharType="begin"/>
            </w:r>
            <w:r>
              <w:rPr>
                <w:rFonts w:cs="Times New Roman"/>
                <w:sz w:val="18"/>
                <w:szCs w:val="18"/>
              </w:rPr>
              <w:instrText xml:space="preserve"> ADDIN ZOTERO_ITEM CSL_CITATION {"citationID":"a2kg3sebhk6","properties":{"formattedCitation":"\\super 39\\nosupersub{}","plainCitation":"39","noteIndex":0},"citationItems":[{"id":1382,"uris":["http://zotero.org/users/local/c5nmaFTs/items/J2V36UI8"],"itemData":{"id":1382,"type":"article-journal","abstract":"IntroductionAutism spectrum disorders (ASDs) are neurodevelopmental diseases characterized by communication inabilities, social interaction impairment, repetitive behavior, as well as learning problems. Although the exact mechanism underlying this disease is still obscure, researchers believe that several factors play a significant role in its development and pathogenesis. Some authors have reported an association between adipokines family and autism. C1q/TNF-related protein-1 (CTRP1) is a member of the adipokines family, and we hypothesized that this adipokine might have an influential role in the pathogenesis of ASDs. Since there is no specific marker for screening the disease, we evaluated CTRP1 as a potential marker for achieving this purpose.MethodsBlood samples were collected from 82 (41 ASDs boys, 41 healthy boys as controls) children aged 5?7 years old. CTRP1 gene expression and CTRP1 serum level were measured by quantitative realtime-PCR and enzyme-linked immunosorbent assay methods, respectively.ResultsIt was found that CTRP1 is significantly elevated in autistic children in comparison to healthy controls, both at the gene expression level, as well as at the serum level; demonstrating a good diagnostic value with a good range of sensitivity and specificity for detecting ASDs.ConclusionCTRP1 expression is elevated in ASDs boys aged 5?7 years old, suggesting a role for this adipokine in ASDs pathophysiology. Also, receiver operating characteristic curve analyses revealed that this adipokine could be utilized as a diagnostic biomarker for differentiating ASDs patients from healthy individuals along with other recently proposed biomarkers.","container-title":"International Journal of Immunopathology and Pharmacology","DOI":"10.1177/03946320221079471","ISSN":"0394-6320","journalAbbreviation":"Int J Immunopathol Pharmacol","language":"en","note":"publisher: SAGE Publications Ltd","page":"03946320221079471","source":"SAGE Journals","title":"C1q/TNF-related protein-1: Potential biomarker for early diagnosis of autism spectrum disorder","title-short":"C1q/TNF-related protein-1","URL":"https://doi.org/10.1177/03946320221079471","volume":"36","author":[{"family":"Raeisy","given":"Hamed"},{"family":"Bayati","given":"Paria"},{"family":"Noorbakhsh","given":"Farshid"},{"family":"Hakim Shooshtari","given":"Mitra"},{"family":"Eftekhar Ardebili","given":"Mehrdad"},{"family":"Shekarabi","given":"Mehdi"},{"family":"Mojtabavi","given":"Nazanin"}],"accessed":{"date-parts":[["2022",12,8]]},"issued":{"date-parts":[["2022",1,1]]}}}],"schema":"https://github.com/citation-style-language/schema/raw/master/csl-citation.json"} </w:instrText>
            </w:r>
            <w:r>
              <w:rPr>
                <w:rFonts w:cs="Times New Roman"/>
                <w:sz w:val="18"/>
                <w:szCs w:val="18"/>
              </w:rPr>
              <w:fldChar w:fldCharType="separate"/>
            </w:r>
            <w:r w:rsidRPr="00917505">
              <w:rPr>
                <w:rFonts w:cs="Times New Roman"/>
                <w:sz w:val="18"/>
                <w:vertAlign w:val="superscript"/>
              </w:rPr>
              <w:t>39</w:t>
            </w:r>
            <w:r>
              <w:rPr>
                <w:rFonts w:cs="Times New Roman"/>
                <w:sz w:val="18"/>
                <w:szCs w:val="18"/>
              </w:rPr>
              <w:fldChar w:fldCharType="end"/>
            </w:r>
          </w:p>
          <w:p w14:paraId="7906D1AA" w14:textId="77777777" w:rsidR="009B1D4F" w:rsidRPr="00630AA4" w:rsidRDefault="009B1D4F" w:rsidP="00147761">
            <w:pPr>
              <w:spacing w:line="240" w:lineRule="auto"/>
              <w:rPr>
                <w:rFonts w:cs="Times New Roman"/>
                <w:sz w:val="18"/>
                <w:szCs w:val="18"/>
              </w:rPr>
            </w:pPr>
          </w:p>
        </w:tc>
        <w:tc>
          <w:tcPr>
            <w:tcW w:w="937" w:type="dxa"/>
          </w:tcPr>
          <w:p w14:paraId="15A65B33" w14:textId="77777777" w:rsidR="009B1D4F" w:rsidRDefault="009B1D4F" w:rsidP="00147761">
            <w:pPr>
              <w:spacing w:line="240" w:lineRule="auto"/>
              <w:rPr>
                <w:rFonts w:cs="Times New Roman"/>
                <w:color w:val="000000"/>
                <w:sz w:val="18"/>
                <w:szCs w:val="18"/>
                <w:shd w:val="clear" w:color="auto" w:fill="FFFFFF"/>
              </w:rPr>
            </w:pPr>
          </w:p>
          <w:p w14:paraId="2A05717F" w14:textId="77777777" w:rsidR="009B1D4F" w:rsidRDefault="009B1D4F" w:rsidP="00147761">
            <w:pPr>
              <w:spacing w:line="240" w:lineRule="auto"/>
              <w:rPr>
                <w:rFonts w:cs="Times New Roman"/>
                <w:color w:val="000000"/>
                <w:sz w:val="18"/>
                <w:szCs w:val="18"/>
                <w:shd w:val="clear" w:color="auto" w:fill="FFFFFF"/>
              </w:rPr>
            </w:pPr>
          </w:p>
          <w:p w14:paraId="2DDFD0EE" w14:textId="77777777" w:rsidR="009B1D4F" w:rsidRDefault="009B1D4F" w:rsidP="00147761">
            <w:pPr>
              <w:spacing w:line="240" w:lineRule="auto"/>
              <w:rPr>
                <w:rFonts w:cs="Times New Roman"/>
                <w:color w:val="000000"/>
                <w:sz w:val="18"/>
                <w:szCs w:val="18"/>
                <w:shd w:val="clear" w:color="auto" w:fill="FFFFFF"/>
              </w:rPr>
            </w:pPr>
          </w:p>
          <w:p w14:paraId="7E5F1259" w14:textId="77777777" w:rsidR="009B1D4F" w:rsidRDefault="009B1D4F" w:rsidP="00147761">
            <w:pPr>
              <w:spacing w:line="240" w:lineRule="auto"/>
              <w:rPr>
                <w:rFonts w:cs="Times New Roman"/>
                <w:color w:val="000000"/>
                <w:sz w:val="18"/>
                <w:szCs w:val="18"/>
                <w:shd w:val="clear" w:color="auto" w:fill="FFFFFF"/>
              </w:rPr>
            </w:pPr>
          </w:p>
          <w:p w14:paraId="204FE302" w14:textId="77777777" w:rsidR="009B1D4F" w:rsidRPr="00917505" w:rsidRDefault="009B1D4F" w:rsidP="00147761">
            <w:pPr>
              <w:spacing w:line="240" w:lineRule="auto"/>
              <w:rPr>
                <w:rFonts w:cs="Times New Roman"/>
                <w:color w:val="000000"/>
                <w:sz w:val="18"/>
                <w:szCs w:val="18"/>
                <w:shd w:val="clear" w:color="auto" w:fill="FFFFFF"/>
              </w:rPr>
            </w:pPr>
            <w:r w:rsidRPr="00582DDF">
              <w:rPr>
                <w:rFonts w:cs="Times New Roman"/>
                <w:color w:val="000000"/>
                <w:sz w:val="18"/>
                <w:szCs w:val="18"/>
                <w:shd w:val="clear" w:color="auto" w:fill="FFFFFF"/>
              </w:rPr>
              <w:fldChar w:fldCharType="begin"/>
            </w:r>
            <w:r>
              <w:rPr>
                <w:rFonts w:cs="Times New Roman"/>
                <w:color w:val="000000"/>
                <w:sz w:val="18"/>
                <w:szCs w:val="18"/>
                <w:shd w:val="clear" w:color="auto" w:fill="FFFFFF"/>
              </w:rPr>
              <w:instrText xml:space="preserve"> ADDIN ZOTERO_ITEM CSL_CITATION {"citationID":"a2ooad4am4v","properties":{"formattedCitation":"\\super 40\\nosupersub{}","plainCitation":"40","noteIndex":0},"citationItems":[{"id":1363,"uris":["http://zotero.org/users/local/c5nmaFTs/items/QVQ4SSG9"],"itemData":{"id":1363,"type":"article-journal","abstract":"Schizophrenia is a serious neuropsychiatric disorder, yet a clear pathophysiology has not been identified. To date, neither the objective biomarkers for diagnosis nor specific medications for the treatment of schizophrenia are clinically satisfactory. It is well accepted that lipids are essential to maintain the normal structure and function of neurons in the brain and that abnormalities in neuronal lipids are associated with abnormal neurodevelopment in schizophrenia. However, lipids and lipid-like molecules have been largely unexplored in contrast to proteins and their genes in schizophrenia. Compared with the gene- and protein-centric approaches, lipidomics is a recently emerged and rapidly evolving research field with particular importance for the study of neuropsychiatric disorders such as schizophrenia, in which even subtle aberrant alterations in the lipid composition and concentration of the neurons may disrupt brain functioning. In this review, we aimed to highlight the lipidomics of the brain, retina, and biofluids in both human and animal studies, discuss aberrant lipid alterations in correlation with schizophrenia, and propose future directions from the biological landscape towards potential clinical applications in schizophrenia. Recent studies are in support of the concept that aberrations in some lipid species [e.g. phospholipids, polyunsaturated fatty acids (PUFAs)] lead to structural alterations and, in turn, impairments in the biological function of membrane-bound proteins, the disruption of cell signaling molecule accessibility, and the dysfunction of neurotransmitter systems. In addition, abnormal lipidome alterations in biofluids are linked to schizophrenia, and thus they hold promise in the discovery of biomarkers for the diagnosis of schizophrenia.","container-title":"Translational Psychiatry","DOI":"10.1038/s41398-020-01080-1","ISSN":"2158-3188","issue":"1","journalAbbreviation":"Transl Psychiatry","language":"en","license":"2020 The Author(s)","note":"number: 1\npublisher: Nature Publishing Group","page":"1-9","source":"www.nature.com","title":"Lipidomics of the brain, retina, and biofluids: from the biological landscape to potential clinical application in schizophrenia","title-short":"Lipidomics of the brain, retina, and biofluids","URL":"https://www.nature.com/articles/s41398-020-01080-1","volume":"10","author":[{"family":"Zhuo","given":"Chuanjun"},{"family":"Hou","given":"Weihong"},{"family":"Tian","given":"Hongjun"},{"family":"Wang","given":"Lina"},{"family":"Li","given":"Ranli"}],"accessed":{"date-parts":[["2022",12,7]]},"issued":{"date-parts":[["2020",11,9]]}}}],"schema":"https://github.com/citation-style-language/schema/raw/master/csl-citation.json"} </w:instrText>
            </w:r>
            <w:r w:rsidRPr="00582DDF">
              <w:rPr>
                <w:rFonts w:cs="Times New Roman"/>
                <w:color w:val="000000"/>
                <w:sz w:val="18"/>
                <w:szCs w:val="18"/>
                <w:shd w:val="clear" w:color="auto" w:fill="FFFFFF"/>
              </w:rPr>
              <w:fldChar w:fldCharType="separate"/>
            </w:r>
            <w:r w:rsidRPr="00917505">
              <w:rPr>
                <w:rFonts w:cs="Times New Roman"/>
                <w:color w:val="000000"/>
                <w:sz w:val="18"/>
                <w:vertAlign w:val="superscript"/>
              </w:rPr>
              <w:t>40</w:t>
            </w:r>
            <w:r w:rsidRPr="00582DDF">
              <w:rPr>
                <w:rFonts w:cs="Times New Roman"/>
                <w:color w:val="000000"/>
                <w:sz w:val="18"/>
                <w:szCs w:val="18"/>
                <w:shd w:val="clear" w:color="auto" w:fill="FFFFFF"/>
              </w:rPr>
              <w:fldChar w:fldCharType="end"/>
            </w:r>
            <w:r w:rsidRPr="00582DDF">
              <w:rPr>
                <w:rFonts w:cs="Times New Roman"/>
                <w:color w:val="000000"/>
                <w:sz w:val="18"/>
                <w:szCs w:val="18"/>
                <w:shd w:val="clear" w:color="auto" w:fill="FFFFFF"/>
              </w:rPr>
              <w:t>,</w:t>
            </w:r>
            <w:r w:rsidRPr="00582DDF">
              <w:rPr>
                <w:rFonts w:cs="Times New Roman"/>
                <w:color w:val="000000"/>
                <w:sz w:val="18"/>
                <w:szCs w:val="18"/>
                <w:shd w:val="clear" w:color="auto" w:fill="FFFFFF"/>
              </w:rPr>
              <w:fldChar w:fldCharType="begin"/>
            </w:r>
            <w:r>
              <w:rPr>
                <w:rFonts w:cs="Times New Roman"/>
                <w:color w:val="000000"/>
                <w:sz w:val="18"/>
                <w:szCs w:val="18"/>
                <w:shd w:val="clear" w:color="auto" w:fill="FFFFFF"/>
              </w:rPr>
              <w:instrText xml:space="preserve"> ADDIN ZOTERO_ITEM CSL_CITATION {"citationID":"a20m68ive2v","properties":{"formattedCitation":"\\super 41\\nosupersub{}","plainCitation":"41","noteIndex":0},"citationItems":[{"id":1366,"uris":["http://zotero.org/users/local/c5nmaFTs/items/8M3B6HX5"],"itemData":{"id":1366,"type":"article-journal","abstract":"Antipsychotic-induced metabolic disturbance is a common adverse event occurring in patients treated with antipsychotic drugs. The mechanisms underlying metabolic dysregulation are complex, involving various neurochemical and hormonal systems, the interaction of genetic and lifestyle risk factors, and the antipsychotic drug prescribed. Recently, there has been increasing interest in the relationship between antipsychotic-induced metabolic disturbances and body weight regulatory hormones such as adiponectin. Adiponectin, an adipocyte-derived protein related to insulin sensitivity, weight gain, and anti-inflammation, has attracted great attention because of its potential role of being a biomarker to predict cardiovascular and metabolic diseases. Previous studies regarding the effects of antipsychotics on blood adiponectin levels have shown controversial results. Several factors might contribute to those inconsistent results, including different antipsychotic drugs, duration of antipsychotic exposure, age, sex, and ethnicity. Here we summarize the existing evidence on the link between blood adiponectin levels and metabolic disturbances related to antipsychotic drugs in patients with schizophrenia. We further discuss the effects of individual antipsychotics, patients' gender, ethnicity, age, and treatment duration on those relationships. We propose that olanzapine and clozapine might have a time-dependent biphasic effect on blood adiponectin levels in patients with schizophrenia.","container-title":"Frontiers in Psychiatry","ISSN":"1664-0640","source":"Frontiers","title":"The Role of Adiponectin in the Pathogenesis of Metabolic Disturbances in Patients With Schizophrenia","URL":"https://www.frontiersin.org/articles/10.3389/fpsyt.2020.605124","volume":"11","author":[{"family":"Chen","given":"Cynthia Yi-An"},{"family":"Goh","given":"Kah Kheng"},{"family":"Chen","given":"Chun-Hsin"},{"family":"Lu","given":"Mong-Liang"}],"accessed":{"date-parts":[["2022",12,7]]},"issued":{"date-parts":[["2021"]]}}}],"schema":"https://github.com/citation-style-language/schema/raw/master/csl-citation.json"} </w:instrText>
            </w:r>
            <w:r w:rsidRPr="00582DDF">
              <w:rPr>
                <w:rFonts w:cs="Times New Roman"/>
                <w:color w:val="000000"/>
                <w:sz w:val="18"/>
                <w:szCs w:val="18"/>
                <w:shd w:val="clear" w:color="auto" w:fill="FFFFFF"/>
              </w:rPr>
              <w:fldChar w:fldCharType="separate"/>
            </w:r>
            <w:r w:rsidRPr="00917505">
              <w:rPr>
                <w:rFonts w:cs="Times New Roman"/>
                <w:color w:val="000000"/>
                <w:sz w:val="18"/>
                <w:vertAlign w:val="superscript"/>
              </w:rPr>
              <w:t>41</w:t>
            </w:r>
            <w:r w:rsidRPr="00582DDF">
              <w:rPr>
                <w:rFonts w:cs="Times New Roman"/>
                <w:color w:val="000000"/>
                <w:sz w:val="18"/>
                <w:szCs w:val="18"/>
                <w:shd w:val="clear" w:color="auto" w:fill="FFFFFF"/>
              </w:rPr>
              <w:fldChar w:fldCharType="end"/>
            </w:r>
          </w:p>
        </w:tc>
      </w:tr>
      <w:tr w:rsidR="009B1D4F" w:rsidRPr="00501CE2" w14:paraId="2BC5511F" w14:textId="77777777" w:rsidTr="009B1D4F">
        <w:trPr>
          <w:trHeight w:val="593"/>
        </w:trPr>
        <w:tc>
          <w:tcPr>
            <w:tcW w:w="1926" w:type="dxa"/>
          </w:tcPr>
          <w:p w14:paraId="179BA3D6" w14:textId="77777777" w:rsidR="009B1D4F" w:rsidRPr="00501CE2" w:rsidRDefault="009B1D4F" w:rsidP="00147761">
            <w:pPr>
              <w:spacing w:line="240" w:lineRule="auto"/>
              <w:rPr>
                <w:rFonts w:cs="Times New Roman"/>
                <w:sz w:val="18"/>
                <w:szCs w:val="18"/>
              </w:rPr>
            </w:pPr>
          </w:p>
          <w:p w14:paraId="48E8FCF8" w14:textId="77777777" w:rsidR="009B1D4F" w:rsidRPr="00501CE2" w:rsidRDefault="009B1D4F" w:rsidP="00147761">
            <w:pPr>
              <w:spacing w:line="240" w:lineRule="auto"/>
              <w:rPr>
                <w:rFonts w:cs="Times New Roman"/>
                <w:sz w:val="18"/>
                <w:szCs w:val="18"/>
              </w:rPr>
            </w:pPr>
          </w:p>
          <w:p w14:paraId="2D3D80B9" w14:textId="77777777" w:rsidR="009B1D4F" w:rsidRPr="00501CE2" w:rsidRDefault="009B1D4F" w:rsidP="00147761">
            <w:pPr>
              <w:spacing w:line="240" w:lineRule="auto"/>
              <w:rPr>
                <w:rFonts w:cs="Times New Roman"/>
                <w:i/>
                <w:sz w:val="18"/>
                <w:szCs w:val="18"/>
              </w:rPr>
            </w:pPr>
            <w:r w:rsidRPr="00AD30FA">
              <w:rPr>
                <w:rFonts w:cs="Times New Roman"/>
                <w:sz w:val="18"/>
                <w:szCs w:val="18"/>
                <w:highlight w:val="yellow"/>
              </w:rPr>
              <w:t>DCAF12</w:t>
            </w:r>
          </w:p>
        </w:tc>
        <w:tc>
          <w:tcPr>
            <w:tcW w:w="859" w:type="dxa"/>
          </w:tcPr>
          <w:p w14:paraId="2B800FC0" w14:textId="77777777" w:rsidR="009B1D4F" w:rsidRPr="00501CE2" w:rsidRDefault="009B1D4F" w:rsidP="00147761">
            <w:pPr>
              <w:spacing w:line="240" w:lineRule="auto"/>
              <w:jc w:val="both"/>
              <w:rPr>
                <w:rFonts w:ascii="Times Roman" w:hAnsi="Times Roman"/>
                <w:color w:val="000000"/>
                <w:shd w:val="clear" w:color="auto" w:fill="FFFFFF"/>
              </w:rPr>
            </w:pPr>
          </w:p>
          <w:p w14:paraId="6AE90AB8" w14:textId="77777777" w:rsidR="009B1D4F" w:rsidRPr="00501CE2" w:rsidRDefault="009B1D4F" w:rsidP="00147761">
            <w:pPr>
              <w:spacing w:line="240" w:lineRule="auto"/>
              <w:jc w:val="both"/>
              <w:rPr>
                <w:rFonts w:cs="Times New Roman"/>
                <w:sz w:val="18"/>
                <w:szCs w:val="18"/>
              </w:rPr>
            </w:pPr>
            <w:r w:rsidRPr="00501CE2">
              <w:rPr>
                <w:rFonts w:ascii="Times Roman" w:hAnsi="Times Roman"/>
                <w:color w:val="000000"/>
                <w:sz w:val="18"/>
                <w:szCs w:val="18"/>
                <w:shd w:val="clear" w:color="auto" w:fill="FFFFFF"/>
              </w:rPr>
              <w:t>9p13.3</w:t>
            </w:r>
          </w:p>
        </w:tc>
        <w:tc>
          <w:tcPr>
            <w:tcW w:w="4410" w:type="dxa"/>
          </w:tcPr>
          <w:p w14:paraId="094D2A1C" w14:textId="77777777" w:rsidR="009B1D4F" w:rsidRPr="00501CE2" w:rsidRDefault="009B1D4F" w:rsidP="00147761">
            <w:pPr>
              <w:spacing w:line="360" w:lineRule="auto"/>
              <w:jc w:val="both"/>
              <w:rPr>
                <w:sz w:val="18"/>
                <w:szCs w:val="18"/>
              </w:rPr>
            </w:pPr>
            <w:r w:rsidRPr="00501CE2">
              <w:rPr>
                <w:sz w:val="18"/>
                <w:szCs w:val="18"/>
              </w:rPr>
              <w:t xml:space="preserve">DDB1- and CUL4-associated factor 12; May function as a substrate receptor for CUL4-DDB1 E3 ubiquitin-protein ligase complex; DDB1 and CUL4 associated factors </w:t>
            </w:r>
          </w:p>
        </w:tc>
        <w:tc>
          <w:tcPr>
            <w:tcW w:w="900" w:type="dxa"/>
          </w:tcPr>
          <w:p w14:paraId="705531FC" w14:textId="77777777" w:rsidR="009B1D4F" w:rsidRPr="00501CE2" w:rsidRDefault="009B1D4F" w:rsidP="00147761">
            <w:pPr>
              <w:spacing w:line="240" w:lineRule="auto"/>
              <w:rPr>
                <w:rFonts w:cs="Times New Roman"/>
                <w:sz w:val="18"/>
                <w:szCs w:val="18"/>
              </w:rPr>
            </w:pPr>
            <w:r w:rsidRPr="00501CE2">
              <w:rPr>
                <w:rFonts w:cs="Times New Roman"/>
                <w:sz w:val="18"/>
                <w:szCs w:val="18"/>
              </w:rPr>
              <w:br/>
            </w:r>
          </w:p>
        </w:tc>
        <w:tc>
          <w:tcPr>
            <w:tcW w:w="937" w:type="dxa"/>
          </w:tcPr>
          <w:p w14:paraId="0F6B8B22" w14:textId="77777777" w:rsidR="009B1D4F" w:rsidRPr="00501CE2" w:rsidRDefault="009B1D4F" w:rsidP="00147761">
            <w:pPr>
              <w:spacing w:line="240" w:lineRule="auto"/>
              <w:rPr>
                <w:rFonts w:cs="Times New Roman"/>
                <w:sz w:val="18"/>
                <w:szCs w:val="18"/>
              </w:rPr>
            </w:pPr>
          </w:p>
        </w:tc>
      </w:tr>
      <w:tr w:rsidR="009B1D4F" w:rsidRPr="00630AA4" w14:paraId="15EC0E07" w14:textId="77777777" w:rsidTr="009B1D4F">
        <w:trPr>
          <w:trHeight w:val="593"/>
        </w:trPr>
        <w:tc>
          <w:tcPr>
            <w:tcW w:w="1926" w:type="dxa"/>
          </w:tcPr>
          <w:p w14:paraId="4BC5EDD3" w14:textId="77777777" w:rsidR="009B1D4F" w:rsidRPr="00501CE2" w:rsidRDefault="009B1D4F" w:rsidP="00147761">
            <w:pPr>
              <w:spacing w:line="240" w:lineRule="auto"/>
              <w:rPr>
                <w:rFonts w:cs="Times New Roman"/>
                <w:i/>
                <w:sz w:val="18"/>
                <w:szCs w:val="18"/>
              </w:rPr>
            </w:pPr>
            <w:r w:rsidRPr="00501CE2">
              <w:rPr>
                <w:rFonts w:cs="Times New Roman"/>
                <w:sz w:val="18"/>
                <w:szCs w:val="18"/>
              </w:rPr>
              <w:t>SNORD116-19</w:t>
            </w:r>
          </w:p>
        </w:tc>
        <w:tc>
          <w:tcPr>
            <w:tcW w:w="859" w:type="dxa"/>
          </w:tcPr>
          <w:p w14:paraId="03419026" w14:textId="77777777" w:rsidR="009B1D4F" w:rsidRPr="00DE3494" w:rsidRDefault="009B1D4F" w:rsidP="00147761">
            <w:pPr>
              <w:spacing w:line="240" w:lineRule="auto"/>
              <w:jc w:val="both"/>
              <w:rPr>
                <w:rFonts w:cs="Times New Roman"/>
                <w:sz w:val="18"/>
                <w:szCs w:val="18"/>
              </w:rPr>
            </w:pPr>
            <w:r w:rsidRPr="00501CE2">
              <w:rPr>
                <w:rFonts w:ascii="Times Roman" w:hAnsi="Times Roman"/>
                <w:color w:val="000000"/>
                <w:sz w:val="18"/>
                <w:szCs w:val="18"/>
                <w:shd w:val="clear" w:color="auto" w:fill="FFFFFF"/>
              </w:rPr>
              <w:t>15</w:t>
            </w:r>
            <w:r w:rsidRPr="00DE3494">
              <w:rPr>
                <w:rFonts w:ascii="Times Roman" w:hAnsi="Times Roman"/>
                <w:color w:val="000000"/>
                <w:sz w:val="18"/>
                <w:szCs w:val="18"/>
                <w:shd w:val="clear" w:color="auto" w:fill="FFFFFF"/>
              </w:rPr>
              <w:t>q11.2</w:t>
            </w:r>
          </w:p>
        </w:tc>
        <w:tc>
          <w:tcPr>
            <w:tcW w:w="4410" w:type="dxa"/>
          </w:tcPr>
          <w:p w14:paraId="0543A2C7" w14:textId="77777777" w:rsidR="009B1D4F" w:rsidRPr="00DE3494" w:rsidRDefault="009B1D4F" w:rsidP="00147761">
            <w:pPr>
              <w:spacing w:line="360" w:lineRule="auto"/>
              <w:jc w:val="both"/>
              <w:rPr>
                <w:sz w:val="18"/>
                <w:szCs w:val="18"/>
              </w:rPr>
            </w:pPr>
            <w:r w:rsidRPr="00DE3494">
              <w:rPr>
                <w:sz w:val="18"/>
                <w:szCs w:val="18"/>
              </w:rPr>
              <w:t>SNORD116-19 (Small Nucleolar RNA, C/D Box 116-19) is an RNA Gene, and is affiliated with the snoRNA class.</w:t>
            </w:r>
          </w:p>
          <w:p w14:paraId="0EC85CC7" w14:textId="77777777" w:rsidR="009B1D4F" w:rsidRPr="00630AA4" w:rsidRDefault="009B1D4F" w:rsidP="00147761">
            <w:pPr>
              <w:spacing w:line="240" w:lineRule="auto"/>
              <w:jc w:val="both"/>
              <w:rPr>
                <w:rFonts w:cs="Times New Roman"/>
                <w:sz w:val="18"/>
                <w:szCs w:val="18"/>
              </w:rPr>
            </w:pPr>
          </w:p>
        </w:tc>
        <w:tc>
          <w:tcPr>
            <w:tcW w:w="900" w:type="dxa"/>
          </w:tcPr>
          <w:p w14:paraId="379BF668" w14:textId="77777777" w:rsidR="009B1D4F" w:rsidRDefault="009B1D4F" w:rsidP="00147761">
            <w:pPr>
              <w:spacing w:line="240" w:lineRule="auto"/>
              <w:rPr>
                <w:rFonts w:cs="Times New Roman"/>
                <w:sz w:val="18"/>
                <w:szCs w:val="18"/>
              </w:rPr>
            </w:pPr>
            <w:r>
              <w:rPr>
                <w:rFonts w:cs="Times New Roman"/>
                <w:sz w:val="18"/>
                <w:szCs w:val="18"/>
              </w:rPr>
              <w:fldChar w:fldCharType="begin"/>
            </w:r>
            <w:r>
              <w:rPr>
                <w:rFonts w:cs="Times New Roman"/>
                <w:sz w:val="18"/>
                <w:szCs w:val="18"/>
              </w:rPr>
              <w:instrText xml:space="preserve"> ADDIN ZOTERO_ITEM CSL_CITATION {"citationID":"a1nloict210","properties":{"formattedCitation":"\\super 42\\nosupersub{}","plainCitation":"42","noteIndex":0},"citationItems":[{"id":1394,"uris":["http://zotero.org/users/local/c5nmaFTs/items/RKNJX9EE"],"itemData":{"id":1394,"type":"article-journal","abstract":"Chromosome 15 (C15) imprinting disorders including Prader–Willi (PWS), Angelman (AS) and chromosome 15 duplication (Dup15q) syndromes are severe neurodevelopmental disorders caused by abnormal expression of genes from the 15q11–q13 region, associated with abnormal DNA methylation and/or copy number changes. This study compared changes in mRNA levels of UBE3A and SNORD116 located within the 15q11–q13 region between these disorders and their subtypes and related these to the clinical phenotypes. The study cohort included 58 participants affected with a C15 imprinting disorder (PWS = 27, AS = 21, Dup15q = 10) and 20 typically developing controls. Semi-quantitative analysis of mRNA from peripheral blood mononuclear cells (PBMCs) was performed using reverse transcription droplet digital polymerase chain reaction (PCR) for UBE3A and SNORD116 normalised to a panel of internal control genes determined using the geNorm approach. Participants completed an intellectual/developmental functioning assessment and the Autism Diagnostic Observation Schedule-2nd Edition. The Dup15q group was the only condition with significantly increased UBE3A mRNA levels when compared to the control group (p &lt; 0.001). Both the AS and Dup15q groups also had significantly elevated SNORD116 mRNA levels compared to controls (AS: p &lt; 0.0001; Dup15q: p = 0.002). Both UBE3A and SNORD116 mRNA levels were positively correlated with all developmental functioning scores in the deletion AS group (p &lt; 0.001), and autism features (p &lt; 0.001) in the non-deletion PWS group. The findings suggest presence of novel interactions between expression of UBE3A and SNORD116 in PBMCs and brain specific processes underlying motor and language impairments and autism features in these disorders.","container-title":"Translational Psychiatry","DOI":"10.1038/s41398-020-01034-7","ISSN":"2158-3188","issue":"1","journalAbbreviation":"Transl Psychiatry","language":"en","license":"2020 The Author(s)","note":"number: 1\npublisher: Nature Publishing Group","page":"1-11","source":"www.nature.com","title":"Relationships between UBE3A and SNORD116 expression and features of autism in chromosome 15 imprinting disorders","URL":"https://www.nature.com/articles/s41398-020-01034-7","volume":"10","author":[{"family":"Baker","given":"Emma K."},{"family":"Butler","given":"Merlin G."},{"family":"Hartin","given":"Samantha N."},{"family":"Ling","given":"Ling"},{"family":"Bui","given":"Minh"},{"family":"Francis","given":"David"},{"family":"Rogers","given":"Carolyn"},{"family":"Field","given":"Michael J."},{"family":"Slee","given":"Jennie"},{"family":"Gamage","given":"Dinusha"},{"family":"Amor","given":"David J."},{"family":"Godler","given":"David E."}],"accessed":{"date-parts":[["2022",12,9]]},"issued":{"date-parts":[["2020",10,29]]}}}],"schema":"https://github.com/citation-style-language/schema/raw/master/csl-citation.json"} </w:instrText>
            </w:r>
            <w:r>
              <w:rPr>
                <w:rFonts w:cs="Times New Roman"/>
                <w:sz w:val="18"/>
                <w:szCs w:val="18"/>
              </w:rPr>
              <w:fldChar w:fldCharType="separate"/>
            </w:r>
            <w:r w:rsidRPr="00CA51F7">
              <w:rPr>
                <w:rFonts w:cs="Times New Roman"/>
                <w:sz w:val="18"/>
                <w:vertAlign w:val="superscript"/>
              </w:rPr>
              <w:t>42</w:t>
            </w:r>
            <w:r>
              <w:rPr>
                <w:rFonts w:cs="Times New Roman"/>
                <w:sz w:val="18"/>
                <w:szCs w:val="18"/>
              </w:rPr>
              <w:fldChar w:fldCharType="end"/>
            </w:r>
            <w:r>
              <w:rPr>
                <w:rFonts w:cs="Times New Roman"/>
                <w:sz w:val="18"/>
                <w:szCs w:val="18"/>
              </w:rPr>
              <w:t>,</w:t>
            </w:r>
          </w:p>
          <w:p w14:paraId="7548C03E" w14:textId="77777777" w:rsidR="009B1D4F" w:rsidRDefault="009B1D4F" w:rsidP="00147761">
            <w:pPr>
              <w:spacing w:line="240" w:lineRule="auto"/>
              <w:rPr>
                <w:rFonts w:cs="Times New Roman"/>
                <w:sz w:val="18"/>
                <w:szCs w:val="18"/>
              </w:rPr>
            </w:pPr>
            <w:r>
              <w:rPr>
                <w:rFonts w:cs="Times New Roman"/>
                <w:sz w:val="18"/>
                <w:szCs w:val="18"/>
              </w:rPr>
              <w:fldChar w:fldCharType="begin"/>
            </w:r>
            <w:r>
              <w:rPr>
                <w:rFonts w:cs="Times New Roman"/>
                <w:sz w:val="18"/>
                <w:szCs w:val="18"/>
              </w:rPr>
              <w:instrText xml:space="preserve"> ADDIN ZOTERO_ITEM CSL_CITATION {"citationID":"a1p8dc4jpka","properties":{"formattedCitation":"\\super 43\\nosupersub{}","plainCitation":"43","noteIndex":0},"citationItems":[{"id":1396,"uris":["http://zotero.org/users/local/c5nmaFTs/items/BT7F5VTM"],"itemData":{"id":1396,"type":"webpage","language":"en","title":"[object Object]","URL":"https://www.alliancegenome.org/gene/HGNC:33085","accessed":{"date-parts":[["2022",12,9]]}}}],"schema":"https://github.com/citation-style-language/schema/raw/master/csl-citation.json"} </w:instrText>
            </w:r>
            <w:r>
              <w:rPr>
                <w:rFonts w:cs="Times New Roman"/>
                <w:sz w:val="18"/>
                <w:szCs w:val="18"/>
              </w:rPr>
              <w:fldChar w:fldCharType="separate"/>
            </w:r>
            <w:r w:rsidRPr="00CA51F7">
              <w:rPr>
                <w:rFonts w:cs="Times New Roman"/>
                <w:sz w:val="18"/>
                <w:vertAlign w:val="superscript"/>
              </w:rPr>
              <w:t>43</w:t>
            </w:r>
            <w:r>
              <w:rPr>
                <w:rFonts w:cs="Times New Roman"/>
                <w:sz w:val="18"/>
                <w:szCs w:val="18"/>
              </w:rPr>
              <w:fldChar w:fldCharType="end"/>
            </w:r>
            <w:r>
              <w:rPr>
                <w:rFonts w:cs="Times New Roman"/>
                <w:sz w:val="18"/>
                <w:szCs w:val="18"/>
              </w:rPr>
              <w:t>,</w:t>
            </w:r>
          </w:p>
          <w:p w14:paraId="0304058F" w14:textId="77777777" w:rsidR="009B1D4F" w:rsidRDefault="009B1D4F" w:rsidP="00147761">
            <w:pPr>
              <w:spacing w:line="240" w:lineRule="auto"/>
              <w:rPr>
                <w:rFonts w:cs="Times New Roman"/>
                <w:sz w:val="18"/>
                <w:szCs w:val="18"/>
              </w:rPr>
            </w:pPr>
            <w:r>
              <w:rPr>
                <w:rFonts w:cs="Times New Roman"/>
                <w:sz w:val="18"/>
                <w:szCs w:val="18"/>
              </w:rPr>
              <w:fldChar w:fldCharType="begin"/>
            </w:r>
            <w:r>
              <w:rPr>
                <w:rFonts w:cs="Times New Roman"/>
                <w:sz w:val="18"/>
                <w:szCs w:val="18"/>
              </w:rPr>
              <w:instrText xml:space="preserve"> ADDIN ZOTERO_ITEM CSL_CITATION {"citationID":"a1n7f0na1mv","properties":{"formattedCitation":"\\super 44\\nosupersub{}","plainCitation":"44","noteIndex":0},"citationItems":[{"id":1398,"uris":["http://zotero.org/users/local/c5nmaFTs/items/3FL8NI2A"],"itemData":{"id":1398,"type":"post-weblog","abstract":"Read about an association between changes in the SNORD1116 gene, previously linked with PWS, and paranoia in young women.","language":"en-US","title":"Variants in Gene Linked with PWS, Paranoia in Women, Study Finds","URL":"https://praderwillinews.com/news/variants-in-snord116-gene-linked-with-paranoia-in-women-study-reports/","author":[{"family":"PhD","given":"Patricia Inácio"}],"accessed":{"date-parts":[["2022",12,9]]}}}],"schema":"https://github.com/citation-style-language/schema/raw/master/csl-citation.json"} </w:instrText>
            </w:r>
            <w:r>
              <w:rPr>
                <w:rFonts w:cs="Times New Roman"/>
                <w:sz w:val="18"/>
                <w:szCs w:val="18"/>
              </w:rPr>
              <w:fldChar w:fldCharType="separate"/>
            </w:r>
            <w:r w:rsidRPr="00CA51F7">
              <w:rPr>
                <w:rFonts w:cs="Times New Roman"/>
                <w:sz w:val="18"/>
                <w:vertAlign w:val="superscript"/>
              </w:rPr>
              <w:t>44</w:t>
            </w:r>
            <w:r>
              <w:rPr>
                <w:rFonts w:cs="Times New Roman"/>
                <w:sz w:val="18"/>
                <w:szCs w:val="18"/>
              </w:rPr>
              <w:fldChar w:fldCharType="end"/>
            </w:r>
            <w:r>
              <w:rPr>
                <w:rFonts w:cs="Times New Roman"/>
                <w:sz w:val="18"/>
                <w:szCs w:val="18"/>
              </w:rPr>
              <w:t>,</w:t>
            </w:r>
          </w:p>
          <w:p w14:paraId="4C55FC51" w14:textId="77777777" w:rsidR="009B1D4F" w:rsidRPr="00630AA4" w:rsidRDefault="009B1D4F" w:rsidP="00147761">
            <w:pPr>
              <w:spacing w:line="240" w:lineRule="auto"/>
              <w:rPr>
                <w:rFonts w:cs="Times New Roman"/>
                <w:sz w:val="18"/>
                <w:szCs w:val="18"/>
              </w:rPr>
            </w:pPr>
            <w:r>
              <w:rPr>
                <w:rFonts w:cs="Times New Roman"/>
                <w:sz w:val="18"/>
                <w:szCs w:val="18"/>
              </w:rPr>
              <w:fldChar w:fldCharType="begin"/>
            </w:r>
            <w:r>
              <w:rPr>
                <w:rFonts w:cs="Times New Roman"/>
                <w:sz w:val="18"/>
                <w:szCs w:val="18"/>
              </w:rPr>
              <w:instrText xml:space="preserve"> ADDIN ZOTERO_ITEM CSL_CITATION {"citationID":"a1hom5biuu6","properties":{"formattedCitation":"\\super 45\\nosupersub{}","plainCitation":"45","noteIndex":0},"citationItems":[{"id":1400,"uris":["http://zotero.org/users/local/c5nmaFTs/items/9JEGKDF2"],"itemData":{"id":1400,"type":"article-journal","abstract":"The paternally expressed gene SNORD116 encodes a set of short nucleolar RNAs that affect the expression of hundreds of other genes via epigenetic interactions. Lack of expression for SNORD116 has been implicated in major phenotypes of Prader-Willi Syndrome (PWS). Rates of psychosis and autism spectrum disorders are greatly increased in PWS, but the genetic and epigenetic causes of these increases remain unknown. We genotyped a large population of typical individuals for five SNPs within SNORD116 and phenotyped them for variation in schizotypal and autism spectrum traits. SNORD116 SNP and haplotype variation mediated variation exclusively in the Schizotypal Personality Questionnaire - Ideas of Reference subscale, which reflects variation in aspects of paranoia. The effect was restricted to females. SNORD116 represents, in addition to UBE3A and NDN-MAGEL2, a third, independent locus in the 15q11-q13 imprinted region that preferentially or exclusively affects levels of paranoia. This convergent pattern may reflect a common neural pathway affected by multiple genes, or an effect of interactions between the imprinted loci.","container-title":"Psychiatry Research","DOI":"10.1016/j.psychres.2020.112858","ISSN":"0165-1781","journalAbbreviation":"Psychiatry Research","language":"en","page":"112858","source":"ScienceDirect","title":"Does SNORD116 mediate aspects of psychosis in Prader-Willi syndrome? Evidence from a non-clinical population","title-short":"Does SNORD116 mediate aspects of psychosis in Prader-Willi syndrome?","URL":"https://www.sciencedirect.com/science/article/pii/S0165178119323650","volume":"286","author":[{"family":"Salminen","given":"Iiro"},{"family":"Read","given":"Silven"},{"family":"Hurd","given":"Pete"},{"family":"Crespi","given":"Bernard"}],"accessed":{"date-parts":[["2022",12,9]]},"issued":{"date-parts":[["2020",4,1]]}}}],"schema":"https://github.com/citation-style-language/schema/raw/master/csl-citation.json"} </w:instrText>
            </w:r>
            <w:r>
              <w:rPr>
                <w:rFonts w:cs="Times New Roman"/>
                <w:sz w:val="18"/>
                <w:szCs w:val="18"/>
              </w:rPr>
              <w:fldChar w:fldCharType="separate"/>
            </w:r>
            <w:r w:rsidRPr="00CA51F7">
              <w:rPr>
                <w:rFonts w:cs="Times New Roman"/>
                <w:sz w:val="18"/>
                <w:vertAlign w:val="superscript"/>
              </w:rPr>
              <w:t>45</w:t>
            </w:r>
            <w:r>
              <w:rPr>
                <w:rFonts w:cs="Times New Roman"/>
                <w:sz w:val="18"/>
                <w:szCs w:val="18"/>
              </w:rPr>
              <w:fldChar w:fldCharType="end"/>
            </w:r>
          </w:p>
        </w:tc>
        <w:tc>
          <w:tcPr>
            <w:tcW w:w="937" w:type="dxa"/>
          </w:tcPr>
          <w:p w14:paraId="19BD8034" w14:textId="77777777" w:rsidR="009B1D4F" w:rsidRPr="00630AA4" w:rsidRDefault="009B1D4F" w:rsidP="00147761">
            <w:pPr>
              <w:spacing w:line="240" w:lineRule="auto"/>
              <w:rPr>
                <w:rFonts w:cs="Times New Roman"/>
                <w:sz w:val="18"/>
                <w:szCs w:val="18"/>
              </w:rPr>
            </w:pPr>
            <w:r>
              <w:rPr>
                <w:rFonts w:cs="Times New Roman"/>
                <w:sz w:val="18"/>
                <w:szCs w:val="18"/>
              </w:rPr>
              <w:fldChar w:fldCharType="begin"/>
            </w:r>
            <w:r>
              <w:rPr>
                <w:rFonts w:cs="Times New Roman"/>
                <w:sz w:val="18"/>
                <w:szCs w:val="18"/>
              </w:rPr>
              <w:instrText xml:space="preserve"> ADDIN ZOTERO_ITEM CSL_CITATION {"citationID":"eJwNCB0o","properties":{"formattedCitation":"\\super 45\\nosupersub{}","plainCitation":"45","noteIndex":0},"citationItems":[{"id":1400,"uris":["http://zotero.org/users/local/c5nmaFTs/items/9JEGKDF2"],"itemData":{"id":1400,"type":"article-journal","abstract":"The paternally expressed gene SNORD116 encodes a set of short nucleolar RNAs that affect the expression of hundreds of other genes via epigenetic interactions. Lack of expression for SNORD116 has been implicated in major phenotypes of Prader-Willi Syndrome (PWS). Rates of psychosis and autism spectrum disorders are greatly increased in PWS, but the genetic and epigenetic causes of these increases remain unknown. We genotyped a large population of typical individuals for five SNPs within SNORD116 and phenotyped them for variation in schizotypal and autism spectrum traits. SNORD116 SNP and haplotype variation mediated variation exclusively in the Schizotypal Personality Questionnaire - Ideas of Reference subscale, which reflects variation in aspects of paranoia. The effect was restricted to females. SNORD116 represents, in addition to UBE3A and NDN-MAGEL2, a third, independent locus in the 15q11-q13 imprinted region that preferentially or exclusively affects levels of paranoia. This convergent pattern may reflect a common neural pathway affected by multiple genes, or an effect of interactions between the imprinted loci.","container-title":"Psychiatry Research","DOI":"10.1016/j.psychres.2020.112858","ISSN":"0165-1781","journalAbbreviation":"Psychiatry Research","language":"en","page":"112858","source":"ScienceDirect","title":"Does SNORD116 mediate aspects of psychosis in Prader-Willi syndrome? Evidence from a non-clinical population","title-short":"Does SNORD116 mediate aspects of psychosis in Prader-Willi syndrome?","URL":"https://www.sciencedirect.com/science/article/pii/S0165178119323650","volume":"286","author":[{"family":"Salminen","given":"Iiro"},{"family":"Read","given":"Silven"},{"family":"Hurd","given":"Pete"},{"family":"Crespi","given":"Bernard"}],"accessed":{"date-parts":[["2022",12,9]]},"issued":{"date-parts":[["2020",4,1]]}}}],"schema":"https://github.com/citation-style-language/schema/raw/master/csl-citation.json"} </w:instrText>
            </w:r>
            <w:r>
              <w:rPr>
                <w:rFonts w:cs="Times New Roman"/>
                <w:sz w:val="18"/>
                <w:szCs w:val="18"/>
              </w:rPr>
              <w:fldChar w:fldCharType="separate"/>
            </w:r>
            <w:r w:rsidRPr="00CA51F7">
              <w:rPr>
                <w:rFonts w:cs="Times New Roman"/>
                <w:sz w:val="18"/>
                <w:vertAlign w:val="superscript"/>
              </w:rPr>
              <w:t>45</w:t>
            </w:r>
            <w:r>
              <w:rPr>
                <w:rFonts w:cs="Times New Roman"/>
                <w:sz w:val="18"/>
                <w:szCs w:val="18"/>
              </w:rPr>
              <w:fldChar w:fldCharType="end"/>
            </w:r>
          </w:p>
        </w:tc>
      </w:tr>
      <w:tr w:rsidR="009B1D4F" w:rsidRPr="00630AA4" w14:paraId="12B25AD6" w14:textId="77777777" w:rsidTr="009B1D4F">
        <w:trPr>
          <w:trHeight w:val="512"/>
        </w:trPr>
        <w:tc>
          <w:tcPr>
            <w:tcW w:w="1926" w:type="dxa"/>
          </w:tcPr>
          <w:p w14:paraId="1BE2F2CB" w14:textId="77777777" w:rsidR="009B1D4F" w:rsidRPr="00630AA4" w:rsidRDefault="009B1D4F" w:rsidP="00147761">
            <w:pPr>
              <w:spacing w:line="240" w:lineRule="auto"/>
              <w:rPr>
                <w:rFonts w:cs="Times New Roman"/>
                <w:i/>
                <w:sz w:val="18"/>
                <w:szCs w:val="18"/>
              </w:rPr>
            </w:pPr>
            <w:r w:rsidRPr="00630AA4">
              <w:rPr>
                <w:rFonts w:cs="Times New Roman"/>
                <w:sz w:val="18"/>
                <w:szCs w:val="18"/>
              </w:rPr>
              <w:t>SCARNA17</w:t>
            </w:r>
          </w:p>
        </w:tc>
        <w:tc>
          <w:tcPr>
            <w:tcW w:w="859" w:type="dxa"/>
          </w:tcPr>
          <w:p w14:paraId="6C891DD3" w14:textId="77777777" w:rsidR="009B1D4F" w:rsidRPr="00DE3494" w:rsidRDefault="009B1D4F" w:rsidP="00147761">
            <w:pPr>
              <w:spacing w:line="240" w:lineRule="auto"/>
              <w:jc w:val="both"/>
              <w:rPr>
                <w:rFonts w:cs="Times New Roman"/>
                <w:sz w:val="18"/>
                <w:szCs w:val="18"/>
              </w:rPr>
            </w:pPr>
            <w:r w:rsidRPr="00DE3494">
              <w:rPr>
                <w:rFonts w:ascii="Times Roman" w:hAnsi="Times Roman"/>
                <w:color w:val="000000"/>
                <w:sz w:val="18"/>
                <w:szCs w:val="18"/>
                <w:shd w:val="clear" w:color="auto" w:fill="FFFFFF"/>
              </w:rPr>
              <w:t>18q21.1</w:t>
            </w:r>
          </w:p>
        </w:tc>
        <w:tc>
          <w:tcPr>
            <w:tcW w:w="4410" w:type="dxa"/>
          </w:tcPr>
          <w:p w14:paraId="634A1DD0" w14:textId="77777777" w:rsidR="009B1D4F" w:rsidRPr="00DE3494" w:rsidRDefault="009B1D4F" w:rsidP="00147761">
            <w:pPr>
              <w:jc w:val="both"/>
              <w:rPr>
                <w:sz w:val="18"/>
                <w:szCs w:val="18"/>
              </w:rPr>
            </w:pPr>
            <w:r w:rsidRPr="00DE3494">
              <w:rPr>
                <w:sz w:val="18"/>
                <w:szCs w:val="18"/>
              </w:rPr>
              <w:t xml:space="preserve">SCARNA17 (Small </w:t>
            </w:r>
            <w:proofErr w:type="spellStart"/>
            <w:r w:rsidRPr="00DE3494">
              <w:rPr>
                <w:sz w:val="18"/>
                <w:szCs w:val="18"/>
              </w:rPr>
              <w:t>Cajal</w:t>
            </w:r>
            <w:proofErr w:type="spellEnd"/>
            <w:r w:rsidRPr="00DE3494">
              <w:rPr>
                <w:sz w:val="18"/>
                <w:szCs w:val="18"/>
              </w:rPr>
              <w:t xml:space="preserve"> Body-Specific RNA 17) is an RNA Gene, and is affiliated with the snoRNA class. Diseases associated with SCARNA17 include Orofacial Cleft 11 and Exanthema </w:t>
            </w:r>
            <w:proofErr w:type="spellStart"/>
            <w:r w:rsidRPr="00DE3494">
              <w:rPr>
                <w:sz w:val="18"/>
                <w:szCs w:val="18"/>
              </w:rPr>
              <w:t>Subitum</w:t>
            </w:r>
            <w:proofErr w:type="spellEnd"/>
            <w:r w:rsidRPr="00DE3494">
              <w:rPr>
                <w:sz w:val="18"/>
                <w:szCs w:val="18"/>
              </w:rPr>
              <w:t>.</w:t>
            </w:r>
          </w:p>
          <w:p w14:paraId="2D669FA3" w14:textId="77777777" w:rsidR="009B1D4F" w:rsidRPr="00630AA4" w:rsidRDefault="009B1D4F" w:rsidP="00147761">
            <w:pPr>
              <w:spacing w:line="240" w:lineRule="auto"/>
              <w:jc w:val="both"/>
              <w:rPr>
                <w:rFonts w:cs="Times New Roman"/>
                <w:sz w:val="18"/>
                <w:szCs w:val="18"/>
              </w:rPr>
            </w:pPr>
          </w:p>
        </w:tc>
        <w:tc>
          <w:tcPr>
            <w:tcW w:w="900" w:type="dxa"/>
          </w:tcPr>
          <w:p w14:paraId="5506F958" w14:textId="77777777" w:rsidR="009B1D4F" w:rsidRDefault="009B1D4F" w:rsidP="00147761">
            <w:pPr>
              <w:spacing w:line="240" w:lineRule="auto"/>
              <w:rPr>
                <w:rFonts w:cs="Times New Roman"/>
                <w:sz w:val="18"/>
                <w:szCs w:val="18"/>
              </w:rPr>
            </w:pPr>
            <w:r>
              <w:rPr>
                <w:rFonts w:cs="Times New Roman"/>
                <w:sz w:val="18"/>
                <w:szCs w:val="18"/>
              </w:rPr>
              <w:fldChar w:fldCharType="begin"/>
            </w:r>
            <w:r>
              <w:rPr>
                <w:rFonts w:cs="Times New Roman"/>
                <w:sz w:val="18"/>
                <w:szCs w:val="18"/>
              </w:rPr>
              <w:instrText xml:space="preserve"> ADDIN ZOTERO_ITEM CSL_CITATION {"citationID":"a23o38v180s","properties":{"formattedCitation":"\\super 46\\nosupersub{}","plainCitation":"46","noteIndex":0},"citationItems":[{"id":1141,"uris":["http://zotero.org/users/local/c5nmaFTs/items/BMNU8ZE3"],"itemData":{"id":1141,"type":"article-journal","abstract":"Obesity is accompanied by hyperphagia in several classical genetic obesity-related syndromes that are rare, including Prader–Willi syndrome (PWS) and Alström syndrome (ALMS). We compared coding and noncoding gene expression in adult males with PWS, ALMS, and nonsyndromic obesity relative to nonobese males using readily available lymphoblastoid cells to identify disease-specific molecular patterns and disturbed mechanisms in obesity. We found 231 genes upregulated in ALMS compared with nonobese males, but no genes were found to be upregulated in obese or PWS males and 124 genes were downregulated in ALMS. The metallothionein gene (MT1X) was significantly downregulated in ALMS, in common with obese males. Only the complex SNRPN locus was disturbed (downregulated) in PWS along with several downregulated small nucleolar RNAs (snoRNAs) in the 15q11-q13 region (SNORD116, SNORD109B, SNORD109A, SNORD107). Eleven upregulated and ten downregulated snoRNAs targeting multiple genes impacting rRNA processing, developmental pathways, and associated diseases were found in ALMS. Fifty-two miRNAs associated with multiple, overlapping gene expression disturbances were upregulated in ALMS, and four were shared with obese males but not PWS males. For example, seven passenger strand microRNAs (miRNAs) (miR-93*, miR-373*, miR-29b-2*, miR-30c-1*, miR27a*, miR27b*, and miR-149*) were disturbed in association with six separate downregulated target genes (CD68, FAM102A, MXI1, MYO1D, TP53INP1, and ZRANB1). Cell cycle (eg, PPP3CA), transcription (eg, POLE2), and development may be impacted by upregulated genes in ALMS, while downregulated genes were found to be involved with metabolic processes (eg, FABP3), immune responses (eg, IL32), and cell signaling (eg, IL1B). The high number of gene and noncoding RNA disturbances in ALMS contrast with observations in PWS and males with nonsyndromic obesity and may reflect the progressing multiorgan pathology of the ALMS disease process.","container-title":"Advances in genomics and genetics","DOI":"10.2147/AGG.S74598","ISSN":"1179-9870","issue":"5","journalAbbreviation":"Adv Genomics Genet","note":"PMID: 25705109\nPMCID: PMC4334166","page":"53-75","source":"PubMed Central","title":"Coding and noncoding expression patterns associated with rare obesity-related disorders: Prader–Willi and Alström syndromes","title-short":"Coding and noncoding expression patterns associated with rare obesity-related disorders","URL":"https://www.ncbi.nlm.nih.gov/pmc/articles/PMC4334166/","volume":"2015","author":[{"family":"Butler","given":"Merlin G"},{"family":"Wang","given":"Kun"},{"family":"Marshall","given":"Jan D"},{"family":"Naggert","given":"Jürgen K"},{"family":"Rethmeyer","given":"Jasmine A"},{"family":"Gunewardena","given":"Sumedha S"},{"family":"Manzardo","given":"Ann M"}],"accessed":{"date-parts":[["2022",11,12]]},"issued":{"date-parts":[["2015"]]}}}],"schema":"https://github.com/citation-style-language/schema/raw/master/csl-citation.json"} </w:instrText>
            </w:r>
            <w:r>
              <w:rPr>
                <w:rFonts w:cs="Times New Roman"/>
                <w:sz w:val="18"/>
                <w:szCs w:val="18"/>
              </w:rPr>
              <w:fldChar w:fldCharType="separate"/>
            </w:r>
            <w:r w:rsidRPr="00CA51F7">
              <w:rPr>
                <w:rFonts w:cs="Times New Roman"/>
                <w:sz w:val="18"/>
                <w:vertAlign w:val="superscript"/>
              </w:rPr>
              <w:t>46</w:t>
            </w:r>
            <w:r>
              <w:rPr>
                <w:rFonts w:cs="Times New Roman"/>
                <w:sz w:val="18"/>
                <w:szCs w:val="18"/>
              </w:rPr>
              <w:fldChar w:fldCharType="end"/>
            </w:r>
            <w:r>
              <w:rPr>
                <w:rFonts w:cs="Times New Roman"/>
                <w:sz w:val="18"/>
                <w:szCs w:val="18"/>
              </w:rPr>
              <w:t>,</w:t>
            </w:r>
          </w:p>
          <w:p w14:paraId="0798899A" w14:textId="77777777" w:rsidR="009B1D4F" w:rsidRDefault="009B1D4F" w:rsidP="00147761">
            <w:pPr>
              <w:spacing w:line="240" w:lineRule="auto"/>
              <w:rPr>
                <w:rFonts w:cs="Times New Roman"/>
                <w:sz w:val="18"/>
                <w:szCs w:val="18"/>
              </w:rPr>
            </w:pPr>
            <w:r>
              <w:rPr>
                <w:rFonts w:cs="Times New Roman"/>
                <w:sz w:val="18"/>
                <w:szCs w:val="18"/>
              </w:rPr>
              <w:fldChar w:fldCharType="begin"/>
            </w:r>
            <w:r>
              <w:rPr>
                <w:rFonts w:cs="Times New Roman"/>
                <w:sz w:val="18"/>
                <w:szCs w:val="18"/>
              </w:rPr>
              <w:instrText xml:space="preserve"> ADDIN ZOTERO_ITEM CSL_CITATION {"citationID":"a22t9pv456n","properties":{"formattedCitation":"\\super 47\\nosupersub{}","plainCitation":"47","noteIndex":0},"citationItems":[{"id":1405,"uris":["http://zotero.org/users/local/c5nmaFTs/items/MZMFD3R6"],"itemData":{"id":1405,"type":"article-journal","abstract":"Small non-coding RNAs are essential for transcription, translation and gene regulation in all cell types, but are particularly important in neurons, with known roles in neurodevelopment, neuroplasticity and neurological disease. Many small non-coding RNAs are directly involved in the post-transcriptional modification of other RNA species, while others are themselves substrates for modification, or are functionally modulated by modification of their target RNAs. In this review, we explore the known and potential functions of several distinct classes of small non-coding RNAs in the mammalian brain, focusing on the newly recognised interplay between the epitranscriptome and the activity of small RNAs. We discuss the potential for this relationship to influence the spatial and temporal dynamics of gene activation in the brain, and predict that further research in the field of epitranscriptomics will identify interactions between small RNAs and RNA modifications which are essential for higher order brain functions such as learning and memory.","container-title":"Non-Coding RNA","DOI":"10.3390/ncrna4020015","ISSN":"2311-553X","issue":"2","language":"en","license":"http://creativecommons.org/licenses/by/3.0/","note":"number: 2\npublisher: Multidisciplinary Digital Publishing Institute","page":"15","source":"www.mdpi.com","title":"Functional Interplay between Small Non-Coding RNAs and RNA Modification in the Brain","URL":"https://www.mdpi.com/2311-553X/4/2/15","volume":"4","author":[{"family":"Leighton","given":"Laura J."},{"family":"Bredy","given":"Timothy W."}],"accessed":{"date-parts":[["2022",12,9]]},"issued":{"date-parts":[["2018",6]]}}}],"schema":"https://github.com/citation-style-language/schema/raw/master/csl-citation.json"} </w:instrText>
            </w:r>
            <w:r>
              <w:rPr>
                <w:rFonts w:cs="Times New Roman"/>
                <w:sz w:val="18"/>
                <w:szCs w:val="18"/>
              </w:rPr>
              <w:fldChar w:fldCharType="separate"/>
            </w:r>
            <w:r w:rsidRPr="00CA51F7">
              <w:rPr>
                <w:rFonts w:cs="Times New Roman"/>
                <w:sz w:val="18"/>
                <w:vertAlign w:val="superscript"/>
              </w:rPr>
              <w:t>47</w:t>
            </w:r>
            <w:r>
              <w:rPr>
                <w:rFonts w:cs="Times New Roman"/>
                <w:sz w:val="18"/>
                <w:szCs w:val="18"/>
              </w:rPr>
              <w:fldChar w:fldCharType="end"/>
            </w:r>
            <w:r>
              <w:rPr>
                <w:rFonts w:cs="Times New Roman"/>
                <w:sz w:val="18"/>
                <w:szCs w:val="18"/>
              </w:rPr>
              <w:t>,</w:t>
            </w:r>
          </w:p>
          <w:p w14:paraId="01E38A41" w14:textId="77777777" w:rsidR="009B1D4F" w:rsidRPr="00630AA4" w:rsidRDefault="009B1D4F" w:rsidP="00147761">
            <w:pPr>
              <w:spacing w:line="240" w:lineRule="auto"/>
              <w:rPr>
                <w:rFonts w:cs="Times New Roman"/>
                <w:sz w:val="18"/>
                <w:szCs w:val="18"/>
              </w:rPr>
            </w:pPr>
            <w:r>
              <w:rPr>
                <w:rFonts w:cs="Times New Roman"/>
                <w:sz w:val="18"/>
                <w:szCs w:val="18"/>
              </w:rPr>
              <w:fldChar w:fldCharType="begin"/>
            </w:r>
            <w:r>
              <w:rPr>
                <w:rFonts w:cs="Times New Roman"/>
                <w:sz w:val="18"/>
                <w:szCs w:val="18"/>
              </w:rPr>
              <w:instrText xml:space="preserve"> ADDIN ZOTERO_ITEM CSL_CITATION {"citationID":"aa0t24td74","properties":{"formattedCitation":"\\super 48\\nosupersub{}","plainCitation":"48","noteIndex":0},"citationItems":[{"id":1407,"uris":["http://zotero.org/users/local/c5nmaFTs/items/K2W4PP27"],"itemData":{"id":1407,"type":"webpage","title":"Endogenous siRNAs and noncoding RNA-derived small RNAs are expressed in adult mouse hippocampus and are up-regulated in olfactory discrimination training","URL":"https://rnajournal.cshlp.org/content/17/1/166.short","accessed":{"date-parts":[["2022",12,9]]}}}],"schema":"https://github.com/citation-style-language/schema/raw/master/csl-citation.json"} </w:instrText>
            </w:r>
            <w:r>
              <w:rPr>
                <w:rFonts w:cs="Times New Roman"/>
                <w:sz w:val="18"/>
                <w:szCs w:val="18"/>
              </w:rPr>
              <w:fldChar w:fldCharType="separate"/>
            </w:r>
            <w:r w:rsidRPr="00CA51F7">
              <w:rPr>
                <w:rFonts w:cs="Times New Roman"/>
                <w:sz w:val="18"/>
                <w:vertAlign w:val="superscript"/>
              </w:rPr>
              <w:t>48</w:t>
            </w:r>
            <w:r>
              <w:rPr>
                <w:rFonts w:cs="Times New Roman"/>
                <w:sz w:val="18"/>
                <w:szCs w:val="18"/>
              </w:rPr>
              <w:fldChar w:fldCharType="end"/>
            </w:r>
          </w:p>
        </w:tc>
        <w:tc>
          <w:tcPr>
            <w:tcW w:w="937" w:type="dxa"/>
          </w:tcPr>
          <w:p w14:paraId="113B80A9" w14:textId="77777777" w:rsidR="009B1D4F" w:rsidRDefault="009B1D4F" w:rsidP="00147761">
            <w:pPr>
              <w:spacing w:line="240" w:lineRule="auto"/>
              <w:rPr>
                <w:rFonts w:cs="Times New Roman"/>
                <w:sz w:val="18"/>
                <w:szCs w:val="18"/>
              </w:rPr>
            </w:pPr>
            <w:r>
              <w:rPr>
                <w:rFonts w:cs="Times New Roman"/>
                <w:sz w:val="18"/>
                <w:szCs w:val="18"/>
              </w:rPr>
              <w:fldChar w:fldCharType="begin"/>
            </w:r>
            <w:r>
              <w:rPr>
                <w:rFonts w:cs="Times New Roman"/>
                <w:sz w:val="18"/>
                <w:szCs w:val="18"/>
              </w:rPr>
              <w:instrText xml:space="preserve"> ADDIN ZOTERO_ITEM CSL_CITATION {"citationID":"RtVc8OoO","properties":{"formattedCitation":"\\super 47\\nosupersub{}","plainCitation":"47","noteIndex":0},"citationItems":[{"id":1405,"uris":["http://zotero.org/users/local/c5nmaFTs/items/MZMFD3R6"],"itemData":{"id":1405,"type":"article-journal","abstract":"Small non-coding RNAs are essential for transcription, translation and gene regulation in all cell types, but are particularly important in neurons, with known roles in neurodevelopment, neuroplasticity and neurological disease. Many small non-coding RNAs are directly involved in the post-transcriptional modification of other RNA species, while others are themselves substrates for modification, or are functionally modulated by modification of their target RNAs. In this review, we explore the known and potential functions of several distinct classes of small non-coding RNAs in the mammalian brain, focusing on the newly recognised interplay between the epitranscriptome and the activity of small RNAs. We discuss the potential for this relationship to influence the spatial and temporal dynamics of gene activation in the brain, and predict that further research in the field of epitranscriptomics will identify interactions between small RNAs and RNA modifications which are essential for higher order brain functions such as learning and memory.","container-title":"Non-Coding RNA","DOI":"10.3390/ncrna4020015","ISSN":"2311-553X","issue":"2","language":"en","license":"http://creativecommons.org/licenses/by/3.0/","note":"number: 2\npublisher: Multidisciplinary Digital Publishing Institute","page":"15","source":"www.mdpi.com","title":"Functional Interplay between Small Non-Coding RNAs and RNA Modification in the Brain","URL":"https://www.mdpi.com/2311-553X/4/2/15","volume":"4","author":[{"family":"Leighton","given":"Laura J."},{"family":"Bredy","given":"Timothy W."}],"accessed":{"date-parts":[["2022",12,9]]},"issued":{"date-parts":[["2018",6]]}}}],"schema":"https://github.com/citation-style-language/schema/raw/master/csl-citation.json"} </w:instrText>
            </w:r>
            <w:r>
              <w:rPr>
                <w:rFonts w:cs="Times New Roman"/>
                <w:sz w:val="18"/>
                <w:szCs w:val="18"/>
              </w:rPr>
              <w:fldChar w:fldCharType="separate"/>
            </w:r>
            <w:r w:rsidRPr="00CA51F7">
              <w:rPr>
                <w:rFonts w:cs="Times New Roman"/>
                <w:sz w:val="18"/>
                <w:vertAlign w:val="superscript"/>
              </w:rPr>
              <w:t>47</w:t>
            </w:r>
            <w:r>
              <w:rPr>
                <w:rFonts w:cs="Times New Roman"/>
                <w:sz w:val="18"/>
                <w:szCs w:val="18"/>
              </w:rPr>
              <w:fldChar w:fldCharType="end"/>
            </w:r>
            <w:r>
              <w:rPr>
                <w:rFonts w:cs="Times New Roman"/>
                <w:sz w:val="18"/>
                <w:szCs w:val="18"/>
              </w:rPr>
              <w:t>,</w:t>
            </w:r>
          </w:p>
          <w:p w14:paraId="32C38AD8" w14:textId="77777777" w:rsidR="009B1D4F" w:rsidRPr="00630AA4" w:rsidRDefault="009B1D4F" w:rsidP="00147761">
            <w:pPr>
              <w:spacing w:line="240" w:lineRule="auto"/>
              <w:rPr>
                <w:rFonts w:cs="Times New Roman"/>
                <w:sz w:val="18"/>
                <w:szCs w:val="18"/>
              </w:rPr>
            </w:pPr>
            <w:r>
              <w:rPr>
                <w:rFonts w:cs="Times New Roman"/>
                <w:sz w:val="18"/>
                <w:szCs w:val="18"/>
              </w:rPr>
              <w:fldChar w:fldCharType="begin"/>
            </w:r>
            <w:r>
              <w:rPr>
                <w:rFonts w:cs="Times New Roman"/>
                <w:sz w:val="18"/>
                <w:szCs w:val="18"/>
              </w:rPr>
              <w:instrText xml:space="preserve"> ADDIN ZOTERO_ITEM CSL_CITATION {"citationID":"SgIflVae","properties":{"formattedCitation":"\\super 48\\nosupersub{}","plainCitation":"48","noteIndex":0},"citationItems":[{"id":1407,"uris":["http://zotero.org/users/local/c5nmaFTs/items/K2W4PP27"],"itemData":{"id":1407,"type":"webpage","title":"Endogenous siRNAs and noncoding RNA-derived small RNAs are expressed in adult mouse hippocampus and are up-regulated in olfactory discrimination training","URL":"https://rnajournal.cshlp.org/content/17/1/166.short","accessed":{"date-parts":[["2022",12,9]]}}}],"schema":"https://github.com/citation-style-language/schema/raw/master/csl-citation.json"} </w:instrText>
            </w:r>
            <w:r>
              <w:rPr>
                <w:rFonts w:cs="Times New Roman"/>
                <w:sz w:val="18"/>
                <w:szCs w:val="18"/>
              </w:rPr>
              <w:fldChar w:fldCharType="separate"/>
            </w:r>
            <w:r w:rsidRPr="00CA51F7">
              <w:rPr>
                <w:rFonts w:cs="Times New Roman"/>
                <w:sz w:val="18"/>
                <w:vertAlign w:val="superscript"/>
              </w:rPr>
              <w:t>48</w:t>
            </w:r>
            <w:r>
              <w:rPr>
                <w:rFonts w:cs="Times New Roman"/>
                <w:sz w:val="18"/>
                <w:szCs w:val="18"/>
              </w:rPr>
              <w:fldChar w:fldCharType="end"/>
            </w:r>
          </w:p>
        </w:tc>
      </w:tr>
      <w:tr w:rsidR="009B1D4F" w:rsidRPr="00630AA4" w14:paraId="57D7BE09" w14:textId="77777777" w:rsidTr="009B1D4F">
        <w:trPr>
          <w:trHeight w:val="800"/>
        </w:trPr>
        <w:tc>
          <w:tcPr>
            <w:tcW w:w="1926" w:type="dxa"/>
          </w:tcPr>
          <w:p w14:paraId="5F537977" w14:textId="77777777" w:rsidR="009B1D4F" w:rsidRPr="00630AA4" w:rsidRDefault="009B1D4F" w:rsidP="00147761">
            <w:pPr>
              <w:spacing w:line="240" w:lineRule="auto"/>
              <w:rPr>
                <w:rFonts w:cs="Times New Roman"/>
                <w:i/>
                <w:sz w:val="18"/>
                <w:szCs w:val="18"/>
              </w:rPr>
            </w:pPr>
            <w:r w:rsidRPr="00630AA4">
              <w:rPr>
                <w:rFonts w:cs="Times New Roman"/>
                <w:sz w:val="18"/>
                <w:szCs w:val="18"/>
              </w:rPr>
              <w:t>MALAT1</w:t>
            </w:r>
          </w:p>
        </w:tc>
        <w:tc>
          <w:tcPr>
            <w:tcW w:w="859" w:type="dxa"/>
          </w:tcPr>
          <w:p w14:paraId="2067AD23" w14:textId="77777777" w:rsidR="009B1D4F" w:rsidRPr="00DE3494" w:rsidRDefault="009B1D4F" w:rsidP="00147761">
            <w:pPr>
              <w:spacing w:line="240" w:lineRule="auto"/>
              <w:jc w:val="both"/>
              <w:rPr>
                <w:rFonts w:cs="Times New Roman"/>
                <w:sz w:val="18"/>
                <w:szCs w:val="18"/>
              </w:rPr>
            </w:pPr>
            <w:r w:rsidRPr="00DE3494">
              <w:rPr>
                <w:rFonts w:ascii="Times Roman" w:hAnsi="Times Roman"/>
                <w:color w:val="000000"/>
                <w:sz w:val="18"/>
                <w:szCs w:val="18"/>
                <w:shd w:val="clear" w:color="auto" w:fill="FFFFFF"/>
              </w:rPr>
              <w:t>11q13.1</w:t>
            </w:r>
          </w:p>
        </w:tc>
        <w:tc>
          <w:tcPr>
            <w:tcW w:w="4410" w:type="dxa"/>
          </w:tcPr>
          <w:p w14:paraId="4469E890" w14:textId="77777777" w:rsidR="009B1D4F" w:rsidRPr="00474F7B" w:rsidRDefault="009B1D4F" w:rsidP="00147761">
            <w:pPr>
              <w:jc w:val="both"/>
              <w:rPr>
                <w:sz w:val="18"/>
                <w:szCs w:val="18"/>
              </w:rPr>
            </w:pPr>
            <w:r w:rsidRPr="00474F7B">
              <w:rPr>
                <w:sz w:val="18"/>
                <w:szCs w:val="18"/>
              </w:rPr>
              <w:t xml:space="preserve">This gene produces a precursor transcript from which a long non-coding RNA is derived by RNase P cleavage of a tRNA-like small ncRNA (known as </w:t>
            </w:r>
            <w:proofErr w:type="spellStart"/>
            <w:r w:rsidRPr="00474F7B">
              <w:rPr>
                <w:sz w:val="18"/>
                <w:szCs w:val="18"/>
              </w:rPr>
              <w:t>mascRNA</w:t>
            </w:r>
            <w:proofErr w:type="spellEnd"/>
            <w:r w:rsidRPr="00474F7B">
              <w:rPr>
                <w:sz w:val="18"/>
                <w:szCs w:val="18"/>
              </w:rPr>
              <w:t>) from its 3' end. The resultant mature transcript lacks a canonical poly(A) tail but is instead stabilized by a 3' triple helical structure. This transcript is retained in the nucleus where it is thought to form molecular scaffolds for ribonucleoprotein complexes. It may act as a transcriptional regulator for numerous genes, including some genes involved in cancer metastasis and cell migration, and it is involved in cell cycle regulation. Its upregulation in multiple cancerous tissues has been associated with the proliferation and metastasis of tumor cells</w:t>
            </w:r>
          </w:p>
          <w:p w14:paraId="2E0BB5C7" w14:textId="77777777" w:rsidR="009B1D4F" w:rsidRPr="00630AA4" w:rsidRDefault="009B1D4F" w:rsidP="00147761">
            <w:pPr>
              <w:spacing w:line="240" w:lineRule="auto"/>
              <w:jc w:val="both"/>
              <w:rPr>
                <w:rFonts w:cs="Times New Roman"/>
                <w:sz w:val="18"/>
                <w:szCs w:val="18"/>
              </w:rPr>
            </w:pPr>
          </w:p>
        </w:tc>
        <w:tc>
          <w:tcPr>
            <w:tcW w:w="900" w:type="dxa"/>
          </w:tcPr>
          <w:p w14:paraId="1249687D" w14:textId="77777777" w:rsidR="009B1D4F" w:rsidRDefault="009B1D4F" w:rsidP="00147761">
            <w:pPr>
              <w:spacing w:line="240" w:lineRule="auto"/>
              <w:rPr>
                <w:rFonts w:cs="Times New Roman"/>
                <w:sz w:val="18"/>
                <w:szCs w:val="18"/>
                <w:u w:val="single"/>
              </w:rPr>
            </w:pPr>
            <w:r>
              <w:rPr>
                <w:rFonts w:cs="Times New Roman"/>
                <w:sz w:val="18"/>
                <w:szCs w:val="18"/>
                <w:u w:val="single"/>
              </w:rPr>
              <w:fldChar w:fldCharType="begin"/>
            </w:r>
            <w:r>
              <w:rPr>
                <w:rFonts w:cs="Times New Roman"/>
                <w:sz w:val="18"/>
                <w:szCs w:val="18"/>
                <w:u w:val="single"/>
              </w:rPr>
              <w:instrText xml:space="preserve"> ADDIN ZOTERO_ITEM CSL_CITATION {"citationID":"a14fa9gbsn6","properties":{"formattedCitation":"\\super 49\\nosupersub{}","plainCitation":"49","noteIndex":0},"citationItems":[{"id":782,"uris":["http://zotero.org/users/local/c5nmaFTs/items/MFREW8UL"],"itemData":{"id":782,"type":"post-weblog","abstract":"Long pieces of RNA that do not code for protein have diverse and important roles in the cell and may contribute to autism risk, say Nikolaos Mellios and Mriganka Sur.","container-title":"Spectrum | Autism Research News","language":"en-US","title":"No longer junk: Role of long noncoding RNAs in autism risk","title-short":"No longer junk","URL":"https://www.spectrumnews.org/opinion/viewpoint/no-longer-junk-role-of-long-noncoding-rnas-in-autism-risk/","author":[{"family":"Mellios","given":"Nikolaos"}],"accessed":{"date-parts":[["2022",11,9]]},"issued":{"date-parts":[["2014",3,4]]}}}],"schema":"https://github.com/citation-style-language/schema/raw/master/csl-citation.json"} </w:instrText>
            </w:r>
            <w:r>
              <w:rPr>
                <w:rFonts w:cs="Times New Roman"/>
                <w:sz w:val="18"/>
                <w:szCs w:val="18"/>
                <w:u w:val="single"/>
              </w:rPr>
              <w:fldChar w:fldCharType="separate"/>
            </w:r>
            <w:r w:rsidRPr="00CA51F7">
              <w:rPr>
                <w:rFonts w:cs="Times New Roman"/>
                <w:sz w:val="18"/>
                <w:vertAlign w:val="superscript"/>
              </w:rPr>
              <w:t>49</w:t>
            </w:r>
            <w:r>
              <w:rPr>
                <w:rFonts w:cs="Times New Roman"/>
                <w:sz w:val="18"/>
                <w:szCs w:val="18"/>
                <w:u w:val="single"/>
              </w:rPr>
              <w:fldChar w:fldCharType="end"/>
            </w:r>
            <w:r>
              <w:rPr>
                <w:rFonts w:cs="Times New Roman"/>
                <w:sz w:val="18"/>
                <w:szCs w:val="18"/>
                <w:u w:val="single"/>
              </w:rPr>
              <w:t>,</w:t>
            </w:r>
          </w:p>
          <w:p w14:paraId="253A4B0B" w14:textId="77777777" w:rsidR="009B1D4F" w:rsidRDefault="009B1D4F" w:rsidP="00147761">
            <w:pPr>
              <w:spacing w:line="240" w:lineRule="auto"/>
              <w:rPr>
                <w:rFonts w:cs="Times New Roman"/>
                <w:sz w:val="18"/>
                <w:szCs w:val="18"/>
                <w:u w:val="single"/>
              </w:rPr>
            </w:pPr>
            <w:r>
              <w:rPr>
                <w:rFonts w:cs="Times New Roman"/>
                <w:sz w:val="18"/>
                <w:szCs w:val="18"/>
                <w:u w:val="single"/>
              </w:rPr>
              <w:fldChar w:fldCharType="begin"/>
            </w:r>
            <w:r>
              <w:rPr>
                <w:rFonts w:cs="Times New Roman"/>
                <w:sz w:val="18"/>
                <w:szCs w:val="18"/>
                <w:u w:val="single"/>
              </w:rPr>
              <w:instrText xml:space="preserve"> ADDIN ZOTERO_ITEM CSL_CITATION {"citationID":"a2ie3qe51mq","properties":{"formattedCitation":"\\super 50\\nosupersub{}","plainCitation":"50","noteIndex":0},"citationItems":[{"id":774,"uris":["http://zotero.org/users/local/c5nmaFTs/items/A3NQJ282"],"itemData":{"id":774,"type":"webpage","title":"m6A Methyltransferase METTL3 Reduces Hippocampal Neuron Apoptosis in a Mouse Model of Autism Through the MALAT1/SFRP2/Wnt/β-catenin Axis","URL":"https://psychiatryinvestigation.org/journal/view.php?number=1509","accessed":{"date-parts":[["2022",11,8]]}}}],"schema":"https://github.com/citation-style-language/schema/raw/master/csl-citation.json"} </w:instrText>
            </w:r>
            <w:r>
              <w:rPr>
                <w:rFonts w:cs="Times New Roman"/>
                <w:sz w:val="18"/>
                <w:szCs w:val="18"/>
                <w:u w:val="single"/>
              </w:rPr>
              <w:fldChar w:fldCharType="separate"/>
            </w:r>
            <w:r w:rsidRPr="00CA51F7">
              <w:rPr>
                <w:rFonts w:cs="Times New Roman"/>
                <w:sz w:val="18"/>
                <w:vertAlign w:val="superscript"/>
              </w:rPr>
              <w:t>50</w:t>
            </w:r>
            <w:r>
              <w:rPr>
                <w:rFonts w:cs="Times New Roman"/>
                <w:sz w:val="18"/>
                <w:szCs w:val="18"/>
                <w:u w:val="single"/>
              </w:rPr>
              <w:fldChar w:fldCharType="end"/>
            </w:r>
            <w:r>
              <w:rPr>
                <w:rFonts w:cs="Times New Roman"/>
                <w:sz w:val="18"/>
                <w:szCs w:val="18"/>
                <w:u w:val="single"/>
              </w:rPr>
              <w:t>,</w:t>
            </w:r>
          </w:p>
          <w:p w14:paraId="485DB159" w14:textId="77777777" w:rsidR="009B1D4F" w:rsidRDefault="009B1D4F" w:rsidP="00147761">
            <w:pPr>
              <w:spacing w:line="240" w:lineRule="auto"/>
              <w:rPr>
                <w:rFonts w:cs="Times New Roman"/>
                <w:sz w:val="18"/>
                <w:szCs w:val="18"/>
                <w:u w:val="single"/>
              </w:rPr>
            </w:pPr>
            <w:r>
              <w:rPr>
                <w:rFonts w:cs="Times New Roman"/>
                <w:sz w:val="18"/>
                <w:szCs w:val="18"/>
                <w:u w:val="single"/>
              </w:rPr>
              <w:fldChar w:fldCharType="begin"/>
            </w:r>
            <w:r>
              <w:rPr>
                <w:rFonts w:cs="Times New Roman"/>
                <w:sz w:val="18"/>
                <w:szCs w:val="18"/>
                <w:u w:val="single"/>
              </w:rPr>
              <w:instrText xml:space="preserve"> ADDIN ZOTERO_ITEM CSL_CITATION {"citationID":"a27h77frvfq","properties":{"formattedCitation":"\\super 51\\nosupersub{}","plainCitation":"51","noteIndex":0},"citationItems":[{"id":468,"uris":["http://zotero.org/users/local/c5nmaFTs/items/DWLNPGXL"],"itemData":{"id":468,"type":"article-journal","abstract":"Autism spectrum disorders (ASD) are complex neurodevelopmental impairments in which dysregulation of long noncoding RNAs (lncRNAs) has been indicated. LncRNAs tend to play role in constituting comprehensive networks of ribonucleoprotein complexes including argonautes. Here, we aimed to study the expressions of MALAT1, a highly conserved lncRNA, and AGO2 gene, encoding the catalytic component of the RNA-induced silencing complex (RISC), in ASD patients. In this case-control study, peripheral whole blood samples were gathered from 30 ASD patients and 41 healthy controls and expression level of genes were matured by quantitative TaqMan real-time PCR. we found an increase in MALAT1 expression, which was statistically insignificant. Moreover, the AGO2 expression revealed a decrease that did not reach a level of significance. There was a significant and direct correlation between expression levels of MALAT1 and AGO2 (r = 0.427, P &lt; 0.0001). Eventually, MALAT1 and AGO2 correlations with patients' age did not show a significant difference. These findings provide clues that although we have indicated a significant direct correlation between MALAT1 lncRNA and AGO2, implying their interactive network, there should be a reconsideration regarding their role in ASD development based on whole blood samples because the altered expressions were not strong enough to be significant. Further investigations employing larger sample sizes and specific leukocytes subsets separately could profoundly strengthen these findings.","container-title":"Meta Gene","DOI":"10.1016/j.mgene.2018.12.003","ISSN":"2214-5400","journalAbbreviation":"Meta Gene","language":"en","page":"193-198","source":"ScienceDirect","title":"Consideration of the role of MALAT1 long noncoding RNA and catalytic component of RNA-induced silencing complex (Argonaute 2, AGO2) in autism spectrum disorders: Yes, or no?","title-short":"Consideration of the role of MALAT1 long noncoding RNA and catalytic component of RNA-induced silencing complex (Argonaute 2, AGO2) in autism spectrum disorders","URL":"https://www.sciencedirect.com/science/article/pii/S2214540018302184","volume":"19","author":[{"family":"Fallah","given":"Hamid"},{"family":"Ganji","given":"Maziar"},{"family":"Arsang-Jang","given":"Shahram"},{"family":"Sayad","given":"Arezou"},{"family":"Taheri","given":"Mohammad"}],"accessed":{"date-parts":[["2022",5,25]]},"issued":{"date-parts":[["2019",2,1]]}}}],"schema":"https://github.com/citation-style-language/schema/raw/master/csl-citation.json"} </w:instrText>
            </w:r>
            <w:r>
              <w:rPr>
                <w:rFonts w:cs="Times New Roman"/>
                <w:sz w:val="18"/>
                <w:szCs w:val="18"/>
                <w:u w:val="single"/>
              </w:rPr>
              <w:fldChar w:fldCharType="separate"/>
            </w:r>
            <w:r w:rsidRPr="00CA51F7">
              <w:rPr>
                <w:rFonts w:cs="Times New Roman"/>
                <w:sz w:val="18"/>
                <w:vertAlign w:val="superscript"/>
              </w:rPr>
              <w:t>51</w:t>
            </w:r>
            <w:r>
              <w:rPr>
                <w:rFonts w:cs="Times New Roman"/>
                <w:sz w:val="18"/>
                <w:szCs w:val="18"/>
                <w:u w:val="single"/>
              </w:rPr>
              <w:fldChar w:fldCharType="end"/>
            </w:r>
            <w:r>
              <w:rPr>
                <w:rFonts w:cs="Times New Roman"/>
                <w:sz w:val="18"/>
                <w:szCs w:val="18"/>
                <w:u w:val="single"/>
              </w:rPr>
              <w:t xml:space="preserve">, </w:t>
            </w:r>
          </w:p>
          <w:p w14:paraId="4D6980B1" w14:textId="77777777" w:rsidR="009B1D4F" w:rsidRDefault="009B1D4F" w:rsidP="00147761">
            <w:pPr>
              <w:spacing w:line="240" w:lineRule="auto"/>
              <w:rPr>
                <w:rFonts w:cs="Times New Roman"/>
                <w:sz w:val="18"/>
                <w:szCs w:val="18"/>
                <w:u w:val="single"/>
              </w:rPr>
            </w:pPr>
            <w:r>
              <w:rPr>
                <w:rFonts w:cs="Times New Roman"/>
                <w:sz w:val="18"/>
                <w:szCs w:val="18"/>
                <w:u w:val="single"/>
              </w:rPr>
              <w:fldChar w:fldCharType="begin"/>
            </w:r>
            <w:r>
              <w:rPr>
                <w:rFonts w:cs="Times New Roman"/>
                <w:sz w:val="18"/>
                <w:szCs w:val="18"/>
                <w:u w:val="single"/>
              </w:rPr>
              <w:instrText xml:space="preserve"> ADDIN ZOTERO_ITEM CSL_CITATION {"citationID":"a1j1mna7vra","properties":{"formattedCitation":"\\super 52\\nosupersub{}","plainCitation":"52","noteIndex":0},"citationItems":[{"id":776,"uris":["http://zotero.org/users/local/c5nmaFTs/items/ENHEXNV9"],"itemData":{"id":776,"type":"article-journal","abstract":"Objetivos:La identificación de una herramienta diagnóstica objetiva de laboratorio (p. ej., cambios en la expresión génica), cuando se utiliza junto con una evaluación clínica específica de la enfermedad, podría aumentar la precisión de la eficacia de una intervención terapéutica.Métodos:Evaluamos la asociación entre el resultado del tratamiento y la expresión de ARN en sangre antes de la intervención terapéutica y después del tratamiento (después de 1 año) de cinco niños pequeños con trastorno del espectro autista (TEA) que se sometieron a una intervención cognitiva conductual intensiva integrada con terapia psicomotora y del habla.Resultados:Encontramos 113 genes significativos expresados ​​diferencialmente enriquecidos para el sistema nervioso, el sistema inmunológico y las vías relacionadas con la transcripción y la traducción. Algunos de estos genes, como MALAT-1 , TSPO y CFL1 , parecen ser candidatos prometedores.Conclusiones:Nuestros hallazgos muestran que los cambios en la expresión génica periférica podrían usarse junto con escalas clínicas para monitorear la efectividad de una intervención de rehabilitación en niños pequeños afectados por TEA. Estos resultados necesitan ser validados en una cohorte más grande.","container-title":"Acta Neuropsychiatrica","DOI":"10.1017/neu.2021.12","ISSN":"0924-2708, 1601-5215","issue":"5","language":"es","note":"publisher: Cambridge University Press","page":"267-272","source":"Cambridge University Press","title":"Molecular biomarkers to track clinical improvement following an integrative treatment model in autistic toddlers","URL":"https://www.cambridge.org/core/journals/acta-neuropsychiatrica/article/abs/molecular-biomarkers-to-track-clinical-improvement-following-an-integrative-treatment-model-in-autistic-toddlers/97894CBF3FD79FB334CF9CF6328A080C","volume":"33","author":[{"family":"Piras","given":"Ignazio S."},{"family":"Manti","given":"Filippo"},{"family":"Costa","given":"Anna"},{"family":"Carone","given":"Valentina"},{"family":"Scalese","given":"Bruna"},{"family":"Talboom","given":"Joshua S."},{"family":"Veronesi","given":"Christian"},{"family":"Tabolacci","given":"Claudio"},{"family":"Persico","given":"Antonio M."},{"family":"Huentelman","given":"Matthew J."},{"family":"Sacco","given":"Roberto"},{"family":"Lintas","given":"Carla"}],"accessed":{"date-parts":[["2022",11,8]]},"issued":{"date-parts":[["2021",10]]}}}],"schema":"https://github.com/citation-style-language/schema/raw/master/csl-citation.json"} </w:instrText>
            </w:r>
            <w:r>
              <w:rPr>
                <w:rFonts w:cs="Times New Roman"/>
                <w:sz w:val="18"/>
                <w:szCs w:val="18"/>
                <w:u w:val="single"/>
              </w:rPr>
              <w:fldChar w:fldCharType="separate"/>
            </w:r>
            <w:r w:rsidRPr="00CA51F7">
              <w:rPr>
                <w:rFonts w:cs="Times New Roman"/>
                <w:sz w:val="18"/>
                <w:vertAlign w:val="superscript"/>
              </w:rPr>
              <w:t>52</w:t>
            </w:r>
            <w:r>
              <w:rPr>
                <w:rFonts w:cs="Times New Roman"/>
                <w:sz w:val="18"/>
                <w:szCs w:val="18"/>
                <w:u w:val="single"/>
              </w:rPr>
              <w:fldChar w:fldCharType="end"/>
            </w:r>
          </w:p>
          <w:p w14:paraId="637AEC93" w14:textId="77777777" w:rsidR="009B1D4F" w:rsidRPr="00630AA4" w:rsidRDefault="009B1D4F" w:rsidP="00147761">
            <w:pPr>
              <w:spacing w:line="240" w:lineRule="auto"/>
              <w:rPr>
                <w:rFonts w:cs="Times New Roman"/>
                <w:sz w:val="18"/>
                <w:szCs w:val="18"/>
                <w:u w:val="single"/>
              </w:rPr>
            </w:pPr>
          </w:p>
        </w:tc>
        <w:tc>
          <w:tcPr>
            <w:tcW w:w="937" w:type="dxa"/>
          </w:tcPr>
          <w:p w14:paraId="7DD2C147" w14:textId="77777777" w:rsidR="009B1D4F" w:rsidRDefault="009B1D4F" w:rsidP="00147761">
            <w:pPr>
              <w:spacing w:line="240" w:lineRule="auto"/>
              <w:rPr>
                <w:rFonts w:cs="Times New Roman"/>
                <w:sz w:val="18"/>
                <w:szCs w:val="18"/>
              </w:rPr>
            </w:pPr>
            <w:r>
              <w:rPr>
                <w:rFonts w:cs="Times New Roman"/>
                <w:sz w:val="18"/>
                <w:szCs w:val="18"/>
              </w:rPr>
              <w:fldChar w:fldCharType="begin"/>
            </w:r>
            <w:r>
              <w:rPr>
                <w:rFonts w:cs="Times New Roman"/>
                <w:sz w:val="18"/>
                <w:szCs w:val="18"/>
              </w:rPr>
              <w:instrText xml:space="preserve"> ADDIN ZOTERO_ITEM CSL_CITATION {"citationID":"avj9iir057","properties":{"formattedCitation":"\\super 53\\nosupersub{}","plainCitation":"53","noteIndex":0},"citationItems":[{"id":1415,"uris":["http://zotero.org/users/local/c5nmaFTs/items/UME5JEFY"],"itemData":{"id":1415,"type":"article","abstract":"Visual and auditory hallucinations are a cardinal feature of psychotic disorders (1).  We mined published and public microarray datasets (2, 3) to discover differentially expressed genes in schizophrenia and schizoaffective disorder.  We found significant differential expression of the metastasis-associated lung adenocarcinoma transcript and long non-coding RNA MALAT1 in neurons of the dorsolateral pre-frontal cortex from patients with schizophrenia and schizoaffective disorder.","DOI":"10.31219/osf.io/4qazv","language":"en-us","publisher":"OSF Preprints","source":"OSF Preprints","title":"The non-coding RNA MALAT1 is differentially expressed in the brains of patients with schizophrenia.","URL":"https://osf.io/4qazv/","author":[{"family":"Mamoor","given":"Shahan"}],"accessed":{"date-parts":[["2022",12,9]]},"issued":{"date-parts":[["2020",9,28]]}}}],"schema":"https://github.com/citation-style-language/schema/raw/master/csl-citation.json"} </w:instrText>
            </w:r>
            <w:r>
              <w:rPr>
                <w:rFonts w:cs="Times New Roman"/>
                <w:sz w:val="18"/>
                <w:szCs w:val="18"/>
              </w:rPr>
              <w:fldChar w:fldCharType="separate"/>
            </w:r>
            <w:r w:rsidRPr="00CA51F7">
              <w:rPr>
                <w:rFonts w:cs="Times New Roman"/>
                <w:sz w:val="18"/>
                <w:vertAlign w:val="superscript"/>
              </w:rPr>
              <w:t>53</w:t>
            </w:r>
            <w:r>
              <w:rPr>
                <w:rFonts w:cs="Times New Roman"/>
                <w:sz w:val="18"/>
                <w:szCs w:val="18"/>
              </w:rPr>
              <w:fldChar w:fldCharType="end"/>
            </w:r>
            <w:r>
              <w:rPr>
                <w:rFonts w:cs="Times New Roman"/>
                <w:sz w:val="18"/>
                <w:szCs w:val="18"/>
              </w:rPr>
              <w:t>,</w:t>
            </w:r>
          </w:p>
          <w:p w14:paraId="194DC6FE" w14:textId="77777777" w:rsidR="009B1D4F" w:rsidRPr="00630AA4" w:rsidRDefault="009B1D4F" w:rsidP="00147761">
            <w:pPr>
              <w:spacing w:line="240" w:lineRule="auto"/>
              <w:rPr>
                <w:rFonts w:cs="Times New Roman"/>
                <w:sz w:val="18"/>
                <w:szCs w:val="18"/>
              </w:rPr>
            </w:pPr>
            <w:r>
              <w:rPr>
                <w:rFonts w:cs="Times New Roman"/>
                <w:sz w:val="18"/>
                <w:szCs w:val="18"/>
              </w:rPr>
              <w:fldChar w:fldCharType="begin"/>
            </w:r>
            <w:r>
              <w:rPr>
                <w:rFonts w:cs="Times New Roman"/>
                <w:sz w:val="18"/>
                <w:szCs w:val="18"/>
              </w:rPr>
              <w:instrText xml:space="preserve"> ADDIN ZOTERO_ITEM CSL_CITATION {"citationID":"au0sat9mcs","properties":{"formattedCitation":"\\super 47\\nosupersub{}","plainCitation":"47","noteIndex":0},"citationItems":[{"id":1405,"uris":["http://zotero.org/users/local/c5nmaFTs/items/MZMFD3R6"],"itemData":{"id":1405,"type":"article-journal","abstract":"Small non-coding RNAs are essential for transcription, translation and gene regulation in all cell types, but are particularly important in neurons, with known roles in neurodevelopment, neuroplasticity and neurological disease. Many small non-coding RNAs are directly involved in the post-transcriptional modification of other RNA species, while others are themselves substrates for modification, or are functionally modulated by modification of their target RNAs. In this review, we explore the known and potential functions of several distinct classes of small non-coding RNAs in the mammalian brain, focusing on the newly recognised interplay between the epitranscriptome and the activity of small RNAs. We discuss the potential for this relationship to influence the spatial and temporal dynamics of gene activation in the brain, and predict that further research in the field of epitranscriptomics will identify interactions between small RNAs and RNA modifications which are essential for higher order brain functions such as learning and memory.","container-title":"Non-Coding RNA","DOI":"10.3390/ncrna4020015","ISSN":"2311-553X","issue":"2","language":"en","license":"http://creativecommons.org/licenses/by/3.0/","note":"number: 2\npublisher: Multidisciplinary Digital Publishing Institute","page":"15","source":"www.mdpi.com","title":"Functional Interplay between Small Non-Coding RNAs and RNA Modification in the Brain","URL":"https://www.mdpi.com/2311-553X/4/2/15","volume":"4","author":[{"family":"Leighton","given":"Laura J."},{"family":"Bredy","given":"Timothy W."}],"accessed":{"date-parts":[["2022",12,9]]},"issued":{"date-parts":[["2018",6]]}}}],"schema":"https://github.com/citation-style-language/schema/raw/master/csl-citation.json"} </w:instrText>
            </w:r>
            <w:r>
              <w:rPr>
                <w:rFonts w:cs="Times New Roman"/>
                <w:sz w:val="18"/>
                <w:szCs w:val="18"/>
              </w:rPr>
              <w:fldChar w:fldCharType="separate"/>
            </w:r>
            <w:r w:rsidRPr="00CA51F7">
              <w:rPr>
                <w:rFonts w:cs="Times New Roman"/>
                <w:sz w:val="18"/>
                <w:vertAlign w:val="superscript"/>
              </w:rPr>
              <w:t>47</w:t>
            </w:r>
            <w:r>
              <w:rPr>
                <w:rFonts w:cs="Times New Roman"/>
                <w:sz w:val="18"/>
                <w:szCs w:val="18"/>
              </w:rPr>
              <w:fldChar w:fldCharType="end"/>
            </w:r>
          </w:p>
        </w:tc>
      </w:tr>
      <w:tr w:rsidR="009B1D4F" w:rsidRPr="00630AA4" w14:paraId="2E7B98CD" w14:textId="77777777" w:rsidTr="009B1D4F">
        <w:trPr>
          <w:trHeight w:val="170"/>
        </w:trPr>
        <w:tc>
          <w:tcPr>
            <w:tcW w:w="1926" w:type="dxa"/>
          </w:tcPr>
          <w:p w14:paraId="0AA24F37" w14:textId="77777777" w:rsidR="009B1D4F" w:rsidRPr="00630AA4" w:rsidRDefault="009B1D4F" w:rsidP="00147761">
            <w:pPr>
              <w:spacing w:line="240" w:lineRule="auto"/>
              <w:rPr>
                <w:rFonts w:cs="Times New Roman"/>
                <w:i/>
                <w:sz w:val="18"/>
                <w:szCs w:val="18"/>
              </w:rPr>
            </w:pPr>
            <w:r w:rsidRPr="00630AA4">
              <w:rPr>
                <w:rFonts w:cs="Times New Roman"/>
                <w:sz w:val="18"/>
                <w:szCs w:val="18"/>
              </w:rPr>
              <w:t>RPS3A</w:t>
            </w:r>
          </w:p>
        </w:tc>
        <w:tc>
          <w:tcPr>
            <w:tcW w:w="859" w:type="dxa"/>
          </w:tcPr>
          <w:p w14:paraId="0FC5B2B2" w14:textId="77777777" w:rsidR="009B1D4F" w:rsidRPr="00630AA4" w:rsidRDefault="009B1D4F" w:rsidP="00147761">
            <w:pPr>
              <w:spacing w:line="240" w:lineRule="auto"/>
              <w:jc w:val="both"/>
              <w:rPr>
                <w:rFonts w:cs="Times New Roman"/>
                <w:sz w:val="18"/>
                <w:szCs w:val="18"/>
                <w:lang w:val="fr-FR"/>
              </w:rPr>
            </w:pPr>
            <w:r>
              <w:rPr>
                <w:rFonts w:cs="Times New Roman"/>
                <w:sz w:val="18"/>
                <w:szCs w:val="18"/>
                <w:lang w:val="fr-FR"/>
              </w:rPr>
              <w:t>4q31.3</w:t>
            </w:r>
          </w:p>
        </w:tc>
        <w:tc>
          <w:tcPr>
            <w:tcW w:w="4410" w:type="dxa"/>
          </w:tcPr>
          <w:p w14:paraId="2E65159B" w14:textId="77777777" w:rsidR="009B1D4F" w:rsidRPr="000E11DE" w:rsidRDefault="009B1D4F" w:rsidP="00147761">
            <w:pPr>
              <w:jc w:val="both"/>
              <w:rPr>
                <w:sz w:val="18"/>
                <w:szCs w:val="18"/>
              </w:rPr>
            </w:pPr>
            <w:r w:rsidRPr="00474F7B">
              <w:rPr>
                <w:sz w:val="18"/>
                <w:szCs w:val="18"/>
              </w:rPr>
              <w:t xml:space="preserve">40S ribosomal protein S3a; May play a role during erythropoiesis through regulation of transcription factor DDIT3; Belongs to the eukaryotic ribosomal protein eS1 family </w:t>
            </w:r>
          </w:p>
        </w:tc>
        <w:tc>
          <w:tcPr>
            <w:tcW w:w="900" w:type="dxa"/>
          </w:tcPr>
          <w:p w14:paraId="76FAA4F6" w14:textId="77777777" w:rsidR="009B1D4F" w:rsidRDefault="009B1D4F" w:rsidP="00147761">
            <w:pPr>
              <w:spacing w:line="240" w:lineRule="auto"/>
              <w:rPr>
                <w:rFonts w:cs="Times New Roman"/>
                <w:sz w:val="18"/>
                <w:szCs w:val="18"/>
                <w:lang w:val="fr-FR"/>
              </w:rPr>
            </w:pPr>
            <w:r>
              <w:rPr>
                <w:rFonts w:cs="Times New Roman"/>
                <w:sz w:val="18"/>
                <w:szCs w:val="18"/>
                <w:lang w:val="fr-FR"/>
              </w:rPr>
              <w:fldChar w:fldCharType="begin"/>
            </w:r>
            <w:r>
              <w:rPr>
                <w:rFonts w:cs="Times New Roman"/>
                <w:sz w:val="18"/>
                <w:szCs w:val="18"/>
                <w:lang w:val="fr-FR"/>
              </w:rPr>
              <w:instrText xml:space="preserve"> ADDIN ZOTERO_ITEM CSL_CITATION {"citationID":"a1r7a7inniu","properties":{"formattedCitation":"\\super 54\\nosupersub{}","plainCitation":"54","noteIndex":0},"citationItems":[{"id":309,"uris":["http://zotero.org/users/local/c5nmaFTs/items/YW3NSZH7"],"itemData":{"id":309,"type":"article-journal","abstract":"Autism spectrum disorder (ASD) is a severe neuropsychiatric disorder which has complex pathobiology with profound influences of genetic factors in its development. Although the numerous autism susceptible genes were identified, the etiology of autism is not fully explained. Using DNA microarray, we examined gene expression profiling in peripheral blood from 21 individuals in each of the four groups; young adults with ASD, age- and gender-matched healthy subjects (ASD control), healthy mothers having children with ASD (asdMO), and asdMO control. There was no blood relationship between ASD and asdMO. Comparing the ASD group with control, 19 genes were found to be significantly changed. These genes were mainly involved in cell morphology, cellular assembly and organization, and nerve system development and function. In addition, the asdMO group possessed a unique gene expression signature shown as significant alterations of protein synthesis despite of their nonautistic diagnostic status. Moreover, an ASD-associated gene expression signature was commonly observed in both individuals with ASD and asdMO. This unique gene expression profiling detected in peripheral leukocytes from affected subjects with ASD and unaffected mothers having ASD children suggest that a genetic predisposition to ASD may be detectable even in peripheral cells. Altered expression of several autism candidate genes such as FMR-1 and MECP2, could be detected in leukocytes. Taken together, these findings suggest that the ASD-associated genes identified in leukocytes are informative to explore the genetic, epigenetic, and environmental background of ASD and might become potential tools to assess the crucial factors related to the clinical onset of the disorder.","container-title":"PLOS ONE","DOI":"10.1371/journal.pone.0024723","ISSN":"1932-6203","issue":"9","journalAbbreviation":"PLOS ONE","language":"en","note":"publisher: Public Library of Science","page":"e24723","source":"PLoS Journals","title":"Autism-Associated Gene Expression in Peripheral Leucocytes Commonly Observed between Subjects with Autism and Healthy Women Having Autistic Children","URL":"https://journals.plos.org/plosone/article?id=10.1371/journal.pone.0024723","volume":"6","author":[{"family":"Kuwano","given":"Yuki"},{"family":"Kamio","given":"Yoko"},{"family":"Kawai","given":"Tomoko"},{"family":"Katsuura","given":"Sakurako"},{"family":"Inada","given":"Naoko"},{"family":"Takaki","given":"Akiko"},{"family":"Rokutan","given":"Kazuhito"}],"accessed":{"date-parts":[["2021",4,11]]},"issued":{"date-parts":[["2011",9,15]]}}}],"schema":"https://github.com/citation-style-language/schema/raw/master/csl-citation.json"} </w:instrText>
            </w:r>
            <w:r>
              <w:rPr>
                <w:rFonts w:cs="Times New Roman"/>
                <w:sz w:val="18"/>
                <w:szCs w:val="18"/>
                <w:lang w:val="fr-FR"/>
              </w:rPr>
              <w:fldChar w:fldCharType="separate"/>
            </w:r>
            <w:r w:rsidRPr="00CA51F7">
              <w:rPr>
                <w:rFonts w:cs="Times New Roman"/>
                <w:sz w:val="18"/>
                <w:vertAlign w:val="superscript"/>
              </w:rPr>
              <w:t>54</w:t>
            </w:r>
            <w:r>
              <w:rPr>
                <w:rFonts w:cs="Times New Roman"/>
                <w:sz w:val="18"/>
                <w:szCs w:val="18"/>
                <w:lang w:val="fr-FR"/>
              </w:rPr>
              <w:fldChar w:fldCharType="end"/>
            </w:r>
            <w:r>
              <w:rPr>
                <w:rFonts w:cs="Times New Roman"/>
                <w:sz w:val="18"/>
                <w:szCs w:val="18"/>
                <w:lang w:val="fr-FR"/>
              </w:rPr>
              <w:t xml:space="preserve"> </w:t>
            </w:r>
          </w:p>
          <w:p w14:paraId="0897606A" w14:textId="77777777" w:rsidR="009B1D4F" w:rsidRDefault="009B1D4F" w:rsidP="00147761">
            <w:pPr>
              <w:spacing w:line="240" w:lineRule="auto"/>
              <w:rPr>
                <w:rFonts w:cs="Times New Roman"/>
                <w:sz w:val="18"/>
                <w:szCs w:val="18"/>
                <w:lang w:val="fr-FR"/>
              </w:rPr>
            </w:pPr>
          </w:p>
          <w:p w14:paraId="325A7D7A" w14:textId="77777777" w:rsidR="009B1D4F" w:rsidRPr="00630AA4" w:rsidRDefault="009B1D4F" w:rsidP="00147761">
            <w:pPr>
              <w:spacing w:line="240" w:lineRule="auto"/>
              <w:rPr>
                <w:rFonts w:cs="Times New Roman"/>
                <w:sz w:val="18"/>
                <w:szCs w:val="18"/>
                <w:lang w:val="fr-FR"/>
              </w:rPr>
            </w:pPr>
          </w:p>
        </w:tc>
        <w:tc>
          <w:tcPr>
            <w:tcW w:w="937" w:type="dxa"/>
          </w:tcPr>
          <w:p w14:paraId="548C8949" w14:textId="77777777" w:rsidR="009B1D4F" w:rsidRPr="00630AA4" w:rsidRDefault="009B1D4F" w:rsidP="00147761">
            <w:pPr>
              <w:spacing w:line="240" w:lineRule="auto"/>
              <w:rPr>
                <w:rFonts w:cs="Times New Roman"/>
                <w:sz w:val="18"/>
                <w:szCs w:val="18"/>
              </w:rPr>
            </w:pPr>
          </w:p>
        </w:tc>
      </w:tr>
      <w:tr w:rsidR="009B1D4F" w:rsidRPr="00630AA4" w14:paraId="79615BB0" w14:textId="77777777" w:rsidTr="009B1D4F">
        <w:trPr>
          <w:trHeight w:val="323"/>
        </w:trPr>
        <w:tc>
          <w:tcPr>
            <w:tcW w:w="1926" w:type="dxa"/>
          </w:tcPr>
          <w:p w14:paraId="56A1BDCC" w14:textId="77777777" w:rsidR="009B1D4F" w:rsidRPr="00630AA4" w:rsidRDefault="009B1D4F" w:rsidP="00147761">
            <w:pPr>
              <w:spacing w:line="240" w:lineRule="auto"/>
              <w:rPr>
                <w:rFonts w:cs="Times New Roman"/>
                <w:i/>
                <w:sz w:val="18"/>
                <w:szCs w:val="18"/>
              </w:rPr>
            </w:pPr>
            <w:r w:rsidRPr="00AD30FA">
              <w:rPr>
                <w:rFonts w:cs="Times New Roman"/>
                <w:sz w:val="18"/>
                <w:szCs w:val="18"/>
                <w:highlight w:val="yellow"/>
              </w:rPr>
              <w:t>VNN2</w:t>
            </w:r>
          </w:p>
        </w:tc>
        <w:tc>
          <w:tcPr>
            <w:tcW w:w="859" w:type="dxa"/>
          </w:tcPr>
          <w:p w14:paraId="15FB2656" w14:textId="77777777" w:rsidR="009B1D4F" w:rsidRPr="00630AA4" w:rsidRDefault="009B1D4F" w:rsidP="00147761">
            <w:pPr>
              <w:spacing w:line="240" w:lineRule="auto"/>
              <w:jc w:val="both"/>
              <w:rPr>
                <w:rFonts w:cs="Times New Roman"/>
                <w:sz w:val="18"/>
                <w:szCs w:val="18"/>
              </w:rPr>
            </w:pPr>
            <w:r>
              <w:rPr>
                <w:rFonts w:cs="Times New Roman"/>
                <w:sz w:val="18"/>
                <w:szCs w:val="18"/>
              </w:rPr>
              <w:t>6q23.2</w:t>
            </w:r>
          </w:p>
        </w:tc>
        <w:tc>
          <w:tcPr>
            <w:tcW w:w="4410" w:type="dxa"/>
          </w:tcPr>
          <w:p w14:paraId="5EFA61F2" w14:textId="77777777" w:rsidR="009B1D4F" w:rsidRPr="00474F7B" w:rsidRDefault="009B1D4F" w:rsidP="00147761">
            <w:pPr>
              <w:jc w:val="both"/>
              <w:rPr>
                <w:sz w:val="18"/>
                <w:szCs w:val="18"/>
              </w:rPr>
            </w:pPr>
            <w:r w:rsidRPr="00474F7B">
              <w:rPr>
                <w:sz w:val="18"/>
                <w:szCs w:val="18"/>
              </w:rPr>
              <w:t xml:space="preserve">Vascular non-inflammatory molecule 2; Amidohydrolase that hydrolyzes specifically one of the </w:t>
            </w:r>
            <w:proofErr w:type="spellStart"/>
            <w:r w:rsidRPr="00474F7B">
              <w:rPr>
                <w:sz w:val="18"/>
                <w:szCs w:val="18"/>
              </w:rPr>
              <w:t>carboamide</w:t>
            </w:r>
            <w:proofErr w:type="spellEnd"/>
            <w:r w:rsidRPr="00474F7B">
              <w:rPr>
                <w:sz w:val="18"/>
                <w:szCs w:val="18"/>
              </w:rPr>
              <w:t xml:space="preserve"> linkages in D-pantetheine thus recycling pantothenic acid (vitamin B5) and releasing cysteamine. Involved in the thymus homing of bone marrow cells. May regulate beta-2 integrin-mediated cell adhesion, migration and motility of neutrophil; </w:t>
            </w:r>
            <w:proofErr w:type="spellStart"/>
            <w:r w:rsidRPr="00474F7B">
              <w:rPr>
                <w:sz w:val="18"/>
                <w:szCs w:val="18"/>
              </w:rPr>
              <w:t>Vanins</w:t>
            </w:r>
            <w:proofErr w:type="spellEnd"/>
            <w:r w:rsidRPr="00474F7B">
              <w:rPr>
                <w:sz w:val="18"/>
                <w:szCs w:val="18"/>
              </w:rPr>
              <w:t xml:space="preserve"> </w:t>
            </w:r>
          </w:p>
        </w:tc>
        <w:tc>
          <w:tcPr>
            <w:tcW w:w="900" w:type="dxa"/>
          </w:tcPr>
          <w:p w14:paraId="468C5D4D" w14:textId="77777777" w:rsidR="009B1D4F" w:rsidRPr="00630AA4" w:rsidRDefault="009B1D4F" w:rsidP="00147761">
            <w:pPr>
              <w:spacing w:line="240" w:lineRule="auto"/>
              <w:rPr>
                <w:rFonts w:cs="Times New Roman"/>
                <w:sz w:val="18"/>
                <w:szCs w:val="18"/>
              </w:rPr>
            </w:pPr>
          </w:p>
        </w:tc>
        <w:tc>
          <w:tcPr>
            <w:tcW w:w="937" w:type="dxa"/>
          </w:tcPr>
          <w:p w14:paraId="11E42B64" w14:textId="77777777" w:rsidR="009B1D4F" w:rsidRPr="00630AA4" w:rsidRDefault="009B1D4F" w:rsidP="00147761">
            <w:pPr>
              <w:spacing w:line="240" w:lineRule="auto"/>
              <w:rPr>
                <w:rFonts w:cs="Times New Roman"/>
                <w:sz w:val="18"/>
                <w:szCs w:val="18"/>
              </w:rPr>
            </w:pPr>
          </w:p>
        </w:tc>
      </w:tr>
      <w:tr w:rsidR="009B1D4F" w:rsidRPr="00630AA4" w14:paraId="6E93E3AA" w14:textId="77777777" w:rsidTr="009B1D4F">
        <w:trPr>
          <w:trHeight w:val="323"/>
        </w:trPr>
        <w:tc>
          <w:tcPr>
            <w:tcW w:w="1926" w:type="dxa"/>
          </w:tcPr>
          <w:p w14:paraId="27077044" w14:textId="77777777" w:rsidR="009B1D4F" w:rsidRPr="00630AA4" w:rsidRDefault="009B1D4F" w:rsidP="00147761">
            <w:pPr>
              <w:spacing w:line="240" w:lineRule="auto"/>
              <w:rPr>
                <w:rFonts w:cs="Times New Roman"/>
                <w:sz w:val="18"/>
                <w:szCs w:val="18"/>
              </w:rPr>
            </w:pPr>
            <w:r w:rsidRPr="003B105E">
              <w:rPr>
                <w:sz w:val="18"/>
                <w:szCs w:val="18"/>
              </w:rPr>
              <w:lastRenderedPageBreak/>
              <w:t>RPS27</w:t>
            </w:r>
          </w:p>
        </w:tc>
        <w:tc>
          <w:tcPr>
            <w:tcW w:w="859" w:type="dxa"/>
          </w:tcPr>
          <w:p w14:paraId="636AA7F5" w14:textId="77777777" w:rsidR="009B1D4F" w:rsidRDefault="009B1D4F" w:rsidP="00147761">
            <w:pPr>
              <w:spacing w:line="240" w:lineRule="auto"/>
              <w:jc w:val="both"/>
              <w:rPr>
                <w:rFonts w:cs="Times New Roman"/>
                <w:sz w:val="18"/>
                <w:szCs w:val="18"/>
              </w:rPr>
            </w:pPr>
            <w:r>
              <w:rPr>
                <w:rFonts w:cs="Times New Roman"/>
                <w:sz w:val="18"/>
                <w:szCs w:val="18"/>
              </w:rPr>
              <w:t>1q21.3</w:t>
            </w:r>
          </w:p>
        </w:tc>
        <w:tc>
          <w:tcPr>
            <w:tcW w:w="4410" w:type="dxa"/>
          </w:tcPr>
          <w:p w14:paraId="0DBA583F" w14:textId="77777777" w:rsidR="009B1D4F" w:rsidRPr="00474F7B" w:rsidRDefault="009B1D4F" w:rsidP="00147761">
            <w:pPr>
              <w:jc w:val="both"/>
              <w:rPr>
                <w:sz w:val="18"/>
                <w:szCs w:val="18"/>
              </w:rPr>
            </w:pPr>
            <w:r w:rsidRPr="000E11DE">
              <w:rPr>
                <w:sz w:val="18"/>
                <w:szCs w:val="18"/>
              </w:rPr>
              <w:t>40S ribosomal protein S27; Component of the small ribosomal subunit. Required for proper rRNA processing and maturation of 18S rRNAs; Belongs to the eukaryotic ribosomal protein eS27 family</w:t>
            </w:r>
            <w:r>
              <w:rPr>
                <w:sz w:val="18"/>
                <w:szCs w:val="18"/>
              </w:rPr>
              <w:t>.</w:t>
            </w:r>
          </w:p>
        </w:tc>
        <w:tc>
          <w:tcPr>
            <w:tcW w:w="900" w:type="dxa"/>
          </w:tcPr>
          <w:p w14:paraId="40D80E20" w14:textId="77777777" w:rsidR="009B1D4F" w:rsidRPr="00630AA4" w:rsidRDefault="009B1D4F" w:rsidP="00147761">
            <w:pPr>
              <w:spacing w:line="240" w:lineRule="auto"/>
              <w:rPr>
                <w:rFonts w:cs="Times New Roman"/>
                <w:sz w:val="18"/>
                <w:szCs w:val="18"/>
              </w:rPr>
            </w:pPr>
            <w:r>
              <w:rPr>
                <w:rFonts w:cs="Times New Roman"/>
                <w:sz w:val="18"/>
                <w:szCs w:val="18"/>
              </w:rPr>
              <w:fldChar w:fldCharType="begin"/>
            </w:r>
            <w:r>
              <w:rPr>
                <w:rFonts w:cs="Times New Roman"/>
                <w:sz w:val="18"/>
                <w:szCs w:val="18"/>
              </w:rPr>
              <w:instrText xml:space="preserve"> ADDIN ZOTERO_ITEM CSL_CITATION {"citationID":"accfats86e","properties":{"formattedCitation":"\\super 55\\nosupersub{}","plainCitation":"55","noteIndex":0},"citationItems":[{"id":1420,"uris":["http://zotero.org/users/local/c5nmaFTs/items/K9EHAZQS"],"itemData":{"id":1420,"type":"article-journal","container-title":"Genetics and Molecular Research","DOI":"10.4238/2015.March.27.1","ISSN":"16765680","issue":"1","journalAbbreviation":"Genet. Mol. Res.","language":"en","page":"2146-2155","source":"DOI.org (Crossref)","title":"Meta-analysis of differentially expressed genes in autism based on gene expression data","URL":"http://www.funpecrp.com.br/gmr/year2015/vol14-1/pdf/gmr4448.pdf","volume":"14","author":[{"family":"Ning","given":"L.F."},{"family":"Yu","given":"Y.Q."},{"family":"GuoJi","given":"E.T."},{"family":"Kou","given":"C.G."},{"family":"Wu","given":"Y.H."},{"family":"Shi","given":"J.P."},{"family":"Ai","given":"L.Z."},{"family":"Yu","given":"Q."}],"accessed":{"date-parts":[["2022",12,9]]},"issued":{"date-parts":[["2015"]]}}}],"schema":"https://github.com/citation-style-language/schema/raw/master/csl-citation.json"} </w:instrText>
            </w:r>
            <w:r>
              <w:rPr>
                <w:rFonts w:cs="Times New Roman"/>
                <w:sz w:val="18"/>
                <w:szCs w:val="18"/>
              </w:rPr>
              <w:fldChar w:fldCharType="separate"/>
            </w:r>
            <w:r w:rsidRPr="00CA51F7">
              <w:rPr>
                <w:rFonts w:cs="Times New Roman"/>
                <w:sz w:val="18"/>
                <w:vertAlign w:val="superscript"/>
              </w:rPr>
              <w:t>55</w:t>
            </w:r>
            <w:r>
              <w:rPr>
                <w:rFonts w:cs="Times New Roman"/>
                <w:sz w:val="18"/>
                <w:szCs w:val="18"/>
              </w:rPr>
              <w:fldChar w:fldCharType="end"/>
            </w:r>
          </w:p>
        </w:tc>
        <w:tc>
          <w:tcPr>
            <w:tcW w:w="937" w:type="dxa"/>
          </w:tcPr>
          <w:p w14:paraId="3BA2C608" w14:textId="77777777" w:rsidR="009B1D4F" w:rsidRPr="00630AA4" w:rsidRDefault="009B1D4F" w:rsidP="00147761">
            <w:pPr>
              <w:spacing w:line="240" w:lineRule="auto"/>
              <w:rPr>
                <w:rFonts w:cs="Times New Roman"/>
                <w:sz w:val="18"/>
                <w:szCs w:val="18"/>
              </w:rPr>
            </w:pPr>
            <w:r>
              <w:rPr>
                <w:rFonts w:cs="Times New Roman"/>
                <w:sz w:val="18"/>
                <w:szCs w:val="18"/>
              </w:rPr>
              <w:fldChar w:fldCharType="begin"/>
            </w:r>
            <w:r>
              <w:rPr>
                <w:rFonts w:cs="Times New Roman"/>
                <w:sz w:val="18"/>
                <w:szCs w:val="18"/>
              </w:rPr>
              <w:instrText xml:space="preserve"> ADDIN ZOTERO_ITEM CSL_CITATION {"citationID":"av85jn7eoc","properties":{"formattedCitation":"\\super 56\\nosupersub{}","plainCitation":"56","noteIndex":0},"citationItems":[{"id":478,"uris":["http://zotero.org/users/local/c5nmaFTs/items/TXHU3WUV"],"itemData":{"id":478,"type":"article-journal","abstract":"Background: Schizophrenia is a serious mental disorder with complicated biological mechanisms. Few studies explore the transcriptional features that are shared in brain tissue and peripheral blood. In the present study, we aimed to explore the biological pathways with similar expression patterns in both peripheral blood mononuclear cells (PBMCs) and brain tissues., Methods: The present study used transcriptomics technology to detect mRNA expression of PBMCs of 10 drug-naïve patients with schizophrenia and 20 healthy controls. Transcriptome data sets of brain tissue of patients with schizophrenia downloaded from public databases were also analyzed in our study. The biological pathways with similar expression patterns in the PBMCs and brain tissues were uncovered by differential expression analysis, weighted gene co-expression network analysis (WGCNA), and pathway analysis. Finally, the expression levels of differential expressed genes (DEGs) were validated by real-time fluorescence quantitative polymerase chain reaction (qPCR) in another 12 drug-naïve patients with schizophrenia and 12 healthy controls., Results: We identified 542 DEGs, 51 DEGs, 732 DEGs, and 104 DEGs in PBMCs, dorsolateral prefrontal cortex, anterior cingulate gyrus, and nucleus accumbent, respectively. Five DEG clusters were recognized as having similar gene expression patterns in PBMCs and brain tissues by WGCNA. The pathway analysis illustrates that these DEG clusters are mainly enriched in several biological pathways that are related to phospholipid metabolism, ribosome signal transduction, and mitochondrial oxidative phosphorylation. The differential significance of PLAAT3, PLAAT4, PLD2, RPS29, RPL30, COX7C, COX7A2, NDUFAF2, and ATP5ME were confirmed by qPCR., Conclusions: This study finds that the pathways associated with phospholipid metabolism, ribosome signal transduction, and energy metabolism have similar expression patterns in PBMCs and brain tissues of patients with schizophrenia. Our results supply a novel insight for revealing the pathogenesis of schizophrenia and might offer a new approach to explore potential biological markers of peripheral blood in schizophrenia.","container-title":"Frontiers in Psychiatry","DOI":"10.3389/fpsyt.2021.716722","ISSN":"1664-0640","journalAbbreviation":"Front Psychiatry","note":"PMID: 34630179\nPMCID: PMC8492981","page":"716722","source":"PubMed Central","title":"Transcriptomics Analysis Reveals Shared Pathways in Peripheral Blood Mononuclear Cells and Brain Tissues of Patients With Schizophrenia","URL":"https://www.ncbi.nlm.nih.gov/pmc/articles/PMC8492981/","volume":"12","author":[{"family":"Song","given":"Xuemian"},{"family":"Liu","given":"Yiyun"},{"family":"Pu","given":"Juncai"},{"family":"Gui","given":"Siwen"},{"family":"Zhong","given":"Xiaogang"},{"family":"Chen","given":"Xiaopeng"},{"family":"Chen","given":"Weiyi"},{"family":"Chen","given":"Xiang"},{"family":"Chen","given":"Yue"},{"family":"Wang","given":"Haiyang"},{"family":"Cheng","given":"Ke"},{"family":"Zhao","given":"Libo"},{"family":"Xie","given":"Peng"}],"accessed":{"date-parts":[["2022",9,12]]},"issued":{"date-parts":[["2021",9,22]]}}}],"schema":"https://github.com/citation-style-language/schema/raw/master/csl-citation.json"} </w:instrText>
            </w:r>
            <w:r>
              <w:rPr>
                <w:rFonts w:cs="Times New Roman"/>
                <w:sz w:val="18"/>
                <w:szCs w:val="18"/>
              </w:rPr>
              <w:fldChar w:fldCharType="separate"/>
            </w:r>
            <w:r w:rsidRPr="00CA51F7">
              <w:rPr>
                <w:rFonts w:cs="Times New Roman"/>
                <w:sz w:val="18"/>
                <w:vertAlign w:val="superscript"/>
              </w:rPr>
              <w:t>56</w:t>
            </w:r>
            <w:r>
              <w:rPr>
                <w:rFonts w:cs="Times New Roman"/>
                <w:sz w:val="18"/>
                <w:szCs w:val="18"/>
              </w:rPr>
              <w:fldChar w:fldCharType="end"/>
            </w:r>
          </w:p>
        </w:tc>
      </w:tr>
      <w:tr w:rsidR="009B1D4F" w:rsidRPr="00630AA4" w14:paraId="25873411" w14:textId="77777777" w:rsidTr="009B1D4F">
        <w:trPr>
          <w:trHeight w:val="1961"/>
        </w:trPr>
        <w:tc>
          <w:tcPr>
            <w:tcW w:w="1926" w:type="dxa"/>
          </w:tcPr>
          <w:p w14:paraId="3A91EAE4" w14:textId="77777777" w:rsidR="009B1D4F" w:rsidRPr="003B105E" w:rsidRDefault="009B1D4F" w:rsidP="00147761">
            <w:pPr>
              <w:spacing w:line="240" w:lineRule="auto"/>
              <w:rPr>
                <w:rFonts w:cs="Times New Roman"/>
                <w:sz w:val="18"/>
                <w:szCs w:val="18"/>
              </w:rPr>
            </w:pPr>
            <w:r w:rsidRPr="003B105E">
              <w:rPr>
                <w:sz w:val="18"/>
                <w:szCs w:val="18"/>
              </w:rPr>
              <w:t>HBE1</w:t>
            </w:r>
          </w:p>
        </w:tc>
        <w:tc>
          <w:tcPr>
            <w:tcW w:w="859" w:type="dxa"/>
          </w:tcPr>
          <w:p w14:paraId="0AED09AB" w14:textId="77777777" w:rsidR="009B1D4F" w:rsidRDefault="009B1D4F" w:rsidP="00147761">
            <w:pPr>
              <w:spacing w:line="240" w:lineRule="auto"/>
              <w:jc w:val="both"/>
              <w:rPr>
                <w:rFonts w:cs="Times New Roman"/>
                <w:sz w:val="18"/>
                <w:szCs w:val="18"/>
              </w:rPr>
            </w:pPr>
            <w:r>
              <w:rPr>
                <w:rFonts w:cs="Times New Roman"/>
                <w:sz w:val="18"/>
                <w:szCs w:val="18"/>
              </w:rPr>
              <w:t>11p15.4</w:t>
            </w:r>
          </w:p>
        </w:tc>
        <w:tc>
          <w:tcPr>
            <w:tcW w:w="4410" w:type="dxa"/>
          </w:tcPr>
          <w:p w14:paraId="42989A9F" w14:textId="77777777" w:rsidR="009B1D4F" w:rsidRPr="00474F7B" w:rsidRDefault="009B1D4F" w:rsidP="00147761">
            <w:pPr>
              <w:jc w:val="both"/>
              <w:rPr>
                <w:sz w:val="18"/>
                <w:szCs w:val="18"/>
              </w:rPr>
            </w:pPr>
            <w:r w:rsidRPr="00D268B9">
              <w:rPr>
                <w:sz w:val="18"/>
                <w:szCs w:val="18"/>
              </w:rPr>
              <w:t xml:space="preserve">The epsilon globin gene (HBE) is normally expressed in the embryonic yolk sac: two epsilon chains together with two zeta chains (an alpha-like globin) constitute the embryonic hemoglobin Hb Gower I; two epsilon chains together with two alpha chains form the embryonic Hb Gower II. Both of these embryonic </w:t>
            </w:r>
            <w:proofErr w:type="spellStart"/>
            <w:r w:rsidRPr="00D268B9">
              <w:rPr>
                <w:sz w:val="18"/>
                <w:szCs w:val="18"/>
              </w:rPr>
              <w:t>hemoglobins</w:t>
            </w:r>
            <w:proofErr w:type="spellEnd"/>
            <w:r w:rsidRPr="00D268B9">
              <w:rPr>
                <w:sz w:val="18"/>
                <w:szCs w:val="18"/>
              </w:rPr>
              <w:t xml:space="preserve"> are normally supplanted by fetal, and later, adult hemoglobin. The five beta-like globin genes are found within a 45 kb cluster on chromosome 11 in the following order: 5'-epsilon - G-gamma - A-gamma - delta - beta-3'</w:t>
            </w:r>
          </w:p>
        </w:tc>
        <w:tc>
          <w:tcPr>
            <w:tcW w:w="900" w:type="dxa"/>
          </w:tcPr>
          <w:p w14:paraId="737093C2" w14:textId="77777777" w:rsidR="009B1D4F" w:rsidRPr="00630AA4" w:rsidRDefault="009B1D4F" w:rsidP="00147761">
            <w:pPr>
              <w:spacing w:line="240" w:lineRule="auto"/>
              <w:rPr>
                <w:rFonts w:cs="Times New Roman"/>
                <w:sz w:val="18"/>
                <w:szCs w:val="18"/>
              </w:rPr>
            </w:pPr>
          </w:p>
        </w:tc>
        <w:tc>
          <w:tcPr>
            <w:tcW w:w="937" w:type="dxa"/>
          </w:tcPr>
          <w:p w14:paraId="40E17D0D" w14:textId="77777777" w:rsidR="009B1D4F" w:rsidRPr="00630AA4" w:rsidRDefault="009B1D4F" w:rsidP="00147761">
            <w:pPr>
              <w:spacing w:line="240" w:lineRule="auto"/>
              <w:rPr>
                <w:rFonts w:cs="Times New Roman"/>
                <w:sz w:val="18"/>
                <w:szCs w:val="18"/>
              </w:rPr>
            </w:pPr>
          </w:p>
        </w:tc>
      </w:tr>
      <w:tr w:rsidR="009B1D4F" w:rsidRPr="00630AA4" w14:paraId="27BD4039" w14:textId="77777777" w:rsidTr="009B1D4F">
        <w:trPr>
          <w:trHeight w:val="323"/>
        </w:trPr>
        <w:tc>
          <w:tcPr>
            <w:tcW w:w="1926" w:type="dxa"/>
          </w:tcPr>
          <w:p w14:paraId="4EE52992" w14:textId="77777777" w:rsidR="009B1D4F" w:rsidRPr="003B105E" w:rsidRDefault="009B1D4F" w:rsidP="00147761">
            <w:pPr>
              <w:spacing w:line="240" w:lineRule="auto"/>
              <w:rPr>
                <w:sz w:val="18"/>
                <w:szCs w:val="18"/>
              </w:rPr>
            </w:pPr>
            <w:r w:rsidRPr="003B105E">
              <w:rPr>
                <w:sz w:val="18"/>
                <w:szCs w:val="18"/>
              </w:rPr>
              <w:t>HCA112</w:t>
            </w:r>
            <w:r>
              <w:rPr>
                <w:sz w:val="18"/>
                <w:szCs w:val="18"/>
              </w:rPr>
              <w:t>(TMEM176A)</w:t>
            </w:r>
          </w:p>
        </w:tc>
        <w:tc>
          <w:tcPr>
            <w:tcW w:w="859" w:type="dxa"/>
          </w:tcPr>
          <w:p w14:paraId="4878A51F" w14:textId="77777777" w:rsidR="009B1D4F" w:rsidRDefault="009B1D4F" w:rsidP="00147761">
            <w:pPr>
              <w:spacing w:line="240" w:lineRule="auto"/>
              <w:jc w:val="both"/>
              <w:rPr>
                <w:rFonts w:cs="Times New Roman"/>
                <w:sz w:val="18"/>
                <w:szCs w:val="18"/>
              </w:rPr>
            </w:pPr>
            <w:r>
              <w:rPr>
                <w:rFonts w:cs="Times New Roman"/>
                <w:sz w:val="18"/>
                <w:szCs w:val="18"/>
              </w:rPr>
              <w:t>7q36.1</w:t>
            </w:r>
          </w:p>
        </w:tc>
        <w:tc>
          <w:tcPr>
            <w:tcW w:w="4410" w:type="dxa"/>
          </w:tcPr>
          <w:p w14:paraId="5763835B" w14:textId="77777777" w:rsidR="009B1D4F" w:rsidRPr="00474F7B" w:rsidRDefault="009B1D4F" w:rsidP="00147761">
            <w:pPr>
              <w:jc w:val="both"/>
              <w:rPr>
                <w:sz w:val="18"/>
                <w:szCs w:val="18"/>
              </w:rPr>
            </w:pPr>
            <w:r w:rsidRPr="00A369DC">
              <w:rPr>
                <w:sz w:val="18"/>
                <w:szCs w:val="18"/>
              </w:rPr>
              <w:t>Predicted to be involved in negative regulation of dendritic cell differentiation. Predicted to be integral component of membrane. is a Protein Coding gene. Diseases associated with TMEM176A include Hepatocellular Carcinoma. An important paralog of this gene is TMEM176B.</w:t>
            </w:r>
          </w:p>
        </w:tc>
        <w:tc>
          <w:tcPr>
            <w:tcW w:w="900" w:type="dxa"/>
          </w:tcPr>
          <w:p w14:paraId="1FB325E2" w14:textId="77777777" w:rsidR="009B1D4F" w:rsidRPr="00630AA4" w:rsidRDefault="009B1D4F" w:rsidP="00147761">
            <w:pPr>
              <w:spacing w:line="240" w:lineRule="auto"/>
              <w:rPr>
                <w:rFonts w:cs="Times New Roman"/>
                <w:sz w:val="18"/>
                <w:szCs w:val="18"/>
              </w:rPr>
            </w:pPr>
          </w:p>
        </w:tc>
        <w:tc>
          <w:tcPr>
            <w:tcW w:w="937" w:type="dxa"/>
          </w:tcPr>
          <w:p w14:paraId="36C11130" w14:textId="77777777" w:rsidR="009B1D4F" w:rsidRPr="00630AA4" w:rsidRDefault="009B1D4F" w:rsidP="00147761">
            <w:pPr>
              <w:spacing w:line="240" w:lineRule="auto"/>
              <w:rPr>
                <w:rFonts w:cs="Times New Roman"/>
                <w:sz w:val="18"/>
                <w:szCs w:val="18"/>
              </w:rPr>
            </w:pPr>
            <w:r>
              <w:rPr>
                <w:rFonts w:cs="Times New Roman"/>
                <w:sz w:val="18"/>
                <w:szCs w:val="18"/>
              </w:rPr>
              <w:fldChar w:fldCharType="begin"/>
            </w:r>
            <w:r>
              <w:rPr>
                <w:rFonts w:cs="Times New Roman"/>
                <w:sz w:val="18"/>
                <w:szCs w:val="18"/>
              </w:rPr>
              <w:instrText xml:space="preserve"> ADDIN ZOTERO_ITEM CSL_CITATION {"citationID":"a12bjfrs12h","properties":{"formattedCitation":"\\super 57\\nosupersub{}","plainCitation":"57","noteIndex":0},"citationItems":[{"id":1323,"uris":["http://zotero.org/users/local/c5nmaFTs/items/RMIGS4WQ"],"itemData":{"id":1323,"type":"article-journal","abstract":"Schizophrenia is a serious mental illness, involving disruptions in\nthought and behavior, with a worldwide prevalence of about one percent. Although\nhighly heritable, much of the genetic liability of schizophrenia is yet to be\nexplained. We searched for susceptibility loci in multiplex, multigenerational\nfamilies affected by schizophrenia, targeting protein-altering variation with\nin silico predicted functional effects. Exome sequencing\nwas performed on 136 samples from eight European-American families, including 23\nindividuals diagnosed with schizophrenia or schizoaffective disorder. In total,\n11,878 non-synonymous variants from 6,396 genes were tested for their\nassociation with schizophrenia spectrum disorders. Pathway enrichment analyses\nwere conducted on gene-based test results, protein-protein interaction (PPI)\nnetworks, and epistatic effects. Using a significance threshold of\nFDR&lt;0.1, association was detected for rs10941112\n(P=2.1×10−5;\nq-value=0.073) in AMACR, a gene\ninvolved in fatty acid metabolism and previously implicated in schizophrenia,\nwith significant cis effects on gene expression\n(P=5.5×10−4), including\nbrain tissue data from the Genotype-Tissue Expression project (minimum\nP=6.0×10−5). A second\nSNP, rs10378 located in TMEM176A, also shows risk effects in\nthe exome data (P=2.8×10−5;\nq-value=0.073). Protein-protein interactions among\nour top gene-based association results (P&lt;0.05;\nn=359 genes) reveal significant enrichment of genes\ninvolved in NCAM-mediated neurite outgrowth\n(P=3.0×10−5), while\nexome-wide SNP-SNP interaction effects for rs10941112 and rs10378 indicate a\npotential role for kinase-mediated signaling involved in memory and learning. In\nconclusion, these association results implicate AMACR and\nTMEM176A in schizophrenia risk, whose effects may be\nmodulated by genes involved in synaptic plasticity and neurocognitive\nperformance.","container-title":"American journal of medical genetics. Part B, Neuropsychiatric genetics : the official publication of the International Society of Psychiatric Genetics","DOI":"10.1002/ajmg.b.32597","ISSN":"1552-4841","issue":"8","journalAbbreviation":"Am J Med Genet B Neuropsychiatr Genet","note":"PMID: 28902459\nPMCID: PMC5760172","page":"817-827","source":"PubMed Central","title":"Exome sequences of multiplex, multigenerational families reveal schizophrenia risk loci with potential implications for neurocognitive performance","URL":"https://www.ncbi.nlm.nih.gov/pmc/articles/PMC5760172/","volume":"174","author":[{"family":"Kos","given":"Mark Z."},{"family":"Carless","given":"Melanie A."},{"family":"Peralta","given":"Juan"},{"family":"Curran","given":"Joanne E."},{"family":"Quillen","given":"Ellen E."},{"family":"Almeida","given":"Marcio"},{"family":"Blackburn","given":"August"},{"family":"Blondell","given":"Lucy"},{"family":"Roalf","given":"David R."},{"family":"Pogue-Geile","given":"Michael F."},{"family":"Gur","given":"Ruben C."},{"family":"Göring","given":"Harald H. H."},{"family":"Nimgaonkar","given":"Vishwajit L."},{"family":"Gur","given":"Raquel E."},{"family":"Almasy","given":"Laura"}],"accessed":{"date-parts":[["2022",11,15]]},"issued":{"date-parts":[["2017",12]]}}}],"schema":"https://github.com/citation-style-language/schema/raw/master/csl-citation.json"} </w:instrText>
            </w:r>
            <w:r>
              <w:rPr>
                <w:rFonts w:cs="Times New Roman"/>
                <w:sz w:val="18"/>
                <w:szCs w:val="18"/>
              </w:rPr>
              <w:fldChar w:fldCharType="separate"/>
            </w:r>
            <w:r w:rsidRPr="00CA51F7">
              <w:rPr>
                <w:rFonts w:cs="Times New Roman"/>
                <w:sz w:val="18"/>
                <w:vertAlign w:val="superscript"/>
              </w:rPr>
              <w:t>57</w:t>
            </w:r>
            <w:r>
              <w:rPr>
                <w:rFonts w:cs="Times New Roman"/>
                <w:sz w:val="18"/>
                <w:szCs w:val="18"/>
              </w:rPr>
              <w:fldChar w:fldCharType="end"/>
            </w:r>
            <w:r>
              <w:rPr>
                <w:rFonts w:cs="Times New Roman"/>
                <w:sz w:val="18"/>
                <w:szCs w:val="18"/>
              </w:rPr>
              <w:t xml:space="preserve">, </w:t>
            </w:r>
            <w:r>
              <w:rPr>
                <w:rFonts w:cs="Times New Roman"/>
                <w:sz w:val="18"/>
                <w:szCs w:val="18"/>
              </w:rPr>
              <w:fldChar w:fldCharType="begin"/>
            </w:r>
            <w:r>
              <w:rPr>
                <w:rFonts w:cs="Times New Roman"/>
                <w:sz w:val="18"/>
                <w:szCs w:val="18"/>
              </w:rPr>
              <w:instrText xml:space="preserve"> ADDIN ZOTERO_ITEM CSL_CITATION {"citationID":"ag64ton5js","properties":{"formattedCitation":"\\super 58\\nosupersub{}","plainCitation":"58","noteIndex":0},"citationItems":[{"id":1427,"uris":["http://zotero.org/users/local/c5nmaFTs/items/QG56DS7K"],"itemData":{"id":1427,"type":"article-journal","abstract":"Small cohort sizes and modest levels of gene expression changes in brain tissue have plagued the statistical approaches employed in microarray studies investigating the mechanism of schizophrenia. To combat these problems a combined analysis of six prior microarray studies was performed to facilitate the robust statistical analysis of gene expression data from the dorsolateral prefrontal cortex of 107 patients with schizophrenia and 118 healthy subjects. Multivariate permutation tests identified 144 genes that were differentially expressed between schizophrenia and control groups. Seventy of these genes were identified as differentially expressed in at least one component microarray study but none of these individual studies had the power to identify the remaining 74 genes, demonstrating the utility of a combined approach. Gene ontology terms and biological pathways that were significantly enriched for differentially expressed genes were related to neuronal cell–cell signaling, mesenchymal induction, and mitogen-activated protein kinase signaling, which have all previously been associated with the etiopathogenesis of schizophrenia. The differential expression of BAG3, C4B, EGR1, MT1X, NEUROD6, SST and S100A8 was confirmed by real-time quantitative PCR in an independent cohort using postmortem human prefrontal cortex samples. Comparison of gene expression between schizophrenic subjects with and without detectable levels of antipsychotics in their blood suggests that the modulation of MT1X and S100A8 may be the result of drug exposure. In conclusion, this combined analysis has resulted in a statistically robust identification of genes whose dysregulation may contribute to the mechanism of schizophrenia.","container-title":"Journal of Psychiatric Research","DOI":"10.1016/j.jpsychires.2012.08.005","ISSN":"0022-3956","issue":"11","journalAbbreviation":"Journal of Psychiatric Research","language":"en","page":"1464-1474","source":"ScienceDirect","title":"A combined analysis of microarray gene expression studies of the human prefrontal cortex identifies genes implicated in schizophrenia","URL":"https://www.sciencedirect.com/science/article/pii/S0022395612002385","volume":"46","author":[{"family":"Pérez-Santiago","given":"Josué"},{"family":"Diez-Alarcia","given":"Rebeca"},{"family":"Callado","given":"Luis F."},{"family":"Zhang","given":"Jin X."},{"family":"Chana","given":"Gursharan"},{"family":"White","given":"Cory H."},{"family":"Glatt","given":"Stephen J."},{"family":"Tsuang","given":"Ming T."},{"family":"Everall","given":"Ian P."},{"family":"Meana","given":"J. Javier"},{"family":"Woelk","given":"Christopher H."}],"accessed":{"date-parts":[["2022",12,9]]},"issued":{"date-parts":[["2012",11,1]]}}}],"schema":"https://github.com/citation-style-language/schema/raw/master/csl-citation.json"} </w:instrText>
            </w:r>
            <w:r>
              <w:rPr>
                <w:rFonts w:cs="Times New Roman"/>
                <w:sz w:val="18"/>
                <w:szCs w:val="18"/>
              </w:rPr>
              <w:fldChar w:fldCharType="separate"/>
            </w:r>
            <w:r w:rsidRPr="00CA51F7">
              <w:rPr>
                <w:rFonts w:cs="Times New Roman"/>
                <w:sz w:val="18"/>
                <w:vertAlign w:val="superscript"/>
              </w:rPr>
              <w:t>58</w:t>
            </w:r>
            <w:r>
              <w:rPr>
                <w:rFonts w:cs="Times New Roman"/>
                <w:sz w:val="18"/>
                <w:szCs w:val="18"/>
              </w:rPr>
              <w:fldChar w:fldCharType="end"/>
            </w:r>
          </w:p>
        </w:tc>
      </w:tr>
      <w:tr w:rsidR="009B1D4F" w:rsidRPr="00630AA4" w14:paraId="1281C78E" w14:textId="77777777" w:rsidTr="009B1D4F">
        <w:trPr>
          <w:trHeight w:val="323"/>
        </w:trPr>
        <w:tc>
          <w:tcPr>
            <w:tcW w:w="1926" w:type="dxa"/>
          </w:tcPr>
          <w:p w14:paraId="22557FC2" w14:textId="77777777" w:rsidR="009B1D4F" w:rsidRPr="003B105E" w:rsidRDefault="009B1D4F" w:rsidP="00147761">
            <w:pPr>
              <w:spacing w:line="240" w:lineRule="auto"/>
              <w:rPr>
                <w:sz w:val="18"/>
                <w:szCs w:val="18"/>
              </w:rPr>
            </w:pPr>
            <w:r w:rsidRPr="003B105E">
              <w:rPr>
                <w:sz w:val="18"/>
                <w:szCs w:val="18"/>
              </w:rPr>
              <w:t>TMEM176B</w:t>
            </w:r>
          </w:p>
        </w:tc>
        <w:tc>
          <w:tcPr>
            <w:tcW w:w="859" w:type="dxa"/>
          </w:tcPr>
          <w:p w14:paraId="45130008" w14:textId="77777777" w:rsidR="009B1D4F" w:rsidRDefault="009B1D4F" w:rsidP="00147761">
            <w:pPr>
              <w:spacing w:line="240" w:lineRule="auto"/>
              <w:jc w:val="both"/>
              <w:rPr>
                <w:rFonts w:cs="Times New Roman"/>
                <w:sz w:val="18"/>
                <w:szCs w:val="18"/>
              </w:rPr>
            </w:pPr>
            <w:r>
              <w:rPr>
                <w:rFonts w:cs="Times New Roman"/>
                <w:sz w:val="18"/>
                <w:szCs w:val="18"/>
              </w:rPr>
              <w:t>7q36.1</w:t>
            </w:r>
          </w:p>
        </w:tc>
        <w:tc>
          <w:tcPr>
            <w:tcW w:w="4410" w:type="dxa"/>
          </w:tcPr>
          <w:p w14:paraId="04F5027C" w14:textId="77777777" w:rsidR="009B1D4F" w:rsidRPr="000E11DE" w:rsidRDefault="009B1D4F" w:rsidP="00147761">
            <w:pPr>
              <w:jc w:val="both"/>
            </w:pPr>
            <w:r w:rsidRPr="008455A2">
              <w:rPr>
                <w:sz w:val="18"/>
                <w:szCs w:val="18"/>
              </w:rPr>
              <w:t>Predicted to be involved in negative regulation of dendritic cell differentiation. Predicted to be located in nuclear membrane. Predicted to be integral component of membrane. May play a role in the process of maturation of dendritic cells. Required for the development of cerebellar granule cells. Is a Protein Coding gene. An important paralog of this gene is TMEM176A.</w:t>
            </w:r>
          </w:p>
        </w:tc>
        <w:tc>
          <w:tcPr>
            <w:tcW w:w="900" w:type="dxa"/>
          </w:tcPr>
          <w:p w14:paraId="466CFEC7" w14:textId="77777777" w:rsidR="009B1D4F" w:rsidRPr="00630AA4" w:rsidRDefault="009B1D4F" w:rsidP="00147761">
            <w:pPr>
              <w:spacing w:line="240" w:lineRule="auto"/>
              <w:rPr>
                <w:rFonts w:cs="Times New Roman"/>
                <w:sz w:val="18"/>
                <w:szCs w:val="18"/>
              </w:rPr>
            </w:pPr>
          </w:p>
        </w:tc>
        <w:tc>
          <w:tcPr>
            <w:tcW w:w="937" w:type="dxa"/>
          </w:tcPr>
          <w:p w14:paraId="5E76E6D1" w14:textId="77777777" w:rsidR="009B1D4F" w:rsidRPr="00630AA4" w:rsidRDefault="009B1D4F" w:rsidP="00147761">
            <w:pPr>
              <w:spacing w:line="240" w:lineRule="auto"/>
              <w:rPr>
                <w:rFonts w:cs="Times New Roman"/>
                <w:sz w:val="18"/>
                <w:szCs w:val="18"/>
              </w:rPr>
            </w:pPr>
            <w:r>
              <w:rPr>
                <w:rFonts w:cs="Times New Roman"/>
                <w:sz w:val="18"/>
                <w:szCs w:val="18"/>
              </w:rPr>
              <w:fldChar w:fldCharType="begin"/>
            </w:r>
            <w:r>
              <w:rPr>
                <w:rFonts w:cs="Times New Roman"/>
                <w:sz w:val="18"/>
                <w:szCs w:val="18"/>
              </w:rPr>
              <w:instrText xml:space="preserve"> ADDIN ZOTERO_ITEM CSL_CITATION {"citationID":"DgV95yWb","properties":{"formattedCitation":"\\super 58\\nosupersub{}","plainCitation":"58","noteIndex":0},"citationItems":[{"id":1427,"uris":["http://zotero.org/users/local/c5nmaFTs/items/QG56DS7K"],"itemData":{"id":1427,"type":"article-journal","abstract":"Small cohort sizes and modest levels of gene expression changes in brain tissue have plagued the statistical approaches employed in microarray studies investigating the mechanism of schizophrenia. To combat these problems a combined analysis of six prior microarray studies was performed to facilitate the robust statistical analysis of gene expression data from the dorsolateral prefrontal cortex of 107 patients with schizophrenia and 118 healthy subjects. Multivariate permutation tests identified 144 genes that were differentially expressed between schizophrenia and control groups. Seventy of these genes were identified as differentially expressed in at least one component microarray study but none of these individual studies had the power to identify the remaining 74 genes, demonstrating the utility of a combined approach. Gene ontology terms and biological pathways that were significantly enriched for differentially expressed genes were related to neuronal cell–cell signaling, mesenchymal induction, and mitogen-activated protein kinase signaling, which have all previously been associated with the etiopathogenesis of schizophrenia. The differential expression of BAG3, C4B, EGR1, MT1X, NEUROD6, SST and S100A8 was confirmed by real-time quantitative PCR in an independent cohort using postmortem human prefrontal cortex samples. Comparison of gene expression between schizophrenic subjects with and without detectable levels of antipsychotics in their blood suggests that the modulation of MT1X and S100A8 may be the result of drug exposure. In conclusion, this combined analysis has resulted in a statistically robust identification of genes whose dysregulation may contribute to the mechanism of schizophrenia.","container-title":"Journal of Psychiatric Research","DOI":"10.1016/j.jpsychires.2012.08.005","ISSN":"0022-3956","issue":"11","journalAbbreviation":"Journal of Psychiatric Research","language":"en","page":"1464-1474","source":"ScienceDirect","title":"A combined analysis of microarray gene expression studies of the human prefrontal cortex identifies genes implicated in schizophrenia","URL":"https://www.sciencedirect.com/science/article/pii/S0022395612002385","volume":"46","author":[{"family":"Pérez-Santiago","given":"Josué"},{"family":"Diez-Alarcia","given":"Rebeca"},{"family":"Callado","given":"Luis F."},{"family":"Zhang","given":"Jin X."},{"family":"Chana","given":"Gursharan"},{"family":"White","given":"Cory H."},{"family":"Glatt","given":"Stephen J."},{"family":"Tsuang","given":"Ming T."},{"family":"Everall","given":"Ian P."},{"family":"Meana","given":"J. Javier"},{"family":"Woelk","given":"Christopher H."}],"accessed":{"date-parts":[["2022",12,9]]},"issued":{"date-parts":[["2012",11,1]]}}}],"schema":"https://github.com/citation-style-language/schema/raw/master/csl-citation.json"} </w:instrText>
            </w:r>
            <w:r>
              <w:rPr>
                <w:rFonts w:cs="Times New Roman"/>
                <w:sz w:val="18"/>
                <w:szCs w:val="18"/>
              </w:rPr>
              <w:fldChar w:fldCharType="separate"/>
            </w:r>
            <w:r w:rsidRPr="00CA51F7">
              <w:rPr>
                <w:rFonts w:cs="Times New Roman"/>
                <w:sz w:val="18"/>
                <w:vertAlign w:val="superscript"/>
              </w:rPr>
              <w:t>58</w:t>
            </w:r>
            <w:r>
              <w:rPr>
                <w:rFonts w:cs="Times New Roman"/>
                <w:sz w:val="18"/>
                <w:szCs w:val="18"/>
              </w:rPr>
              <w:fldChar w:fldCharType="end"/>
            </w:r>
            <w:r>
              <w:rPr>
                <w:rFonts w:cs="Times New Roman"/>
                <w:sz w:val="18"/>
                <w:szCs w:val="18"/>
              </w:rPr>
              <w:t xml:space="preserve">, </w:t>
            </w:r>
            <w:r>
              <w:rPr>
                <w:rFonts w:cs="Times New Roman"/>
                <w:sz w:val="18"/>
                <w:szCs w:val="18"/>
              </w:rPr>
              <w:fldChar w:fldCharType="begin"/>
            </w:r>
            <w:r>
              <w:rPr>
                <w:rFonts w:cs="Times New Roman"/>
                <w:sz w:val="18"/>
                <w:szCs w:val="18"/>
              </w:rPr>
              <w:instrText xml:space="preserve"> ADDIN ZOTERO_ITEM CSL_CITATION {"citationID":"a109k87h95i","properties":{"formattedCitation":"\\super 59\\nosupersub{}","plainCitation":"59","noteIndex":0},"citationItems":[{"id":295,"uris":["http://zotero.org/users/local/c5nmaFTs/items/T49NVGXA"],"itemData":{"id":295,"type":"article-journal","abstract":"Background\nSchizophrenia is a multigene disease with a complex etiology and different clinical manifestations. It is of great significance to understand the etiology and pathogenesis of schizophrenia patients from different clinical dimensions and to interpret the potential molecular changes of schizophrenia patients from different clinical dimensions.\n\nMaterial/Methods\nRNA-Seq was performed on peripheral blood leukocytes of 50 patients with schizophrenia and 50 healthy controls. Phenotypic information of patients with schizophrenia was collected during blood sampling. Differentially expressed genes (DEGs) were screened by the edgeR package of R software. To better analyze the correlation between DEG expression values, explore the potential association between differential genes and clinical dimensions of schizophrenia, and identify hub genes, we constructed a DEG co-expression network using weighted gene co-expression network analysis (WGCNA).\n\nResults\nWe provide the transcription profiles of peripheral blood leukocytes in patients with schizophrenia and found a gene module (including 89 genes) closely related to the clinical dimension of abnormal psychomotor behavior in schizophrenia.\n\nConclusions\nThe findings enhance our understanding of the biological processes of schizophrenia, enabling us to identify specific clinical dimensions of genes for diagnosis and prognostic markers and possibly for targeted therapy.","container-title":"Medical Science Monitor : International Medical Journal of Experimental and Clinical Research","DOI":"10.12659/MSM.922426","ISSN":"1234-1010","journalAbbreviation":"Med Sci Monit","note":"PMID: 32038049\nPMCID: PMC7032534","page":"e922426-1-e922426-31","source":"PubMed Central","title":"Peripheral Blood Leukocyte RNA-Seq Identifies a Set of Genes Related to Abnormal Psychomotor Behavior Characteristics in Patients with Schizophrenia","URL":"https://www.ncbi.nlm.nih.gov/pmc/articles/PMC7032534/","volume":"26","author":[{"family":"Zhang","given":"Yunqiao"},{"family":"You","given":"Xu"},{"family":"Li","given":"Siwu"},{"family":"Long","given":"Qing"},{"family":"Zhu","given":"Yun"},{"family":"Teng","given":"Zhaowei"},{"family":"Zeng","given":"Yong"}],"accessed":{"date-parts":[["2021",4,11]]},"issued":{"date-parts":[["2020",2,10]]}}}],"schema":"https://github.com/citation-style-language/schema/raw/master/csl-citation.json"} </w:instrText>
            </w:r>
            <w:r>
              <w:rPr>
                <w:rFonts w:cs="Times New Roman"/>
                <w:sz w:val="18"/>
                <w:szCs w:val="18"/>
              </w:rPr>
              <w:fldChar w:fldCharType="separate"/>
            </w:r>
            <w:r w:rsidRPr="00CA51F7">
              <w:rPr>
                <w:rFonts w:cs="Times New Roman"/>
                <w:sz w:val="18"/>
                <w:vertAlign w:val="superscript"/>
              </w:rPr>
              <w:t>59</w:t>
            </w:r>
            <w:r>
              <w:rPr>
                <w:rFonts w:cs="Times New Roman"/>
                <w:sz w:val="18"/>
                <w:szCs w:val="18"/>
              </w:rPr>
              <w:fldChar w:fldCharType="end"/>
            </w:r>
          </w:p>
        </w:tc>
      </w:tr>
      <w:tr w:rsidR="009B1D4F" w:rsidRPr="00630AA4" w14:paraId="0B2B88CF" w14:textId="77777777" w:rsidTr="009B1D4F">
        <w:trPr>
          <w:trHeight w:val="323"/>
        </w:trPr>
        <w:tc>
          <w:tcPr>
            <w:tcW w:w="1926" w:type="dxa"/>
          </w:tcPr>
          <w:p w14:paraId="17D14E15" w14:textId="77777777" w:rsidR="009B1D4F" w:rsidRPr="003B105E" w:rsidRDefault="009B1D4F" w:rsidP="00147761">
            <w:pPr>
              <w:spacing w:line="240" w:lineRule="auto"/>
              <w:rPr>
                <w:sz w:val="18"/>
                <w:szCs w:val="18"/>
              </w:rPr>
            </w:pPr>
            <w:r w:rsidRPr="00AD30FA">
              <w:rPr>
                <w:sz w:val="18"/>
                <w:szCs w:val="18"/>
                <w:highlight w:val="yellow"/>
              </w:rPr>
              <w:t>PLGLB1</w:t>
            </w:r>
          </w:p>
        </w:tc>
        <w:tc>
          <w:tcPr>
            <w:tcW w:w="859" w:type="dxa"/>
          </w:tcPr>
          <w:p w14:paraId="53AD37A5" w14:textId="77777777" w:rsidR="009B1D4F" w:rsidRDefault="009B1D4F" w:rsidP="00147761">
            <w:pPr>
              <w:spacing w:line="240" w:lineRule="auto"/>
              <w:jc w:val="both"/>
              <w:rPr>
                <w:rFonts w:cs="Times New Roman"/>
                <w:sz w:val="18"/>
                <w:szCs w:val="18"/>
              </w:rPr>
            </w:pPr>
            <w:r>
              <w:rPr>
                <w:rFonts w:cs="Times New Roman"/>
                <w:sz w:val="18"/>
                <w:szCs w:val="18"/>
              </w:rPr>
              <w:t>2p11.2</w:t>
            </w:r>
          </w:p>
        </w:tc>
        <w:tc>
          <w:tcPr>
            <w:tcW w:w="4410" w:type="dxa"/>
          </w:tcPr>
          <w:p w14:paraId="373CA1BD" w14:textId="77777777" w:rsidR="009B1D4F" w:rsidRPr="000E11DE" w:rsidRDefault="009B1D4F" w:rsidP="00147761">
            <w:pPr>
              <w:jc w:val="both"/>
              <w:rPr>
                <w:sz w:val="18"/>
                <w:szCs w:val="18"/>
              </w:rPr>
            </w:pPr>
            <w:r w:rsidRPr="00A369DC">
              <w:rPr>
                <w:sz w:val="18"/>
                <w:szCs w:val="18"/>
              </w:rPr>
              <w:t xml:space="preserve">Plasminogen-like protein b; Plasminogen-like B1; May bind noncovalently to lysine binding sites present in the </w:t>
            </w:r>
            <w:proofErr w:type="spellStart"/>
            <w:r w:rsidRPr="00A369DC">
              <w:rPr>
                <w:sz w:val="18"/>
                <w:szCs w:val="18"/>
              </w:rPr>
              <w:t>kringle</w:t>
            </w:r>
            <w:proofErr w:type="spellEnd"/>
            <w:r w:rsidRPr="00A369DC">
              <w:rPr>
                <w:sz w:val="18"/>
                <w:szCs w:val="18"/>
              </w:rPr>
              <w:t xml:space="preserve"> structures of plasminogen. This may interfere with the binding of fibrin or alpha-2-antiplasmin to plasminogen and may result in the localization of activity at sites necessary for extracellular matrix destruction</w:t>
            </w:r>
          </w:p>
        </w:tc>
        <w:tc>
          <w:tcPr>
            <w:tcW w:w="900" w:type="dxa"/>
          </w:tcPr>
          <w:p w14:paraId="2C159F9C" w14:textId="77777777" w:rsidR="009B1D4F" w:rsidRPr="00630AA4" w:rsidRDefault="009B1D4F" w:rsidP="00147761">
            <w:pPr>
              <w:spacing w:line="240" w:lineRule="auto"/>
              <w:rPr>
                <w:rFonts w:cs="Times New Roman"/>
                <w:sz w:val="18"/>
                <w:szCs w:val="18"/>
              </w:rPr>
            </w:pPr>
          </w:p>
        </w:tc>
        <w:tc>
          <w:tcPr>
            <w:tcW w:w="937" w:type="dxa"/>
          </w:tcPr>
          <w:p w14:paraId="5498F63E" w14:textId="77777777" w:rsidR="009B1D4F" w:rsidRPr="002402F6" w:rsidRDefault="009B1D4F" w:rsidP="00147761">
            <w:pPr>
              <w:keepNext/>
              <w:spacing w:line="240" w:lineRule="auto"/>
              <w:rPr>
                <w:rFonts w:cs="Times New Roman"/>
                <w:sz w:val="18"/>
                <w:szCs w:val="18"/>
              </w:rPr>
            </w:pPr>
            <w:r w:rsidRPr="002402F6">
              <w:rPr>
                <w:rFonts w:cs="Times New Roman"/>
                <w:color w:val="000000"/>
                <w:sz w:val="18"/>
                <w:szCs w:val="18"/>
                <w:shd w:val="clear" w:color="auto" w:fill="FFFFFF"/>
              </w:rPr>
              <w:fldChar w:fldCharType="begin"/>
            </w:r>
            <w:r>
              <w:rPr>
                <w:rFonts w:cs="Times New Roman"/>
                <w:color w:val="000000"/>
                <w:sz w:val="18"/>
                <w:szCs w:val="18"/>
                <w:shd w:val="clear" w:color="auto" w:fill="FFFFFF"/>
              </w:rPr>
              <w:instrText xml:space="preserve"> ADDIN ZOTERO_ITEM CSL_CITATION {"citationID":"a2mjncbrli5","properties":{"formattedCitation":"\\super 59\\nosupersub{}","plainCitation":"59","noteIndex":0},"citationItems":[{"id":295,"uris":["http://zotero.org/users/local/c5nmaFTs/items/T49NVGXA"],"itemData":{"id":295,"type":"article-journal","abstract":"Background\nSchizophrenia is a multigene disease with a complex etiology and different clinical manifestations. It is of great significance to understand the etiology and pathogenesis of schizophrenia patients from different clinical dimensions and to interpret the potential molecular changes of schizophrenia patients from different clinical dimensions.\n\nMaterial/Methods\nRNA-Seq was performed on peripheral blood leukocytes of 50 patients with schizophrenia and 50 healthy controls. Phenotypic information of patients with schizophrenia was collected during blood sampling. Differentially expressed genes (DEGs) were screened by the edgeR package of R software. To better analyze the correlation between DEG expression values, explore the potential association between differential genes and clinical dimensions of schizophrenia, and identify hub genes, we constructed a DEG co-expression network using weighted gene co-expression network analysis (WGCNA).\n\nResults\nWe provide the transcription profiles of peripheral blood leukocytes in patients with schizophrenia and found a gene module (including 89 genes) closely related to the clinical dimension of abnormal psychomotor behavior in schizophrenia.\n\nConclusions\nThe findings enhance our understanding of the biological processes of schizophrenia, enabling us to identify specific clinical dimensions of genes for diagnosis and prognostic markers and possibly for targeted therapy.","container-title":"Medical Science Monitor : International Medical Journal of Experimental and Clinical Research","DOI":"10.12659/MSM.922426","ISSN":"1234-1010","journalAbbreviation":"Med Sci Monit","note":"PMID: 32038049\nPMCID: PMC7032534","page":"e922426-1-e922426-31","source":"PubMed Central","title":"Peripheral Blood Leukocyte RNA-Seq Identifies a Set of Genes Related to Abnormal Psychomotor Behavior Characteristics in Patients with Schizophrenia","URL":"https://www.ncbi.nlm.nih.gov/pmc/articles/PMC7032534/","volume":"26","author":[{"family":"Zhang","given":"Yunqiao"},{"family":"You","given":"Xu"},{"family":"Li","given":"Siwu"},{"family":"Long","given":"Qing"},{"family":"Zhu","given":"Yun"},{"family":"Teng","given":"Zhaowei"},{"family":"Zeng","given":"Yong"}],"accessed":{"date-parts":[["2021",4,11]]},"issued":{"date-parts":[["2020",2,10]]}}}],"schema":"https://github.com/citation-style-language/schema/raw/master/csl-citation.json"} </w:instrText>
            </w:r>
            <w:r w:rsidRPr="002402F6">
              <w:rPr>
                <w:rFonts w:cs="Times New Roman"/>
                <w:color w:val="000000"/>
                <w:sz w:val="18"/>
                <w:szCs w:val="18"/>
                <w:shd w:val="clear" w:color="auto" w:fill="FFFFFF"/>
              </w:rPr>
              <w:fldChar w:fldCharType="separate"/>
            </w:r>
            <w:r w:rsidRPr="00CA51F7">
              <w:rPr>
                <w:rFonts w:cs="Times New Roman"/>
                <w:color w:val="000000"/>
                <w:sz w:val="18"/>
                <w:vertAlign w:val="superscript"/>
              </w:rPr>
              <w:t>59</w:t>
            </w:r>
            <w:r w:rsidRPr="002402F6">
              <w:rPr>
                <w:rFonts w:cs="Times New Roman"/>
                <w:color w:val="000000"/>
                <w:sz w:val="18"/>
                <w:szCs w:val="18"/>
                <w:shd w:val="clear" w:color="auto" w:fill="FFFFFF"/>
              </w:rPr>
              <w:fldChar w:fldCharType="end"/>
            </w:r>
          </w:p>
        </w:tc>
      </w:tr>
    </w:tbl>
    <w:p w14:paraId="196B0307" w14:textId="2A8F54A5" w:rsidR="00ED6D61" w:rsidRDefault="00ED6D61"/>
    <w:p w14:paraId="57AEF563" w14:textId="6E08C0B0" w:rsidR="00E31F9D" w:rsidRDefault="00E31F9D"/>
    <w:tbl>
      <w:tblPr>
        <w:tblStyle w:val="TableGrid"/>
        <w:tblW w:w="0" w:type="auto"/>
        <w:tblLook w:val="04A0" w:firstRow="1" w:lastRow="0" w:firstColumn="1" w:lastColumn="0" w:noHBand="0" w:noVBand="1"/>
      </w:tblPr>
      <w:tblGrid>
        <w:gridCol w:w="1926"/>
        <w:gridCol w:w="697"/>
        <w:gridCol w:w="657"/>
        <w:gridCol w:w="1376"/>
        <w:gridCol w:w="697"/>
        <w:gridCol w:w="657"/>
        <w:gridCol w:w="1376"/>
        <w:gridCol w:w="697"/>
        <w:gridCol w:w="657"/>
      </w:tblGrid>
      <w:tr w:rsidR="00FB1040" w14:paraId="5186E31B" w14:textId="77777777" w:rsidTr="00420B4D">
        <w:tc>
          <w:tcPr>
            <w:tcW w:w="0" w:type="auto"/>
            <w:vMerge w:val="restart"/>
          </w:tcPr>
          <w:p w14:paraId="2136F460" w14:textId="4F4607C8" w:rsidR="00FB1040" w:rsidRDefault="00FB1040" w:rsidP="00E31F9D">
            <w:r>
              <w:t>Genes</w:t>
            </w:r>
          </w:p>
        </w:tc>
        <w:tc>
          <w:tcPr>
            <w:tcW w:w="0" w:type="auto"/>
            <w:gridSpan w:val="3"/>
          </w:tcPr>
          <w:p w14:paraId="77B82C85" w14:textId="6A826F51" w:rsidR="00FB1040" w:rsidRDefault="00FB1040" w:rsidP="001E28AD">
            <w:pPr>
              <w:jc w:val="center"/>
            </w:pPr>
            <w:r>
              <w:t>MST</w:t>
            </w:r>
          </w:p>
        </w:tc>
        <w:tc>
          <w:tcPr>
            <w:tcW w:w="0" w:type="auto"/>
            <w:gridSpan w:val="3"/>
          </w:tcPr>
          <w:p w14:paraId="296DB3EA" w14:textId="7DC8D544" w:rsidR="00FB1040" w:rsidRDefault="00FB1040" w:rsidP="001E28AD">
            <w:pPr>
              <w:jc w:val="center"/>
            </w:pPr>
            <w:r>
              <w:t>OGF</w:t>
            </w:r>
          </w:p>
        </w:tc>
        <w:tc>
          <w:tcPr>
            <w:tcW w:w="0" w:type="auto"/>
            <w:gridSpan w:val="2"/>
          </w:tcPr>
          <w:p w14:paraId="24B1BC05" w14:textId="31B11A6D" w:rsidR="00FB1040" w:rsidRDefault="00FB1040" w:rsidP="001E28AD">
            <w:pPr>
              <w:jc w:val="center"/>
            </w:pPr>
            <w:r>
              <w:t>Reference</w:t>
            </w:r>
          </w:p>
        </w:tc>
      </w:tr>
      <w:tr w:rsidR="00FB1040" w14:paraId="0E1082B8" w14:textId="77777777" w:rsidTr="00E31F9D">
        <w:tc>
          <w:tcPr>
            <w:tcW w:w="0" w:type="auto"/>
            <w:vMerge/>
          </w:tcPr>
          <w:p w14:paraId="3EC3741A" w14:textId="3DD3B9E1" w:rsidR="00FB1040" w:rsidRDefault="00FB1040" w:rsidP="00E31F9D"/>
        </w:tc>
        <w:tc>
          <w:tcPr>
            <w:tcW w:w="0" w:type="auto"/>
          </w:tcPr>
          <w:p w14:paraId="6B49D57F" w14:textId="3F04764A" w:rsidR="00FB1040" w:rsidRDefault="00FB1040" w:rsidP="00E31F9D">
            <w:r>
              <w:t>ASD</w:t>
            </w:r>
          </w:p>
        </w:tc>
        <w:tc>
          <w:tcPr>
            <w:tcW w:w="0" w:type="auto"/>
          </w:tcPr>
          <w:p w14:paraId="0A9050FE" w14:textId="283DA45F" w:rsidR="00FB1040" w:rsidRDefault="00FB1040" w:rsidP="00E31F9D">
            <w:r>
              <w:t>SCZ</w:t>
            </w:r>
          </w:p>
        </w:tc>
        <w:tc>
          <w:tcPr>
            <w:tcW w:w="0" w:type="auto"/>
          </w:tcPr>
          <w:p w14:paraId="5D7FCA75" w14:textId="1BCA595C" w:rsidR="00FB1040" w:rsidRDefault="00FB1040" w:rsidP="00E31F9D">
            <w:r>
              <w:t xml:space="preserve">Metanalysis </w:t>
            </w:r>
          </w:p>
        </w:tc>
        <w:tc>
          <w:tcPr>
            <w:tcW w:w="0" w:type="auto"/>
          </w:tcPr>
          <w:p w14:paraId="0A86CE76" w14:textId="724D512A" w:rsidR="00FB1040" w:rsidRDefault="00FB1040" w:rsidP="00E31F9D">
            <w:r>
              <w:t>ASD</w:t>
            </w:r>
          </w:p>
        </w:tc>
        <w:tc>
          <w:tcPr>
            <w:tcW w:w="0" w:type="auto"/>
          </w:tcPr>
          <w:p w14:paraId="70AB442E" w14:textId="758519A1" w:rsidR="00FB1040" w:rsidRDefault="00FB1040" w:rsidP="00E31F9D">
            <w:r>
              <w:t>SCZ</w:t>
            </w:r>
          </w:p>
        </w:tc>
        <w:tc>
          <w:tcPr>
            <w:tcW w:w="0" w:type="auto"/>
          </w:tcPr>
          <w:p w14:paraId="75638534" w14:textId="10F95FF2" w:rsidR="00FB1040" w:rsidRDefault="00FB1040" w:rsidP="00E31F9D">
            <w:r>
              <w:t>Metanalysis</w:t>
            </w:r>
          </w:p>
        </w:tc>
        <w:tc>
          <w:tcPr>
            <w:tcW w:w="0" w:type="auto"/>
          </w:tcPr>
          <w:p w14:paraId="05FA1CB2" w14:textId="30506B73" w:rsidR="00FB1040" w:rsidRDefault="00FB1040" w:rsidP="00E31F9D">
            <w:r>
              <w:t>ASD</w:t>
            </w:r>
          </w:p>
        </w:tc>
        <w:tc>
          <w:tcPr>
            <w:tcW w:w="0" w:type="auto"/>
          </w:tcPr>
          <w:p w14:paraId="672B956E" w14:textId="2520A831" w:rsidR="00FB1040" w:rsidRDefault="00FB1040" w:rsidP="00E31F9D">
            <w:r>
              <w:t>SCZ</w:t>
            </w:r>
          </w:p>
        </w:tc>
      </w:tr>
      <w:tr w:rsidR="00FB1040" w14:paraId="4CF9560A" w14:textId="77777777" w:rsidTr="00E31F9D">
        <w:tc>
          <w:tcPr>
            <w:tcW w:w="0" w:type="auto"/>
          </w:tcPr>
          <w:p w14:paraId="24481D80" w14:textId="7E8ED363" w:rsidR="00FB1040" w:rsidRPr="001E28AD" w:rsidRDefault="00FB1040" w:rsidP="00E31F9D">
            <w:pPr>
              <w:rPr>
                <w:rFonts w:cs="Times New Roman"/>
                <w:sz w:val="18"/>
                <w:szCs w:val="18"/>
              </w:rPr>
            </w:pPr>
            <w:r w:rsidRPr="001E28AD">
              <w:rPr>
                <w:rFonts w:cs="Times New Roman"/>
                <w:sz w:val="18"/>
                <w:szCs w:val="18"/>
              </w:rPr>
              <w:t>ADIPOR1</w:t>
            </w:r>
          </w:p>
        </w:tc>
        <w:tc>
          <w:tcPr>
            <w:tcW w:w="0" w:type="auto"/>
          </w:tcPr>
          <w:p w14:paraId="7DA07610" w14:textId="5C0C50DB" w:rsidR="00FB1040" w:rsidRDefault="001E28AD" w:rsidP="00E31F9D">
            <w:r>
              <w:t>x</w:t>
            </w:r>
          </w:p>
        </w:tc>
        <w:tc>
          <w:tcPr>
            <w:tcW w:w="0" w:type="auto"/>
          </w:tcPr>
          <w:p w14:paraId="0FDE375B" w14:textId="77777777" w:rsidR="00FB1040" w:rsidRDefault="00FB1040" w:rsidP="00E31F9D"/>
        </w:tc>
        <w:tc>
          <w:tcPr>
            <w:tcW w:w="0" w:type="auto"/>
          </w:tcPr>
          <w:p w14:paraId="5AFE5521" w14:textId="77777777" w:rsidR="00FB1040" w:rsidRDefault="00FB1040" w:rsidP="00E31F9D"/>
        </w:tc>
        <w:tc>
          <w:tcPr>
            <w:tcW w:w="0" w:type="auto"/>
          </w:tcPr>
          <w:p w14:paraId="6A14C03B" w14:textId="5F86CA02" w:rsidR="00FB1040" w:rsidRDefault="001E28AD" w:rsidP="00E31F9D">
            <w:r>
              <w:t>x</w:t>
            </w:r>
          </w:p>
        </w:tc>
        <w:tc>
          <w:tcPr>
            <w:tcW w:w="0" w:type="auto"/>
          </w:tcPr>
          <w:p w14:paraId="391F9131" w14:textId="77777777" w:rsidR="00FB1040" w:rsidRDefault="00FB1040" w:rsidP="00E31F9D"/>
        </w:tc>
        <w:tc>
          <w:tcPr>
            <w:tcW w:w="0" w:type="auto"/>
          </w:tcPr>
          <w:p w14:paraId="0B11E503" w14:textId="51009082" w:rsidR="00FB1040" w:rsidRDefault="001E28AD" w:rsidP="00E31F9D">
            <w:r>
              <w:t>x</w:t>
            </w:r>
          </w:p>
        </w:tc>
        <w:tc>
          <w:tcPr>
            <w:tcW w:w="0" w:type="auto"/>
          </w:tcPr>
          <w:p w14:paraId="488B6042" w14:textId="1DB4A6A4" w:rsidR="00FB1040" w:rsidRDefault="001E28AD" w:rsidP="00E31F9D">
            <w:r>
              <w:t>x</w:t>
            </w:r>
          </w:p>
        </w:tc>
        <w:tc>
          <w:tcPr>
            <w:tcW w:w="0" w:type="auto"/>
          </w:tcPr>
          <w:p w14:paraId="25F89859" w14:textId="3669AC22" w:rsidR="00FB1040" w:rsidRDefault="001E28AD" w:rsidP="00E31F9D">
            <w:r>
              <w:t>x</w:t>
            </w:r>
          </w:p>
        </w:tc>
      </w:tr>
      <w:tr w:rsidR="00E31F9D" w14:paraId="1E0E2DBC" w14:textId="77777777" w:rsidTr="00E31F9D">
        <w:tc>
          <w:tcPr>
            <w:tcW w:w="0" w:type="auto"/>
          </w:tcPr>
          <w:p w14:paraId="2A737395" w14:textId="190846A7" w:rsidR="00E31F9D" w:rsidRPr="001E28AD" w:rsidRDefault="00E31F9D" w:rsidP="00E31F9D">
            <w:r w:rsidRPr="005F60CB">
              <w:rPr>
                <w:rFonts w:cs="Times New Roman"/>
                <w:color w:val="FF0000"/>
                <w:sz w:val="18"/>
                <w:szCs w:val="18"/>
              </w:rPr>
              <w:t>DCAF12</w:t>
            </w:r>
          </w:p>
        </w:tc>
        <w:tc>
          <w:tcPr>
            <w:tcW w:w="0" w:type="auto"/>
          </w:tcPr>
          <w:p w14:paraId="2A25F173" w14:textId="77777777" w:rsidR="00E31F9D" w:rsidRDefault="00E31F9D" w:rsidP="00E31F9D"/>
        </w:tc>
        <w:tc>
          <w:tcPr>
            <w:tcW w:w="0" w:type="auto"/>
          </w:tcPr>
          <w:p w14:paraId="0CAC85D9" w14:textId="77777777" w:rsidR="00E31F9D" w:rsidRDefault="00E31F9D" w:rsidP="00E31F9D"/>
        </w:tc>
        <w:tc>
          <w:tcPr>
            <w:tcW w:w="0" w:type="auto"/>
          </w:tcPr>
          <w:p w14:paraId="51978ABB" w14:textId="77777777" w:rsidR="00E31F9D" w:rsidRDefault="00E31F9D" w:rsidP="00E31F9D"/>
        </w:tc>
        <w:tc>
          <w:tcPr>
            <w:tcW w:w="0" w:type="auto"/>
          </w:tcPr>
          <w:p w14:paraId="3DB20AEA" w14:textId="797A859C" w:rsidR="00E31F9D" w:rsidRDefault="000979C1" w:rsidP="00E31F9D">
            <w:r>
              <w:t>x</w:t>
            </w:r>
          </w:p>
        </w:tc>
        <w:tc>
          <w:tcPr>
            <w:tcW w:w="0" w:type="auto"/>
          </w:tcPr>
          <w:p w14:paraId="72598AD2" w14:textId="77777777" w:rsidR="00E31F9D" w:rsidRDefault="00E31F9D" w:rsidP="00E31F9D"/>
        </w:tc>
        <w:tc>
          <w:tcPr>
            <w:tcW w:w="0" w:type="auto"/>
          </w:tcPr>
          <w:p w14:paraId="702F95FE" w14:textId="77777777" w:rsidR="00E31F9D" w:rsidRDefault="00E31F9D" w:rsidP="00E31F9D"/>
        </w:tc>
        <w:tc>
          <w:tcPr>
            <w:tcW w:w="0" w:type="auto"/>
          </w:tcPr>
          <w:p w14:paraId="6C9A2D47" w14:textId="77777777" w:rsidR="00E31F9D" w:rsidRDefault="00E31F9D" w:rsidP="00E31F9D"/>
        </w:tc>
        <w:tc>
          <w:tcPr>
            <w:tcW w:w="0" w:type="auto"/>
          </w:tcPr>
          <w:p w14:paraId="71C7EE4E" w14:textId="77777777" w:rsidR="00E31F9D" w:rsidRDefault="00E31F9D" w:rsidP="00E31F9D"/>
        </w:tc>
      </w:tr>
      <w:tr w:rsidR="00E31F9D" w14:paraId="04ABE4EA" w14:textId="77777777" w:rsidTr="00E31F9D">
        <w:tc>
          <w:tcPr>
            <w:tcW w:w="0" w:type="auto"/>
          </w:tcPr>
          <w:p w14:paraId="20FD4177" w14:textId="6D8B22D2" w:rsidR="00E31F9D" w:rsidRPr="001E28AD" w:rsidRDefault="00E31F9D" w:rsidP="00E31F9D">
            <w:r w:rsidRPr="001E28AD">
              <w:rPr>
                <w:rFonts w:cs="Times New Roman"/>
                <w:sz w:val="18"/>
                <w:szCs w:val="18"/>
              </w:rPr>
              <w:t>SNORD116-19</w:t>
            </w:r>
          </w:p>
        </w:tc>
        <w:tc>
          <w:tcPr>
            <w:tcW w:w="0" w:type="auto"/>
          </w:tcPr>
          <w:p w14:paraId="2EC5469A" w14:textId="77777777" w:rsidR="00E31F9D" w:rsidRDefault="00E31F9D" w:rsidP="00E31F9D"/>
        </w:tc>
        <w:tc>
          <w:tcPr>
            <w:tcW w:w="0" w:type="auto"/>
          </w:tcPr>
          <w:p w14:paraId="613249A6" w14:textId="77777777" w:rsidR="00E31F9D" w:rsidRDefault="00E31F9D" w:rsidP="00E31F9D"/>
        </w:tc>
        <w:tc>
          <w:tcPr>
            <w:tcW w:w="0" w:type="auto"/>
          </w:tcPr>
          <w:p w14:paraId="61405EFD" w14:textId="77777777" w:rsidR="00E31F9D" w:rsidRDefault="00E31F9D" w:rsidP="00E31F9D"/>
        </w:tc>
        <w:tc>
          <w:tcPr>
            <w:tcW w:w="0" w:type="auto"/>
          </w:tcPr>
          <w:p w14:paraId="7D88E925" w14:textId="77777777" w:rsidR="00E31F9D" w:rsidRDefault="00E31F9D" w:rsidP="00E31F9D"/>
        </w:tc>
        <w:tc>
          <w:tcPr>
            <w:tcW w:w="0" w:type="auto"/>
          </w:tcPr>
          <w:p w14:paraId="08653D76" w14:textId="77777777" w:rsidR="00E31F9D" w:rsidRDefault="00E31F9D" w:rsidP="00E31F9D"/>
        </w:tc>
        <w:tc>
          <w:tcPr>
            <w:tcW w:w="0" w:type="auto"/>
          </w:tcPr>
          <w:p w14:paraId="2EF385A6" w14:textId="77777777" w:rsidR="00E31F9D" w:rsidRDefault="00E31F9D" w:rsidP="00E31F9D"/>
        </w:tc>
        <w:tc>
          <w:tcPr>
            <w:tcW w:w="0" w:type="auto"/>
          </w:tcPr>
          <w:p w14:paraId="4F5B0A78" w14:textId="3F0A2362" w:rsidR="00E31F9D" w:rsidRDefault="005F60CB" w:rsidP="00E31F9D">
            <w:r>
              <w:t>x</w:t>
            </w:r>
          </w:p>
        </w:tc>
        <w:tc>
          <w:tcPr>
            <w:tcW w:w="0" w:type="auto"/>
          </w:tcPr>
          <w:p w14:paraId="72AD7D46" w14:textId="02FC2BB1" w:rsidR="00E31F9D" w:rsidRDefault="005F60CB" w:rsidP="00E31F9D">
            <w:r>
              <w:t>x</w:t>
            </w:r>
          </w:p>
        </w:tc>
      </w:tr>
      <w:tr w:rsidR="00E31F9D" w14:paraId="2BA3AA24" w14:textId="77777777" w:rsidTr="00E31F9D">
        <w:tc>
          <w:tcPr>
            <w:tcW w:w="0" w:type="auto"/>
          </w:tcPr>
          <w:p w14:paraId="5179897F" w14:textId="0DC3CE4C" w:rsidR="00E31F9D" w:rsidRPr="001E28AD" w:rsidRDefault="00E31F9D" w:rsidP="00E31F9D">
            <w:r w:rsidRPr="001E28AD">
              <w:rPr>
                <w:rFonts w:cs="Times New Roman"/>
                <w:sz w:val="18"/>
                <w:szCs w:val="18"/>
              </w:rPr>
              <w:t>SCARNA17</w:t>
            </w:r>
          </w:p>
        </w:tc>
        <w:tc>
          <w:tcPr>
            <w:tcW w:w="0" w:type="auto"/>
          </w:tcPr>
          <w:p w14:paraId="3E9CB896" w14:textId="77777777" w:rsidR="00E31F9D" w:rsidRDefault="00E31F9D" w:rsidP="00E31F9D"/>
        </w:tc>
        <w:tc>
          <w:tcPr>
            <w:tcW w:w="0" w:type="auto"/>
          </w:tcPr>
          <w:p w14:paraId="1D62181A" w14:textId="77777777" w:rsidR="00E31F9D" w:rsidRDefault="00E31F9D" w:rsidP="00E31F9D"/>
        </w:tc>
        <w:tc>
          <w:tcPr>
            <w:tcW w:w="0" w:type="auto"/>
          </w:tcPr>
          <w:p w14:paraId="57436D78" w14:textId="77777777" w:rsidR="00E31F9D" w:rsidRDefault="00E31F9D" w:rsidP="00E31F9D"/>
        </w:tc>
        <w:tc>
          <w:tcPr>
            <w:tcW w:w="0" w:type="auto"/>
          </w:tcPr>
          <w:p w14:paraId="50CB6E22" w14:textId="77777777" w:rsidR="00E31F9D" w:rsidRDefault="00E31F9D" w:rsidP="00E31F9D"/>
        </w:tc>
        <w:tc>
          <w:tcPr>
            <w:tcW w:w="0" w:type="auto"/>
          </w:tcPr>
          <w:p w14:paraId="274CEA84" w14:textId="77777777" w:rsidR="00E31F9D" w:rsidRDefault="00E31F9D" w:rsidP="00E31F9D"/>
        </w:tc>
        <w:tc>
          <w:tcPr>
            <w:tcW w:w="0" w:type="auto"/>
          </w:tcPr>
          <w:p w14:paraId="4CCD8D77" w14:textId="77777777" w:rsidR="00E31F9D" w:rsidRDefault="00E31F9D" w:rsidP="00E31F9D"/>
        </w:tc>
        <w:tc>
          <w:tcPr>
            <w:tcW w:w="0" w:type="auto"/>
          </w:tcPr>
          <w:p w14:paraId="04B8DAF6" w14:textId="1F24C48C" w:rsidR="00E31F9D" w:rsidRDefault="005F60CB" w:rsidP="00E31F9D">
            <w:r>
              <w:t>x</w:t>
            </w:r>
          </w:p>
        </w:tc>
        <w:tc>
          <w:tcPr>
            <w:tcW w:w="0" w:type="auto"/>
          </w:tcPr>
          <w:p w14:paraId="42B4C2D8" w14:textId="6094FEE2" w:rsidR="00E31F9D" w:rsidRDefault="005F60CB" w:rsidP="00E31F9D">
            <w:r>
              <w:t>x</w:t>
            </w:r>
          </w:p>
        </w:tc>
      </w:tr>
      <w:tr w:rsidR="00E31F9D" w14:paraId="4C138492" w14:textId="77777777" w:rsidTr="00E31F9D">
        <w:tc>
          <w:tcPr>
            <w:tcW w:w="0" w:type="auto"/>
          </w:tcPr>
          <w:p w14:paraId="40C30078" w14:textId="2BCE04C4" w:rsidR="00E31F9D" w:rsidRPr="001E28AD" w:rsidRDefault="00E31F9D" w:rsidP="00E31F9D">
            <w:r w:rsidRPr="001E28AD">
              <w:rPr>
                <w:rFonts w:cs="Times New Roman"/>
                <w:sz w:val="18"/>
                <w:szCs w:val="18"/>
              </w:rPr>
              <w:t>MALAT1</w:t>
            </w:r>
          </w:p>
        </w:tc>
        <w:tc>
          <w:tcPr>
            <w:tcW w:w="0" w:type="auto"/>
          </w:tcPr>
          <w:p w14:paraId="13F5C9D2" w14:textId="77777777" w:rsidR="00E31F9D" w:rsidRDefault="00E31F9D" w:rsidP="00E31F9D"/>
        </w:tc>
        <w:tc>
          <w:tcPr>
            <w:tcW w:w="0" w:type="auto"/>
          </w:tcPr>
          <w:p w14:paraId="574C490A" w14:textId="77777777" w:rsidR="00E31F9D" w:rsidRDefault="00E31F9D" w:rsidP="00E31F9D"/>
        </w:tc>
        <w:tc>
          <w:tcPr>
            <w:tcW w:w="0" w:type="auto"/>
          </w:tcPr>
          <w:p w14:paraId="249AF6FA" w14:textId="77777777" w:rsidR="00E31F9D" w:rsidRDefault="00E31F9D" w:rsidP="00E31F9D"/>
        </w:tc>
        <w:tc>
          <w:tcPr>
            <w:tcW w:w="0" w:type="auto"/>
          </w:tcPr>
          <w:p w14:paraId="68018F56" w14:textId="77777777" w:rsidR="00E31F9D" w:rsidRDefault="00E31F9D" w:rsidP="00E31F9D"/>
        </w:tc>
        <w:tc>
          <w:tcPr>
            <w:tcW w:w="0" w:type="auto"/>
          </w:tcPr>
          <w:p w14:paraId="1EE4D120" w14:textId="77777777" w:rsidR="00E31F9D" w:rsidRDefault="00E31F9D" w:rsidP="00E31F9D"/>
        </w:tc>
        <w:tc>
          <w:tcPr>
            <w:tcW w:w="0" w:type="auto"/>
          </w:tcPr>
          <w:p w14:paraId="4B378E45" w14:textId="77777777" w:rsidR="00E31F9D" w:rsidRDefault="00E31F9D" w:rsidP="00E31F9D"/>
        </w:tc>
        <w:tc>
          <w:tcPr>
            <w:tcW w:w="0" w:type="auto"/>
          </w:tcPr>
          <w:p w14:paraId="2D59B825" w14:textId="389666BF" w:rsidR="00E31F9D" w:rsidRDefault="005F60CB" w:rsidP="00E31F9D">
            <w:r>
              <w:t>x</w:t>
            </w:r>
          </w:p>
        </w:tc>
        <w:tc>
          <w:tcPr>
            <w:tcW w:w="0" w:type="auto"/>
          </w:tcPr>
          <w:p w14:paraId="65FA3D6E" w14:textId="45CF30F8" w:rsidR="00E31F9D" w:rsidRDefault="005F60CB" w:rsidP="00E31F9D">
            <w:r>
              <w:t>x</w:t>
            </w:r>
          </w:p>
        </w:tc>
      </w:tr>
      <w:tr w:rsidR="00E31F9D" w14:paraId="3128A978" w14:textId="77777777" w:rsidTr="00E31F9D">
        <w:tc>
          <w:tcPr>
            <w:tcW w:w="0" w:type="auto"/>
          </w:tcPr>
          <w:p w14:paraId="23D1A630" w14:textId="19998DCD" w:rsidR="00E31F9D" w:rsidRPr="001E28AD" w:rsidRDefault="00E31F9D" w:rsidP="00E31F9D">
            <w:r w:rsidRPr="001E28AD">
              <w:rPr>
                <w:rFonts w:cs="Times New Roman"/>
                <w:sz w:val="18"/>
                <w:szCs w:val="18"/>
              </w:rPr>
              <w:t>RPS3A</w:t>
            </w:r>
          </w:p>
        </w:tc>
        <w:tc>
          <w:tcPr>
            <w:tcW w:w="0" w:type="auto"/>
          </w:tcPr>
          <w:p w14:paraId="3CE14E6A" w14:textId="66018D96" w:rsidR="00E31F9D" w:rsidRDefault="000979C1" w:rsidP="00E31F9D">
            <w:r>
              <w:t>x</w:t>
            </w:r>
          </w:p>
        </w:tc>
        <w:tc>
          <w:tcPr>
            <w:tcW w:w="0" w:type="auto"/>
          </w:tcPr>
          <w:p w14:paraId="2A89FD38" w14:textId="77777777" w:rsidR="00E31F9D" w:rsidRDefault="00E31F9D" w:rsidP="00E31F9D"/>
        </w:tc>
        <w:tc>
          <w:tcPr>
            <w:tcW w:w="0" w:type="auto"/>
          </w:tcPr>
          <w:p w14:paraId="0AC4167A" w14:textId="77777777" w:rsidR="00E31F9D" w:rsidRDefault="00E31F9D" w:rsidP="00E31F9D"/>
        </w:tc>
        <w:tc>
          <w:tcPr>
            <w:tcW w:w="0" w:type="auto"/>
          </w:tcPr>
          <w:p w14:paraId="1F9F0497" w14:textId="64A1A4C8" w:rsidR="00E31F9D" w:rsidRDefault="000979C1" w:rsidP="00E31F9D">
            <w:r>
              <w:t>x</w:t>
            </w:r>
          </w:p>
        </w:tc>
        <w:tc>
          <w:tcPr>
            <w:tcW w:w="0" w:type="auto"/>
          </w:tcPr>
          <w:p w14:paraId="327FC629" w14:textId="77777777" w:rsidR="00E31F9D" w:rsidRDefault="00E31F9D" w:rsidP="00E31F9D"/>
        </w:tc>
        <w:tc>
          <w:tcPr>
            <w:tcW w:w="0" w:type="auto"/>
          </w:tcPr>
          <w:p w14:paraId="6AE1DA4D" w14:textId="77777777" w:rsidR="00E31F9D" w:rsidRDefault="00E31F9D" w:rsidP="00E31F9D"/>
        </w:tc>
        <w:tc>
          <w:tcPr>
            <w:tcW w:w="0" w:type="auto"/>
          </w:tcPr>
          <w:p w14:paraId="758099C8" w14:textId="54840669" w:rsidR="00E31F9D" w:rsidRDefault="001C2FDC" w:rsidP="00E31F9D">
            <w:r>
              <w:t>x</w:t>
            </w:r>
          </w:p>
        </w:tc>
        <w:tc>
          <w:tcPr>
            <w:tcW w:w="0" w:type="auto"/>
          </w:tcPr>
          <w:p w14:paraId="61987761" w14:textId="77777777" w:rsidR="00E31F9D" w:rsidRDefault="00E31F9D" w:rsidP="00E31F9D"/>
        </w:tc>
      </w:tr>
      <w:tr w:rsidR="00E31F9D" w14:paraId="4DC5A2E5" w14:textId="77777777" w:rsidTr="00E31F9D">
        <w:tc>
          <w:tcPr>
            <w:tcW w:w="0" w:type="auto"/>
          </w:tcPr>
          <w:p w14:paraId="7FFA2347" w14:textId="32E1A699" w:rsidR="00E31F9D" w:rsidRPr="001E28AD" w:rsidRDefault="00E31F9D" w:rsidP="00E31F9D">
            <w:r w:rsidRPr="005F60CB">
              <w:rPr>
                <w:rFonts w:cs="Times New Roman"/>
                <w:color w:val="FF0000"/>
                <w:sz w:val="18"/>
                <w:szCs w:val="18"/>
              </w:rPr>
              <w:t>VNN2</w:t>
            </w:r>
          </w:p>
        </w:tc>
        <w:tc>
          <w:tcPr>
            <w:tcW w:w="0" w:type="auto"/>
          </w:tcPr>
          <w:p w14:paraId="3A284DF5" w14:textId="77777777" w:rsidR="00E31F9D" w:rsidRDefault="00E31F9D" w:rsidP="00E31F9D"/>
        </w:tc>
        <w:tc>
          <w:tcPr>
            <w:tcW w:w="0" w:type="auto"/>
          </w:tcPr>
          <w:p w14:paraId="374390E3" w14:textId="77777777" w:rsidR="00E31F9D" w:rsidRDefault="00E31F9D" w:rsidP="00E31F9D"/>
        </w:tc>
        <w:tc>
          <w:tcPr>
            <w:tcW w:w="0" w:type="auto"/>
          </w:tcPr>
          <w:p w14:paraId="361A28FC" w14:textId="77777777" w:rsidR="00E31F9D" w:rsidRDefault="00E31F9D" w:rsidP="00E31F9D"/>
        </w:tc>
        <w:tc>
          <w:tcPr>
            <w:tcW w:w="0" w:type="auto"/>
          </w:tcPr>
          <w:p w14:paraId="24A32131" w14:textId="5C7450C5" w:rsidR="00E31F9D" w:rsidRDefault="0005140E" w:rsidP="00E31F9D">
            <w:r>
              <w:t>x</w:t>
            </w:r>
          </w:p>
        </w:tc>
        <w:tc>
          <w:tcPr>
            <w:tcW w:w="0" w:type="auto"/>
          </w:tcPr>
          <w:p w14:paraId="213D1FE2" w14:textId="77777777" w:rsidR="00E31F9D" w:rsidRDefault="00E31F9D" w:rsidP="00E31F9D"/>
        </w:tc>
        <w:tc>
          <w:tcPr>
            <w:tcW w:w="0" w:type="auto"/>
          </w:tcPr>
          <w:p w14:paraId="40FCD4BA" w14:textId="754B75B2" w:rsidR="00E31F9D" w:rsidRDefault="0005140E" w:rsidP="00E31F9D">
            <w:r>
              <w:t>x</w:t>
            </w:r>
          </w:p>
        </w:tc>
        <w:tc>
          <w:tcPr>
            <w:tcW w:w="0" w:type="auto"/>
          </w:tcPr>
          <w:p w14:paraId="3E79C32E" w14:textId="77777777" w:rsidR="00E31F9D" w:rsidRDefault="00E31F9D" w:rsidP="00E31F9D"/>
        </w:tc>
        <w:tc>
          <w:tcPr>
            <w:tcW w:w="0" w:type="auto"/>
          </w:tcPr>
          <w:p w14:paraId="60418CDB" w14:textId="77777777" w:rsidR="00E31F9D" w:rsidRDefault="00E31F9D" w:rsidP="00E31F9D"/>
        </w:tc>
      </w:tr>
      <w:tr w:rsidR="00E31F9D" w14:paraId="435A3EED" w14:textId="77777777" w:rsidTr="00E31F9D">
        <w:tc>
          <w:tcPr>
            <w:tcW w:w="0" w:type="auto"/>
          </w:tcPr>
          <w:p w14:paraId="32071644" w14:textId="15C10D1B" w:rsidR="00E31F9D" w:rsidRPr="001E28AD" w:rsidRDefault="00E31F9D" w:rsidP="00E31F9D">
            <w:r w:rsidRPr="001E28AD">
              <w:rPr>
                <w:sz w:val="18"/>
                <w:szCs w:val="18"/>
              </w:rPr>
              <w:t>RPS27</w:t>
            </w:r>
          </w:p>
        </w:tc>
        <w:tc>
          <w:tcPr>
            <w:tcW w:w="0" w:type="auto"/>
          </w:tcPr>
          <w:p w14:paraId="54EDF7D5" w14:textId="77777777" w:rsidR="00E31F9D" w:rsidRDefault="00E31F9D" w:rsidP="00E31F9D"/>
        </w:tc>
        <w:tc>
          <w:tcPr>
            <w:tcW w:w="0" w:type="auto"/>
          </w:tcPr>
          <w:p w14:paraId="48498B02" w14:textId="77777777" w:rsidR="00E31F9D" w:rsidRDefault="00E31F9D" w:rsidP="00E31F9D"/>
        </w:tc>
        <w:tc>
          <w:tcPr>
            <w:tcW w:w="0" w:type="auto"/>
          </w:tcPr>
          <w:p w14:paraId="4866A364" w14:textId="5B4AEF4C" w:rsidR="00E31F9D" w:rsidRDefault="0005140E" w:rsidP="00E31F9D">
            <w:r>
              <w:t>x</w:t>
            </w:r>
          </w:p>
        </w:tc>
        <w:tc>
          <w:tcPr>
            <w:tcW w:w="0" w:type="auto"/>
          </w:tcPr>
          <w:p w14:paraId="2497211A" w14:textId="77777777" w:rsidR="00E31F9D" w:rsidRDefault="00E31F9D" w:rsidP="00E31F9D"/>
        </w:tc>
        <w:tc>
          <w:tcPr>
            <w:tcW w:w="0" w:type="auto"/>
          </w:tcPr>
          <w:p w14:paraId="54DD99E4" w14:textId="77777777" w:rsidR="00E31F9D" w:rsidRDefault="00E31F9D" w:rsidP="00E31F9D"/>
        </w:tc>
        <w:tc>
          <w:tcPr>
            <w:tcW w:w="0" w:type="auto"/>
          </w:tcPr>
          <w:p w14:paraId="5465A98D" w14:textId="64CB21D4" w:rsidR="00E31F9D" w:rsidRDefault="0005140E" w:rsidP="00E31F9D">
            <w:r>
              <w:t>x</w:t>
            </w:r>
          </w:p>
        </w:tc>
        <w:tc>
          <w:tcPr>
            <w:tcW w:w="0" w:type="auto"/>
          </w:tcPr>
          <w:p w14:paraId="5B266B60" w14:textId="62F014E3" w:rsidR="00E31F9D" w:rsidRDefault="0005140E" w:rsidP="00E31F9D">
            <w:r>
              <w:t>x</w:t>
            </w:r>
          </w:p>
        </w:tc>
        <w:tc>
          <w:tcPr>
            <w:tcW w:w="0" w:type="auto"/>
          </w:tcPr>
          <w:p w14:paraId="6BF223F4" w14:textId="2F5E2F31" w:rsidR="00E31F9D" w:rsidRDefault="0005140E" w:rsidP="00E31F9D">
            <w:r>
              <w:t>x</w:t>
            </w:r>
          </w:p>
        </w:tc>
      </w:tr>
      <w:tr w:rsidR="00E31F9D" w14:paraId="545CF5DB" w14:textId="77777777" w:rsidTr="00E31F9D">
        <w:tc>
          <w:tcPr>
            <w:tcW w:w="0" w:type="auto"/>
          </w:tcPr>
          <w:p w14:paraId="782CEA87" w14:textId="2A209043" w:rsidR="00E31F9D" w:rsidRPr="001E28AD" w:rsidRDefault="00E31F9D" w:rsidP="00E31F9D">
            <w:r w:rsidRPr="001E28AD">
              <w:rPr>
                <w:sz w:val="18"/>
                <w:szCs w:val="18"/>
              </w:rPr>
              <w:t>HBE1</w:t>
            </w:r>
          </w:p>
        </w:tc>
        <w:tc>
          <w:tcPr>
            <w:tcW w:w="0" w:type="auto"/>
          </w:tcPr>
          <w:p w14:paraId="6E2E347A" w14:textId="77777777" w:rsidR="00E31F9D" w:rsidRDefault="00E31F9D" w:rsidP="00E31F9D"/>
        </w:tc>
        <w:tc>
          <w:tcPr>
            <w:tcW w:w="0" w:type="auto"/>
          </w:tcPr>
          <w:p w14:paraId="7DA01AD6" w14:textId="77777777" w:rsidR="00E31F9D" w:rsidRDefault="00E31F9D" w:rsidP="00E31F9D"/>
        </w:tc>
        <w:tc>
          <w:tcPr>
            <w:tcW w:w="0" w:type="auto"/>
          </w:tcPr>
          <w:p w14:paraId="023280F4" w14:textId="77777777" w:rsidR="00E31F9D" w:rsidRDefault="00E31F9D" w:rsidP="00E31F9D"/>
        </w:tc>
        <w:tc>
          <w:tcPr>
            <w:tcW w:w="0" w:type="auto"/>
          </w:tcPr>
          <w:p w14:paraId="6689B1D5" w14:textId="77777777" w:rsidR="00E31F9D" w:rsidRDefault="00E31F9D" w:rsidP="00E31F9D"/>
        </w:tc>
        <w:tc>
          <w:tcPr>
            <w:tcW w:w="0" w:type="auto"/>
          </w:tcPr>
          <w:p w14:paraId="4B782421" w14:textId="77777777" w:rsidR="00E31F9D" w:rsidRDefault="00E31F9D" w:rsidP="00E31F9D"/>
        </w:tc>
        <w:tc>
          <w:tcPr>
            <w:tcW w:w="0" w:type="auto"/>
          </w:tcPr>
          <w:p w14:paraId="5B0ED81C" w14:textId="77777777" w:rsidR="00E31F9D" w:rsidRDefault="00E31F9D" w:rsidP="00E31F9D"/>
        </w:tc>
        <w:tc>
          <w:tcPr>
            <w:tcW w:w="0" w:type="auto"/>
          </w:tcPr>
          <w:p w14:paraId="63858702" w14:textId="77777777" w:rsidR="00E31F9D" w:rsidRDefault="00E31F9D" w:rsidP="00E31F9D"/>
        </w:tc>
        <w:tc>
          <w:tcPr>
            <w:tcW w:w="0" w:type="auto"/>
          </w:tcPr>
          <w:p w14:paraId="14993397" w14:textId="77777777" w:rsidR="00E31F9D" w:rsidRDefault="00E31F9D" w:rsidP="00E31F9D"/>
        </w:tc>
      </w:tr>
      <w:tr w:rsidR="00E31F9D" w14:paraId="46D9D463" w14:textId="77777777" w:rsidTr="00E31F9D">
        <w:tc>
          <w:tcPr>
            <w:tcW w:w="0" w:type="auto"/>
          </w:tcPr>
          <w:p w14:paraId="0D50AFC6" w14:textId="3E4B30CF" w:rsidR="00E31F9D" w:rsidRPr="001E28AD" w:rsidRDefault="00E31F9D" w:rsidP="00E31F9D">
            <w:r w:rsidRPr="001E28AD">
              <w:rPr>
                <w:sz w:val="18"/>
                <w:szCs w:val="18"/>
              </w:rPr>
              <w:t>HCA112(TMEM176A)</w:t>
            </w:r>
          </w:p>
        </w:tc>
        <w:tc>
          <w:tcPr>
            <w:tcW w:w="0" w:type="auto"/>
          </w:tcPr>
          <w:p w14:paraId="6B73F0E8" w14:textId="77777777" w:rsidR="00E31F9D" w:rsidRDefault="00E31F9D" w:rsidP="00E31F9D"/>
        </w:tc>
        <w:tc>
          <w:tcPr>
            <w:tcW w:w="0" w:type="auto"/>
          </w:tcPr>
          <w:p w14:paraId="59EDD40A" w14:textId="77777777" w:rsidR="00E31F9D" w:rsidRDefault="00E31F9D" w:rsidP="00E31F9D"/>
        </w:tc>
        <w:tc>
          <w:tcPr>
            <w:tcW w:w="0" w:type="auto"/>
          </w:tcPr>
          <w:p w14:paraId="13EC62DF" w14:textId="77777777" w:rsidR="00E31F9D" w:rsidRDefault="00E31F9D" w:rsidP="00E31F9D"/>
        </w:tc>
        <w:tc>
          <w:tcPr>
            <w:tcW w:w="0" w:type="auto"/>
          </w:tcPr>
          <w:p w14:paraId="6E99B351" w14:textId="77777777" w:rsidR="00E31F9D" w:rsidRDefault="00E31F9D" w:rsidP="00E31F9D"/>
        </w:tc>
        <w:tc>
          <w:tcPr>
            <w:tcW w:w="0" w:type="auto"/>
          </w:tcPr>
          <w:p w14:paraId="19810E02" w14:textId="77777777" w:rsidR="00E31F9D" w:rsidRDefault="00E31F9D" w:rsidP="00E31F9D"/>
        </w:tc>
        <w:tc>
          <w:tcPr>
            <w:tcW w:w="0" w:type="auto"/>
          </w:tcPr>
          <w:p w14:paraId="070325A4" w14:textId="77777777" w:rsidR="00E31F9D" w:rsidRDefault="00E31F9D" w:rsidP="00E31F9D"/>
        </w:tc>
        <w:tc>
          <w:tcPr>
            <w:tcW w:w="0" w:type="auto"/>
          </w:tcPr>
          <w:p w14:paraId="1EC7BFEC" w14:textId="77777777" w:rsidR="00E31F9D" w:rsidRDefault="00E31F9D" w:rsidP="00E31F9D"/>
        </w:tc>
        <w:tc>
          <w:tcPr>
            <w:tcW w:w="0" w:type="auto"/>
          </w:tcPr>
          <w:p w14:paraId="701A952D" w14:textId="639E7DC5" w:rsidR="00E31F9D" w:rsidRDefault="005F60CB" w:rsidP="00E31F9D">
            <w:r>
              <w:t>x</w:t>
            </w:r>
          </w:p>
        </w:tc>
      </w:tr>
      <w:tr w:rsidR="00E31F9D" w14:paraId="38BF9DB4" w14:textId="77777777" w:rsidTr="00E31F9D">
        <w:tc>
          <w:tcPr>
            <w:tcW w:w="0" w:type="auto"/>
          </w:tcPr>
          <w:p w14:paraId="2DB5A951" w14:textId="659C4033" w:rsidR="00E31F9D" w:rsidRPr="001E28AD" w:rsidRDefault="00E31F9D" w:rsidP="00E31F9D">
            <w:r w:rsidRPr="001E28AD">
              <w:rPr>
                <w:sz w:val="18"/>
                <w:szCs w:val="18"/>
              </w:rPr>
              <w:t>TMEM176B</w:t>
            </w:r>
          </w:p>
        </w:tc>
        <w:tc>
          <w:tcPr>
            <w:tcW w:w="0" w:type="auto"/>
          </w:tcPr>
          <w:p w14:paraId="2D2D499D" w14:textId="77777777" w:rsidR="00E31F9D" w:rsidRDefault="00E31F9D" w:rsidP="00E31F9D"/>
        </w:tc>
        <w:tc>
          <w:tcPr>
            <w:tcW w:w="0" w:type="auto"/>
          </w:tcPr>
          <w:p w14:paraId="3D6DE6EC" w14:textId="77777777" w:rsidR="00E31F9D" w:rsidRDefault="00E31F9D" w:rsidP="00E31F9D"/>
        </w:tc>
        <w:tc>
          <w:tcPr>
            <w:tcW w:w="0" w:type="auto"/>
          </w:tcPr>
          <w:p w14:paraId="3C40D23D" w14:textId="77777777" w:rsidR="00E31F9D" w:rsidRDefault="00E31F9D" w:rsidP="00E31F9D"/>
        </w:tc>
        <w:tc>
          <w:tcPr>
            <w:tcW w:w="0" w:type="auto"/>
          </w:tcPr>
          <w:p w14:paraId="1DCE3438" w14:textId="77777777" w:rsidR="00E31F9D" w:rsidRDefault="00E31F9D" w:rsidP="00E31F9D"/>
        </w:tc>
        <w:tc>
          <w:tcPr>
            <w:tcW w:w="0" w:type="auto"/>
          </w:tcPr>
          <w:p w14:paraId="0AB61BD1" w14:textId="04FFB31C" w:rsidR="00E31F9D" w:rsidRDefault="005F60CB" w:rsidP="00E31F9D">
            <w:r>
              <w:t>x</w:t>
            </w:r>
          </w:p>
        </w:tc>
        <w:tc>
          <w:tcPr>
            <w:tcW w:w="0" w:type="auto"/>
          </w:tcPr>
          <w:p w14:paraId="0755E1BE" w14:textId="77777777" w:rsidR="00E31F9D" w:rsidRDefault="00E31F9D" w:rsidP="00E31F9D"/>
        </w:tc>
        <w:tc>
          <w:tcPr>
            <w:tcW w:w="0" w:type="auto"/>
          </w:tcPr>
          <w:p w14:paraId="04C1EE13" w14:textId="77777777" w:rsidR="00E31F9D" w:rsidRDefault="00E31F9D" w:rsidP="00E31F9D"/>
        </w:tc>
        <w:tc>
          <w:tcPr>
            <w:tcW w:w="0" w:type="auto"/>
          </w:tcPr>
          <w:p w14:paraId="1ED6FD49" w14:textId="7CF08041" w:rsidR="00E31F9D" w:rsidRDefault="005F60CB" w:rsidP="00E31F9D">
            <w:r>
              <w:t>x</w:t>
            </w:r>
          </w:p>
        </w:tc>
      </w:tr>
      <w:tr w:rsidR="00E31F9D" w14:paraId="59309466" w14:textId="77777777" w:rsidTr="00E31F9D">
        <w:tc>
          <w:tcPr>
            <w:tcW w:w="0" w:type="auto"/>
          </w:tcPr>
          <w:p w14:paraId="15367D89" w14:textId="37B9F4FB" w:rsidR="00E31F9D" w:rsidRPr="001E28AD" w:rsidRDefault="00E31F9D" w:rsidP="00E31F9D">
            <w:pPr>
              <w:rPr>
                <w:sz w:val="18"/>
                <w:szCs w:val="18"/>
              </w:rPr>
            </w:pPr>
            <w:r w:rsidRPr="005F60CB">
              <w:rPr>
                <w:color w:val="FF0000"/>
                <w:sz w:val="18"/>
                <w:szCs w:val="18"/>
              </w:rPr>
              <w:t>PLGLB1</w:t>
            </w:r>
          </w:p>
        </w:tc>
        <w:tc>
          <w:tcPr>
            <w:tcW w:w="0" w:type="auto"/>
          </w:tcPr>
          <w:p w14:paraId="667AB879" w14:textId="77777777" w:rsidR="00E31F9D" w:rsidRDefault="00E31F9D" w:rsidP="00E31F9D"/>
        </w:tc>
        <w:tc>
          <w:tcPr>
            <w:tcW w:w="0" w:type="auto"/>
          </w:tcPr>
          <w:p w14:paraId="0D03F3A5" w14:textId="77777777" w:rsidR="00E31F9D" w:rsidRDefault="00E31F9D" w:rsidP="00E31F9D"/>
        </w:tc>
        <w:tc>
          <w:tcPr>
            <w:tcW w:w="0" w:type="auto"/>
          </w:tcPr>
          <w:p w14:paraId="6BA6B3D1" w14:textId="77777777" w:rsidR="00E31F9D" w:rsidRDefault="00E31F9D" w:rsidP="00E31F9D"/>
        </w:tc>
        <w:tc>
          <w:tcPr>
            <w:tcW w:w="0" w:type="auto"/>
          </w:tcPr>
          <w:p w14:paraId="754D3F93" w14:textId="77777777" w:rsidR="00E31F9D" w:rsidRDefault="00E31F9D" w:rsidP="00E31F9D"/>
        </w:tc>
        <w:tc>
          <w:tcPr>
            <w:tcW w:w="0" w:type="auto"/>
          </w:tcPr>
          <w:p w14:paraId="2F8CE4E9" w14:textId="77777777" w:rsidR="00E31F9D" w:rsidRDefault="00E31F9D" w:rsidP="00E31F9D"/>
        </w:tc>
        <w:tc>
          <w:tcPr>
            <w:tcW w:w="0" w:type="auto"/>
          </w:tcPr>
          <w:p w14:paraId="4B3697E2" w14:textId="0C594C73" w:rsidR="00E31F9D" w:rsidRDefault="005F60CB" w:rsidP="00E31F9D">
            <w:r>
              <w:t>x</w:t>
            </w:r>
          </w:p>
        </w:tc>
        <w:tc>
          <w:tcPr>
            <w:tcW w:w="0" w:type="auto"/>
          </w:tcPr>
          <w:p w14:paraId="086D9FC2" w14:textId="77777777" w:rsidR="00E31F9D" w:rsidRDefault="00E31F9D" w:rsidP="00E31F9D"/>
        </w:tc>
        <w:tc>
          <w:tcPr>
            <w:tcW w:w="0" w:type="auto"/>
          </w:tcPr>
          <w:p w14:paraId="7096831B" w14:textId="74CD8AF8" w:rsidR="00E31F9D" w:rsidRDefault="005F60CB" w:rsidP="00E31F9D">
            <w:r>
              <w:t>x</w:t>
            </w:r>
          </w:p>
        </w:tc>
      </w:tr>
    </w:tbl>
    <w:p w14:paraId="60D50517" w14:textId="2A9CECBF" w:rsidR="00E31F9D" w:rsidRDefault="005F60CB">
      <w:r w:rsidRPr="0002458F">
        <w:t>DCAF12, VNN2</w:t>
      </w:r>
      <w:r>
        <w:t>,</w:t>
      </w:r>
      <w:r w:rsidRPr="0002458F">
        <w:t xml:space="preserve"> and PLGLB1</w:t>
      </w:r>
    </w:p>
    <w:sectPr w:rsidR="00E31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Roman">
    <w:altName w:val="Times New Roman"/>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4F"/>
    <w:rsid w:val="0005140E"/>
    <w:rsid w:val="0008709A"/>
    <w:rsid w:val="000979C1"/>
    <w:rsid w:val="001C2FDC"/>
    <w:rsid w:val="001E28AD"/>
    <w:rsid w:val="005F60CB"/>
    <w:rsid w:val="006C123B"/>
    <w:rsid w:val="009B1D4F"/>
    <w:rsid w:val="00B47066"/>
    <w:rsid w:val="00CA5D47"/>
    <w:rsid w:val="00D0207E"/>
    <w:rsid w:val="00E31F9D"/>
    <w:rsid w:val="00ED6D61"/>
    <w:rsid w:val="00FB1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C56F"/>
  <w15:chartTrackingRefBased/>
  <w15:docId w15:val="{9279D56E-4055-234F-ADFA-F3ED916C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9B1D4F"/>
    <w:pPr>
      <w:spacing w:line="240" w:lineRule="atLeast"/>
    </w:pPr>
    <w:rPr>
      <w:rFonts w:ascii="Times New Roman" w:hAnsi="Times New Roman"/>
    </w:rPr>
  </w:style>
  <w:style w:type="paragraph" w:styleId="Heading1">
    <w:name w:val="heading 1"/>
    <w:aliases w:val="Chapter"/>
    <w:basedOn w:val="Normal"/>
    <w:next w:val="Normal"/>
    <w:link w:val="Heading1Char"/>
    <w:uiPriority w:val="9"/>
    <w:qFormat/>
    <w:rsid w:val="00D0207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D020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31F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CE686-AAB7-7746-9E8B-33D040668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10773</Words>
  <Characters>61412</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DEIVER SUAREZ GOMEZ</dc:creator>
  <cp:keywords/>
  <dc:description/>
  <cp:lastModifiedBy>DEIVER SUAREZ GOMEZ</cp:lastModifiedBy>
  <cp:revision>3</cp:revision>
  <dcterms:created xsi:type="dcterms:W3CDTF">2023-01-07T20:58:00Z</dcterms:created>
  <dcterms:modified xsi:type="dcterms:W3CDTF">2023-01-07T23:02:00Z</dcterms:modified>
</cp:coreProperties>
</file>