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152000" cy="11548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4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/>
          <w:color w:val="555555"/>
          <w:sz w:val="26"/>
        </w:rPr>
        <w:t>UNIVERSIDAD MARIANO GÁLVEZ</w:t>
      </w:r>
    </w:p>
    <w:p>
      <w:pPr>
        <w:spacing w:after="360"/>
        <w:jc w:val="center"/>
      </w:pPr>
      <w:r>
        <w:rPr>
          <w:color w:val="555555"/>
          <w:sz w:val="19"/>
        </w:rPr>
        <w:t>FACULTAD DE INGENIERÍA EN SISTEMAS DE INFORMACIÓN Y CIENCIAS DE LA COMPUTACIÓN</w:t>
      </w:r>
    </w:p>
    <w:p>
      <w:pPr>
        <w:spacing w:after="80"/>
        <w:jc w:val="center"/>
      </w:pPr>
      <w:r>
        <w:rPr>
          <w:b/>
          <w:color w:val="1F3B73"/>
          <w:sz w:val="38"/>
        </w:rPr>
        <w:t>Guion de la Presentación Final</w:t>
      </w:r>
    </w:p>
    <w:p>
      <w:pPr>
        <w:spacing w:after="480"/>
        <w:jc w:val="center"/>
      </w:pPr>
      <w:r>
        <w:rPr>
          <w:i/>
          <w:color w:val="555555"/>
          <w:sz w:val="23"/>
        </w:rPr>
        <w:t>Entregable final del curso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Proyecto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EDUVIAGT — Sistema Integral de Gestión de Becas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Curso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0910-037 · Análisis de Sistemas II · 8.º Ciclo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Catedrático / PO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Ing. Mario Fuentes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Equipo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EDUVIAGT — 6 integrantes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Versión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1.0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Fecha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2026-10-29</w:t>
            </w:r>
          </w:p>
        </w:tc>
      </w:tr>
    </w:tbl>
    <w:p>
      <w:pPr>
        <w:spacing w:before="360"/>
        <w:jc w:val="center"/>
      </w:pPr>
      <w:r>
        <w:rPr>
          <w:color w:val="555555"/>
          <w:sz w:val="18"/>
        </w:rPr>
        <w:t>Versión 1.0 · 2026-10-29</w:t>
      </w:r>
    </w:p>
    <w:p>
      <w:r>
        <w:br w:type="page"/>
      </w:r>
    </w:p>
    <w:p>
      <w:pPr>
        <w:pStyle w:val="Heading1"/>
      </w:pPr>
      <w:r>
        <w:t>Tabla de contenidos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</w:rPr>
        <w:t xml:space="preserve"> (Actualice el campo en Word: clic derecho → Actualizar campo) </w:t>
      </w:r>
    </w:p>
    <w:p>
      <w:r>
        <w:br w:type="page"/>
      </w:r>
    </w:p>
    <w:p>
      <w:pPr>
        <w:pStyle w:val="Heading1"/>
      </w:pPr>
      <w:r>
        <w:t>Guion de la Presentación Final</w:t>
      </w:r>
    </w:p>
    <w:p>
      <w:pPr>
        <w:ind w:left="567"/>
      </w:pPr>
      <w:r>
        <w:rPr>
          <w:i/>
          <w:color w:val="555555"/>
        </w:rPr>
        <w:t>**Proyecto:** EDUVIAGT — Sistema Integral de Gestión de Becas **Curso:** 0910-037 · Análisis de Sistemas II · 8.º Ciclo **Duración estimada:** 20–25 minutos + 5 minutos de preguntas **Base:** entregable «Presentación Final» del documento del proyecto final</w:t>
      </w:r>
    </w:p>
    <w:p>
      <w:r>
        <w:t xml:space="preserve">Este guion ordena la exposición final en </w:t>
      </w:r>
      <w:r>
        <w:rPr>
          <w:b/>
        </w:rPr>
        <w:t>10 bloques</w:t>
      </w:r>
      <w:r>
        <w:t xml:space="preserve">. Cada bloque indica el objetivo, el contenido mínimo, la evidencia disponible en el repositorio y la demostración que debe accompanyarlo. La regla principal: </w:t>
      </w:r>
      <w:r>
        <w:rPr>
          <w:b/>
        </w:rPr>
        <w:t>cada afirmación técnica se apoya en un archivo del repositorio</w:t>
      </w:r>
      <w:r>
        <w:t>; no se afirma nada que el código no respalde.</w:t>
      </w:r>
    </w:p>
    <w:p>
      <w:pPr>
        <w:pBdr>
          <w:bottom w:val="single" w:sz="6" w:space="1" w:color="1F3B73"/>
        </w:pBdr>
      </w:pPr>
    </w:p>
    <w:p>
      <w:pPr>
        <w:pStyle w:val="Heading2"/>
      </w:pPr>
      <w:r>
        <w:t>0. Preparación previa (30 minutos antes)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Verificación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Comando / acción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El proyecto compila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`npm run build`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La suite de pruebas está en verde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`npm run test:api` y `cd apps/web &amp;&amp; npm run test:e2e`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3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La base de datos de demostración está sembrada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`npx prisma db seed` en `apps/api`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4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La aplicación está levantada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`npm run up`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5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Los datos de la demo están listos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1 convocatoria abierta con monto &gt; Q10,000 (para la demo de 2.ª aprobación), 1 solicitud en `EVALUADA`, 1 sesión de comité con quórum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6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El repositorio está abierto con la rama `develop` y el historial visible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`git log --oneline --graph`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7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El diagrama de arquitectura está listo para pantalla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`docs/architecture/interactive/architecture.html`</w:t>
            </w:r>
          </w:p>
        </w:tc>
      </w:tr>
    </w:tbl>
    <w:p>
      <w:pPr>
        <w:spacing w:after="40"/>
      </w:pPr>
    </w:p>
    <w:p>
      <w:pPr>
        <w:pBdr>
          <w:bottom w:val="single" w:sz="6" w:space="1" w:color="1F3B73"/>
        </w:pBdr>
      </w:pPr>
    </w:p>
    <w:p>
      <w:pPr>
        <w:pStyle w:val="Heading2"/>
      </w:pPr>
      <w:r>
        <w:t>1. Apertura (1 min)</w:t>
      </w:r>
    </w:p>
    <w:p>
      <w:r/>
      <w:r>
        <w:rPr>
          <w:b/>
        </w:rPr>
        <w:t>Objetivo:</w:t>
      </w:r>
      <w:r>
        <w:t xml:space="preserve"> presentar el equipo y el producto en una frase.</w:t>
      </w:r>
    </w:p>
    <w:p>
      <w:pPr>
        <w:pStyle w:val="ListBullet"/>
      </w:pPr>
      <w:r>
        <w:t>Saludo al docente y a los stakeholders.</w:t>
      </w:r>
    </w:p>
    <w:p>
      <w:pPr>
        <w:pStyle w:val="ListBullet"/>
      </w:pPr>
      <w:r>
        <w:t>Presentación del equipo: 6 integrantes, roles Scrum y técnicos.</w:t>
      </w:r>
    </w:p>
    <w:p>
      <w:pPr>
        <w:pStyle w:val="ListBullet"/>
      </w:pPr>
      <w:r>
        <w:t>Frase de posicionamiento: *«EDUVIAGT sustituye el proceso manual de becas del MINEDUC por una plataforma con</w:t>
      </w:r>
    </w:p>
    <w:p>
      <w:r>
        <w:t>trazabilidad de punta a punta»*.</w:t>
      </w:r>
    </w:p>
    <w:p>
      <w:r/>
      <w:r>
        <w:rPr>
          <w:b/>
        </w:rPr>
        <w:t>Evidencia:</w:t>
      </w:r>
      <w:r>
        <w:t xml:space="preserve"> [Acta de Constitución](01-acta-constitucion-equipo.md) §2.</w:t>
      </w:r>
    </w:p>
    <w:p>
      <w:pPr>
        <w:pBdr>
          <w:bottom w:val="single" w:sz="6" w:space="1" w:color="1F3B73"/>
        </w:pBdr>
      </w:pPr>
    </w:p>
    <w:p>
      <w:pPr>
        <w:pStyle w:val="Heading2"/>
      </w:pPr>
      <w:r>
        <w:t>2. El problema y su análisis (3 min)</w:t>
      </w:r>
    </w:p>
    <w:p>
      <w:r/>
      <w:r>
        <w:rPr>
          <w:b/>
        </w:rPr>
        <w:t>Objetivo:</w:t>
      </w:r>
      <w:r>
        <w:t xml:space="preserve"> demostrar que el equipo entendió el problema antes de construir.</w:t>
      </w:r>
    </w:p>
    <w:p>
      <w:r>
        <w:t>Contenido mínimo:</w:t>
      </w:r>
    </w:p>
    <w:p>
      <w:pPr>
        <w:pStyle w:val="ListNumber"/>
      </w:pPr>
      <w:r>
        <w:t>Los seis problemas del enunciado (retrasos, duplicidad, pérdida de documentos, poca trazabilidad,</w:t>
      </w:r>
    </w:p>
    <w:p>
      <w:r>
        <w:t xml:space="preserve">dificultad estadística, falta de transparencia) y </w:t>
      </w:r>
      <w:r>
        <w:rPr>
          <w:b/>
        </w:rPr>
        <w:t>cómo se manifiestan hoy</w:t>
      </w:r>
      <w:r>
        <w:t>.</w:t>
      </w:r>
    </w:p>
    <w:p>
      <w:pPr>
        <w:pStyle w:val="ListNumber"/>
      </w:pPr>
      <w:r>
        <w:t xml:space="preserve">La </w:t>
      </w:r>
      <w:r>
        <w:rPr>
          <w:b/>
        </w:rPr>
        <w:t>causa raíz</w:t>
      </w:r>
      <w:r>
        <w:t xml:space="preserve"> de cada uno: no es «falta de herramientas», es que el proceso no tiene </w:t>
      </w:r>
      <w:r>
        <w:rPr>
          <w:b/>
        </w:rPr>
        <w:t>estado explícito</w:t>
      </w:r>
      <w:r/>
    </w:p>
    <w:p>
      <w:r>
        <w:t xml:space="preserve">(las reglas viven en la cabeza de las personas) ni </w:t>
      </w:r>
      <w:r>
        <w:rPr>
          <w:b/>
        </w:rPr>
        <w:t>registro</w:t>
      </w:r>
      <w:r>
        <w:t xml:space="preserve"> (no hay historial de las decisiones).</w:t>
      </w:r>
    </w:p>
    <w:p>
      <w:pPr>
        <w:pStyle w:val="ListNumber"/>
      </w:pPr>
      <w:r>
        <w:t>La consecuencia de negocio: sin expediente único no hay informe, sin historial no hay auditoría, sin</w:t>
      </w:r>
    </w:p>
    <w:p>
      <w:r>
        <w:t>automatismo no hay escala.</w:t>
      </w:r>
    </w:p>
    <w:p>
      <w:r/>
      <w:r>
        <w:rPr>
          <w:b/>
        </w:rPr>
        <w:t>Evidencia:</w:t>
      </w:r>
      <w:r>
        <w:t xml:space="preserve"> [Documento de Visión](03-documento-vision.md) §2–§3.</w:t>
      </w:r>
    </w:p>
    <w:p>
      <w:pPr>
        <w:pBdr>
          <w:bottom w:val="single" w:sz="6" w:space="1" w:color="1F3B73"/>
        </w:pBdr>
      </w:pPr>
    </w:p>
    <w:p>
      <w:pPr>
        <w:pStyle w:val="Heading2"/>
      </w:pPr>
      <w:r>
        <w:t>3. El producto: qué hace (3 min)</w:t>
      </w:r>
    </w:p>
    <w:p>
      <w:r/>
      <w:r>
        <w:rPr>
          <w:b/>
        </w:rPr>
        <w:t>Objetivo:</w:t>
      </w:r>
      <w:r>
        <w:t xml:space="preserve"> mostrar cobertura completa de los requisitos mínimos.</w:t>
      </w:r>
    </w:p>
    <w:p>
      <w:pPr>
        <w:pStyle w:val="ListBullet"/>
      </w:pPr>
      <w:r>
        <w:t>Recorrer el ciclo de vida en 6 pasos: **Convocatoria → Postulación → Documentación → Evaluación → Comité →</w:t>
      </w:r>
    </w:p>
    <w:p>
      <w:r>
        <w:t>Resolución**.</w:t>
      </w:r>
    </w:p>
    <w:p>
      <w:pPr>
        <w:pStyle w:val="ListBullet"/>
      </w:pPr>
      <w:r>
        <w:t xml:space="preserve">Marcar en pantalla dónde se cumple cada uno de los </w:t>
      </w:r>
      <w:r>
        <w:rPr>
          <w:b/>
        </w:rPr>
        <w:t>9 requisitos mínimos</w:t>
      </w:r>
      <w:r>
        <w:t xml:space="preserve"> del enunciado con una tabla de</w:t>
      </w:r>
    </w:p>
    <w:p>
      <w:r>
        <w:t>cobertura (requisito → módulo → historia → endpoint).</w:t>
      </w:r>
    </w:p>
    <w:p>
      <w:pPr>
        <w:pStyle w:val="ListBullet"/>
      </w:pPr>
      <w:r>
        <w:t>Destacar dos funcionalidades que van más allá del mínimo:</w:t>
      </w:r>
    </w:p>
    <w:p>
      <w:pPr>
        <w:pStyle w:val="ListBullet2"/>
      </w:pPr>
      <w:r/>
      <w:r>
        <w:rPr>
          <w:b/>
        </w:rPr>
        <w:t>Segunda aprobación por monto</w:t>
      </w:r>
      <w:r>
        <w:t xml:space="preserve"> (&gt; Q10,000) — separación de poderes.</w:t>
      </w:r>
    </w:p>
    <w:p>
      <w:pPr>
        <w:pStyle w:val="ListBullet2"/>
      </w:pPr>
      <w:r/>
      <w:r>
        <w:rPr>
          <w:b/>
        </w:rPr>
        <w:t>Montos flexibles por tramos de ingreso familiar</w:t>
      </w:r>
      <w:r>
        <w:t xml:space="preserve"> — la política económica es un dato, no código.</w:t>
      </w:r>
    </w:p>
    <w:p>
      <w:r/>
      <w:r>
        <w:rPr>
          <w:b/>
        </w:rPr>
        <w:t>Evidencia:</w:t>
      </w:r>
      <w:r>
        <w:t xml:space="preserve"> [Documento de Diseño](07-documento-diseno.md) §2.2 · [Documento de Visión](03-documento-vision.md) §5.</w:t>
      </w:r>
    </w:p>
    <w:p>
      <w:r/>
      <w:r>
        <w:rPr>
          <w:b/>
        </w:rPr>
        <w:t>Demostración (3 min):</w:t>
      </w:r>
      <w:r/>
    </w:p>
    <w:p>
      <w:pPr>
        <w:pStyle w:val="ListNumber"/>
      </w:pPr>
      <w:r>
        <w:t>Portal público: listado de convocatorias con filtros → detalle.</w:t>
      </w:r>
    </w:p>
    <w:p>
      <w:pPr>
        <w:pStyle w:val="ListNumber"/>
      </w:pPr>
      <w:r>
        <w:t>Login de postulante → dashboard → formulario multi-paso → carga de un documento → checklist → envío.</w:t>
      </w:r>
    </w:p>
    <w:p>
      <w:pPr>
        <w:pStyle w:val="ListNumber"/>
      </w:pPr>
      <w:r>
        <w:t>Consulta pública del estado por código.</w:t>
      </w:r>
    </w:p>
    <w:p>
      <w:pPr>
        <w:pBdr>
          <w:bottom w:val="single" w:sz="6" w:space="1" w:color="1F3B73"/>
        </w:pBdr>
      </w:pPr>
    </w:p>
    <w:p>
      <w:pPr>
        <w:pStyle w:val="Heading2"/>
      </w:pPr>
      <w:r>
        <w:t>4. Arquitectura: qué decidimos y por qué (4 min)</w:t>
      </w:r>
    </w:p>
    <w:p>
      <w:r/>
      <w:r>
        <w:rPr>
          <w:b/>
        </w:rPr>
        <w:t>Objetivo:</w:t>
      </w:r>
      <w:r>
        <w:t xml:space="preserve"> mostrar el razonamiento arquitectónico, no solo el resultado.</w:t>
      </w:r>
    </w:p>
    <w:p>
      <w:pPr>
        <w:pStyle w:val="ListNumber"/>
      </w:pPr>
      <w:r/>
      <w:r>
        <w:rPr>
          <w:b/>
        </w:rPr>
        <w:t>El estilo elegido:</w:t>
      </w:r>
      <w:r>
        <w:t xml:space="preserve"> monolito modular por capas, en un monorepo con dos aplicaciones independientes.</w:t>
      </w:r>
    </w:p>
    <w:p>
      <w:pPr>
        <w:pStyle w:val="ListNumber"/>
      </w:pPr>
      <w:r/>
      <w:r>
        <w:rPr>
          <w:b/>
        </w:rPr>
        <w:t>El razonamiento en 30 segundos:</w:t>
      </w:r>
      <w:r>
        <w:t xml:space="preserve"> el problema es un flujo lineal con reglas de estado complejas y fuerte</w:t>
      </w:r>
    </w:p>
    <w:p>
      <w:r>
        <w:t xml:space="preserve">necesidad de trazabilidad; </w:t>
      </w:r>
      <w:r>
        <w:rPr>
          <w:b/>
        </w:rPr>
        <w:t>no</w:t>
      </w:r>
      <w:r>
        <w:t xml:space="preserve"> es un problema de escala o de distribución. Un monolito modular da bajo acoplamiento sin el costo operativo de los microservicios, y deja la puerta abierta a la extracción.</w:t>
      </w:r>
    </w:p>
    <w:p>
      <w:pPr>
        <w:pStyle w:val="ListNumber"/>
      </w:pPr>
      <w:r/>
      <w:r>
        <w:rPr>
          <w:b/>
        </w:rPr>
        <w:t>La respuesta a los 6 criterios del enunciado</w:t>
      </w:r>
      <w:r>
        <w:t xml:space="preserve"> (mantenibilidad, escalabilidad, bajo acoplamiento,</w:t>
      </w:r>
    </w:p>
    <w:p>
      <w:r>
        <w:t>reutilización, facilidad de cambio, complejidad) — dar una línea por criterio, sin leer la tabla.</w:t>
      </w:r>
    </w:p>
    <w:p>
      <w:pPr>
        <w:pStyle w:val="ListNumber"/>
      </w:pPr>
      <w:r/>
      <w:r>
        <w:rPr>
          <w:b/>
        </w:rPr>
        <w:t>El argumento decisivo:</w:t>
      </w:r>
      <w:r>
        <w:t xml:space="preserve"> la regla que más cambia (transiciones) está </w:t>
      </w:r>
      <w:r>
        <w:rPr>
          <w:b/>
        </w:rPr>
        <w:t>expresada como datos</w:t>
      </w:r>
      <w:r>
        <w:t>, y los</w:t>
      </w:r>
    </w:p>
    <w:p>
      <w:r>
        <w:t>requisitos nuevos del Sprint 8 se incorporaron sin reescribir el dominio.</w:t>
      </w:r>
    </w:p>
    <w:p>
      <w:pPr>
        <w:pStyle w:val="ListNumber"/>
      </w:pPr>
      <w:r/>
      <w:r>
        <w:rPr>
          <w:b/>
        </w:rPr>
        <w:t>Los trade-offs asumidos</w:t>
      </w:r>
      <w:r>
        <w:t>, con honestidad: sin Repository, sin bus de eventos, sin caché, rate limiting en</w:t>
      </w:r>
    </w:p>
    <w:p>
      <w:r>
        <w:t>memoria. Se enuncian como deuda técnica declarada, no como decisiones sublimes.</w:t>
      </w:r>
    </w:p>
    <w:p>
      <w:r/>
      <w:r>
        <w:rPr>
          <w:b/>
        </w:rPr>
        <w:t>Evidencia:</w:t>
      </w:r>
      <w:r>
        <w:t xml:space="preserve"> [Justificación de la Arquitectura](05-justificacion-arquitectura.md) §3 y §6 · [Documento de Arquitectura](04-documento-arquitectura.md).</w:t>
      </w:r>
    </w:p>
    <w:p>
      <w:r/>
      <w:r>
        <w:rPr>
          <w:b/>
        </w:rPr>
        <w:t>Soporte visual:</w:t>
      </w:r>
      <w:r>
        <w:t xml:space="preserve"> diagrama de componentes y diagrama de clases del dominio ([Documento de Diseño](07-documento-diseno.md) §4).</w:t>
      </w:r>
    </w:p>
    <w:p>
      <w:pPr>
        <w:pBdr>
          <w:bottom w:val="single" w:sz="6" w:space="1" w:color="1F3B73"/>
        </w:pBdr>
      </w:pPr>
    </w:p>
    <w:p>
      <w:pPr>
        <w:pStyle w:val="Heading2"/>
      </w:pPr>
      <w:r>
        <w:t>5. Patrones de diseño (4 min)</w:t>
      </w:r>
    </w:p>
    <w:p>
      <w:r/>
      <w:r>
        <w:rPr>
          <w:b/>
        </w:rPr>
        <w:t>Objetivo:</w:t>
      </w:r>
      <w:r>
        <w:t xml:space="preserve"> Demostrar que los patrones resuelven problemas reales, y no que se copiaron de un catálogo.</w:t>
      </w:r>
    </w:p>
    <w:p>
      <w:r/>
      <w:r>
        <w:rPr>
          <w:b/>
        </w:rPr>
        <w:t>Formato para cada patrón (máximo 40 segundos):</w:t>
      </w:r>
      <w:r>
        <w:t xml:space="preserve"> problema → por qué ese patrón → qué alternativa se descartó.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Patrón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Frase clave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**State**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La FSM es una **tabla de transiciones**: añadir el estado de segunda aprobación fue editar datos, no reescribir lógica.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**Chain of Responsibility**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Excepción individual → permiso del rol → **denegar**. Con el `DefaultDenyHandler` como último eslabón, el sistema **falla cerrado**.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3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**Adapter**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El dominio no sabe si el fichero vive en disco o en S3; migrar es cambiar un binding de token.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4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**Proxy**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El asistente nunca deja al usuario sin respuesta: si el LLM falla o expira, degrada a la base de conocimiento local.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5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**Strategy**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El sistema funciona **con y sin IA externa**: el CI es determinista porque siempre resuelve al fallback.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6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**Decorator**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`@Permisos(...)` deja la política de acceso **en una línea, junto al endpoint**, con un único punto de enforcement.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7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**Singleton / Factory DI**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Un solo pool de conexiones; los cuatro puntos de entrada al exterior se construyen en un único lugar.</w:t>
            </w:r>
          </w:p>
        </w:tc>
      </w:tr>
    </w:tbl>
    <w:p>
      <w:pPr>
        <w:spacing w:after="40"/>
      </w:pPr>
    </w:p>
    <w:p>
      <w:r/>
      <w:r>
        <w:rPr>
          <w:b/>
        </w:rPr>
        <w:t>Remate honesto (30 segundos):</w:t>
      </w:r>
      <w:r>
        <w:t xml:space="preserve"> los patrones que </w:t>
      </w:r>
      <w:r>
        <w:rPr>
          <w:b/>
        </w:rPr>
        <w:t>no</w:t>
      </w:r>
      <w:r>
        <w:t xml:space="preserve"> están implementados (Observer, Builder, Repository, CQRS) están documentados como tales, y los de uso parcial (Template Method, Command, Circuit Breaker) se declaran parciales con su limitación concreta.</w:t>
      </w:r>
    </w:p>
    <w:p>
      <w:r/>
      <w:r>
        <w:rPr>
          <w:b/>
        </w:rPr>
        <w:t>Evidencia:</w:t>
      </w:r>
      <w:r>
        <w:t xml:space="preserve"> [Justificación de Patrones](06-justificacion-patrones-de-diseno.md) — con las 4 preguntas por patrón.</w:t>
      </w:r>
    </w:p>
    <w:p>
      <w:pPr>
        <w:pBdr>
          <w:bottom w:val="single" w:sz="6" w:space="1" w:color="1F3B73"/>
        </w:pBdr>
      </w:pPr>
    </w:p>
    <w:p>
      <w:pPr>
        <w:pStyle w:val="Heading2"/>
      </w:pPr>
      <w:r>
        <w:t>6. SOLID y calidad del diseño (2 min)</w:t>
      </w:r>
    </w:p>
    <w:p>
      <w:r/>
      <w:r>
        <w:rPr>
          <w:b/>
        </w:rPr>
        <w:t>Objetivo:</w:t>
      </w:r>
      <w:r>
        <w:t xml:space="preserve"> mostrar disciplina de diseño, no solo cumplimiento.</w:t>
      </w:r>
    </w:p>
    <w:p>
      <w:pPr>
        <w:pStyle w:val="ListBullet"/>
      </w:pPr>
      <w:r>
        <w:t xml:space="preserve">Una línea por principio con </w:t>
      </w:r>
      <w:r>
        <w:rPr>
          <w:b/>
        </w:rPr>
        <w:t>un ejemplo real del repositorio</w:t>
      </w:r>
      <w:r>
        <w:t>:</w:t>
      </w:r>
    </w:p>
    <w:p>
      <w:pPr>
        <w:pStyle w:val="ListBullet2"/>
      </w:pPr>
      <w:r/>
      <w:r>
        <w:rPr>
          <w:b/>
        </w:rPr>
        <w:t>S</w:t>
      </w:r>
      <w:r>
        <w:t xml:space="preserve">: </w:t>
      </w:r>
      <w:r>
        <w:rPr>
          <w:rFonts w:ascii="Consolas" w:hAnsi="Consolas"/>
          <w:color w:val="8B0000"/>
          <w:sz w:val="19"/>
        </w:rPr>
        <w:t>AuthService</w:t>
      </w:r>
      <w:r>
        <w:t xml:space="preserve"> / </w:t>
      </w:r>
      <w:r>
        <w:rPr>
          <w:rFonts w:ascii="Consolas" w:hAnsi="Consolas"/>
          <w:color w:val="8B0000"/>
          <w:sz w:val="19"/>
        </w:rPr>
        <w:t>EliminarCuentaService</w:t>
      </w:r>
      <w:r>
        <w:t xml:space="preserve"> / </w:t>
      </w:r>
      <w:r>
        <w:rPr>
          <w:rFonts w:ascii="Consolas" w:hAnsi="Consolas"/>
          <w:color w:val="8B0000"/>
          <w:sz w:val="19"/>
        </w:rPr>
        <w:t>MontosService</w:t>
      </w:r>
      <w:r>
        <w:t xml:space="preserve"> separados.</w:t>
      </w:r>
    </w:p>
    <w:p>
      <w:pPr>
        <w:pStyle w:val="ListBullet2"/>
      </w:pPr>
      <w:r/>
      <w:r>
        <w:rPr>
          <w:b/>
        </w:rPr>
        <w:t>O</w:t>
      </w:r>
      <w:r>
        <w:t>: añadir un proveedor de IA o un estado es extender una tabla o registrar un provider.</w:t>
      </w:r>
    </w:p>
    <w:p>
      <w:pPr>
        <w:pStyle w:val="ListBullet2"/>
      </w:pPr>
      <w:r/>
      <w:r>
        <w:rPr>
          <w:b/>
        </w:rPr>
        <w:t>L</w:t>
      </w:r>
      <w:r>
        <w:t xml:space="preserve">: </w:t>
      </w:r>
      <w:r>
        <w:rPr>
          <w:rFonts w:ascii="Consolas" w:hAnsi="Consolas"/>
          <w:color w:val="8B0000"/>
          <w:sz w:val="19"/>
        </w:rPr>
        <w:t>DocumentStorage</w:t>
      </w:r>
      <w:r>
        <w:t xml:space="preserve"> con </w:t>
      </w:r>
      <w:r>
        <w:rPr>
          <w:rFonts w:ascii="Consolas" w:hAnsi="Consolas"/>
          <w:color w:val="8B0000"/>
          <w:sz w:val="19"/>
        </w:rPr>
        <w:t>FilesystemStorageAdapter</w:t>
      </w:r>
      <w:r>
        <w:t xml:space="preserve"> sustituible.</w:t>
      </w:r>
    </w:p>
    <w:p>
      <w:pPr>
        <w:pStyle w:val="ListBullet2"/>
      </w:pPr>
      <w:r/>
      <w:r>
        <w:rPr>
          <w:b/>
        </w:rPr>
        <w:t>I</w:t>
      </w:r>
      <w:r>
        <w:t>: interfaces segregadas por dominio (</w:t>
      </w:r>
      <w:r>
        <w:rPr>
          <w:rFonts w:ascii="Consolas" w:hAnsi="Consolas"/>
          <w:color w:val="8B0000"/>
          <w:sz w:val="19"/>
        </w:rPr>
        <w:t>DocumentStorage</w:t>
      </w:r>
      <w:r>
        <w:t xml:space="preserve">, </w:t>
      </w:r>
      <w:r>
        <w:rPr>
          <w:rFonts w:ascii="Consolas" w:hAnsi="Consolas"/>
          <w:color w:val="8B0000"/>
          <w:sz w:val="19"/>
        </w:rPr>
        <w:t>PdfRenderer</w:t>
      </w:r>
      <w:r>
        <w:t xml:space="preserve">, </w:t>
      </w:r>
      <w:r>
        <w:rPr>
          <w:rFonts w:ascii="Consolas" w:hAnsi="Consolas"/>
          <w:color w:val="8B0000"/>
          <w:sz w:val="19"/>
        </w:rPr>
        <w:t>ProveedorIA</w:t>
      </w:r>
      <w:r>
        <w:t>).</w:t>
      </w:r>
    </w:p>
    <w:p>
      <w:pPr>
        <w:pStyle w:val="ListBullet2"/>
      </w:pPr>
      <w:r/>
      <w:r>
        <w:rPr>
          <w:b/>
        </w:rPr>
        <w:t>D</w:t>
      </w:r>
      <w:r>
        <w:t>: los servicios dependen de interfaces, no de implementaciones concretas.</w:t>
      </w:r>
    </w:p>
    <w:p>
      <w:pPr>
        <w:pStyle w:val="ListBullet"/>
      </w:pPr>
      <w:r>
        <w:t>La evidencia de que el diseño aguanta el cambio: **5 requisitos nuevos en el Sprint 8 sin reescribir el</w:t>
      </w:r>
    </w:p>
    <w:p>
      <w:r>
        <w:t>dominio**.</w:t>
      </w:r>
    </w:p>
    <w:p>
      <w:r/>
      <w:r>
        <w:rPr>
          <w:b/>
        </w:rPr>
        <w:t>Evidencia:</w:t>
      </w:r>
      <w:r>
        <w:t xml:space="preserve"> [</w:t>
      </w:r>
      <w:r>
        <w:rPr>
          <w:rFonts w:ascii="Consolas" w:hAnsi="Consolas"/>
          <w:color w:val="8B0000"/>
          <w:sz w:val="19"/>
        </w:rPr>
        <w:t>docs/architecture/solid-principles.md</w:t>
      </w:r>
      <w:r>
        <w:t>](../architecture/solid-principles.md).</w:t>
      </w:r>
    </w:p>
    <w:p>
      <w:pPr>
        <w:pBdr>
          <w:bottom w:val="single" w:sz="6" w:space="1" w:color="1F3B73"/>
        </w:pBdr>
      </w:pPr>
    </w:p>
    <w:p>
      <w:pPr>
        <w:pStyle w:val="Heading2"/>
      </w:pPr>
      <w:r>
        <w:t>7. Proceso: Scrum, Git y calidad (3 min)</w:t>
      </w:r>
    </w:p>
    <w:p>
      <w:r/>
      <w:r>
        <w:rPr>
          <w:b/>
        </w:rPr>
        <w:t>Objetivo:</w:t>
      </w:r>
      <w:r>
        <w:t xml:space="preserve"> mostrar que el equipo trabajó con disciplina, no solo que sabe programar.</w:t>
      </w:r>
    </w:p>
    <w:p>
      <w:pPr>
        <w:pStyle w:val="ListNumber"/>
      </w:pPr>
      <w:r/>
      <w:r>
        <w:rPr>
          <w:b/>
        </w:rPr>
        <w:t>Scrum:</w:t>
      </w:r>
      <w:r>
        <w:t xml:space="preserve"> 9 sprints, cada uno con </w:t>
      </w:r>
      <w:r>
        <w:rPr>
          <w:rFonts w:ascii="Consolas" w:hAnsi="Consolas"/>
          <w:color w:val="8B0000"/>
          <w:sz w:val="19"/>
        </w:rPr>
        <w:t>goal.md</w:t>
      </w:r>
      <w:r>
        <w:t xml:space="preserve">, </w:t>
      </w:r>
      <w:r>
        <w:rPr>
          <w:rFonts w:ascii="Consolas" w:hAnsi="Consolas"/>
          <w:color w:val="8B0000"/>
          <w:sz w:val="19"/>
        </w:rPr>
        <w:t>backlog.md</w:t>
      </w:r>
      <w:r>
        <w:t xml:space="preserve">, </w:t>
      </w:r>
      <w:r>
        <w:rPr>
          <w:rFonts w:ascii="Consolas" w:hAnsi="Consolas"/>
          <w:color w:val="8B0000"/>
          <w:sz w:val="19"/>
        </w:rPr>
        <w:t>daily-log.md</w:t>
      </w:r>
      <w:r>
        <w:t xml:space="preserve">, </w:t>
      </w:r>
      <w:r>
        <w:rPr>
          <w:rFonts w:ascii="Consolas" w:hAnsi="Consolas"/>
          <w:color w:val="8B0000"/>
          <w:sz w:val="19"/>
        </w:rPr>
        <w:t>review.md</w:t>
      </w:r>
      <w:r>
        <w:t xml:space="preserve"> y </w:t>
      </w:r>
      <w:r>
        <w:rPr>
          <w:rFonts w:ascii="Consolas" w:hAnsi="Consolas"/>
          <w:color w:val="8B0000"/>
          <w:sz w:val="19"/>
        </w:rPr>
        <w:t>retrospective.md</w:t>
      </w:r>
      <w:r>
        <w:t>.</w:t>
      </w:r>
    </w:p>
    <w:p>
      <w:r>
        <w:t xml:space="preserve">Enseñar el árbol de </w:t>
      </w:r>
      <w:r>
        <w:rPr>
          <w:rFonts w:ascii="Consolas" w:hAnsi="Consolas"/>
          <w:color w:val="8B0000"/>
          <w:sz w:val="19"/>
        </w:rPr>
        <w:t>docs/scrum/</w:t>
      </w:r>
      <w:r>
        <w:t xml:space="preserve"> — la estructura habla por sí misma.</w:t>
      </w:r>
    </w:p>
    <w:p>
      <w:pPr>
        <w:pStyle w:val="ListNumber"/>
      </w:pPr>
      <w:r/>
      <w:r>
        <w:rPr>
          <w:b/>
        </w:rPr>
        <w:t>Git:</w:t>
      </w:r>
      <w:r>
        <w:t xml:space="preserve"> mostrar el historial (</w:t>
      </w:r>
      <w:r>
        <w:rPr>
          <w:rFonts w:ascii="Consolas" w:hAnsi="Consolas"/>
          <w:color w:val="8B0000"/>
          <w:sz w:val="19"/>
        </w:rPr>
        <w:t>git log --oneline --graph</w:t>
      </w:r>
      <w:r>
        <w:t xml:space="preserve">) con Conventional Commits, ramas </w:t>
      </w:r>
      <w:r>
        <w:rPr>
          <w:rFonts w:ascii="Consolas" w:hAnsi="Consolas"/>
          <w:color w:val="8B0000"/>
          <w:sz w:val="19"/>
        </w:rPr>
        <w:t>feature/*</w:t>
      </w:r>
      <w:r>
        <w:t>,</w:t>
      </w:r>
    </w:p>
    <w:p>
      <w:r/>
      <w:r>
        <w:rPr>
          <w:rFonts w:ascii="Consolas" w:hAnsi="Consolas"/>
          <w:color w:val="8B0000"/>
          <w:sz w:val="19"/>
        </w:rPr>
        <w:t>develop</w:t>
      </w:r>
      <w:r>
        <w:t xml:space="preserve"> como rama de integración y </w:t>
      </w:r>
      <w:r>
        <w:rPr>
          <w:rFonts w:ascii="Consolas" w:hAnsi="Consolas"/>
          <w:color w:val="8B0000"/>
          <w:sz w:val="19"/>
        </w:rPr>
        <w:t>master</w:t>
      </w:r>
      <w:r>
        <w:t xml:space="preserve"> protegida. Enseñar </w:t>
      </w:r>
      <w:r>
        <w:rPr>
          <w:b/>
        </w:rPr>
        <w:t>un PR con revisión real</w:t>
      </w:r>
      <w:r>
        <w:t xml:space="preserve"> (con los comentarios 🔴🟡🟢).</w:t>
      </w:r>
    </w:p>
    <w:p>
      <w:pPr>
        <w:pStyle w:val="ListNumber"/>
      </w:pPr>
      <w:r/>
      <w:r>
        <w:rPr>
          <w:b/>
        </w:rPr>
        <w:t>Calidad:</w:t>
      </w:r>
      <w:r>
        <w:t xml:space="preserve"> 26 suites unitarias + 8 E2E con axe, umbral de cobertura, 6 jobs de CI, code review obligatorio</w:t>
      </w:r>
    </w:p>
    <w:p>
      <w:r>
        <w:t>y DoD con 10 puntos.</w:t>
      </w:r>
    </w:p>
    <w:p>
      <w:pPr>
        <w:pStyle w:val="ListNumber"/>
      </w:pPr>
      <w:r/>
      <w:r>
        <w:rPr>
          <w:b/>
        </w:rPr>
        <w:t>Documentación:</w:t>
      </w:r>
      <w:r>
        <w:t xml:space="preserve"> </w:t>
      </w:r>
      <w:r>
        <w:rPr>
          <w:rFonts w:ascii="Consolas" w:hAnsi="Consolas"/>
          <w:color w:val="8B0000"/>
          <w:sz w:val="19"/>
        </w:rPr>
        <w:t>docs/</w:t>
      </w:r>
      <w:r>
        <w:t xml:space="preserve"> con índice maestro, 22 ADR, diagramas Mermaid y los 15 entregables del curso.</w:t>
      </w:r>
    </w:p>
    <w:p>
      <w:pPr>
        <w:pStyle w:val="ListNumber"/>
      </w:pPr>
      <w:r/>
      <w:r>
        <w:rPr>
          <w:b/>
        </w:rPr>
        <w:t>Deuda técnica declarada:</w:t>
      </w:r>
      <w:r>
        <w:t xml:space="preserve"> mencionar que el equipo </w:t>
      </w:r>
      <w:r>
        <w:rPr>
          <w:b/>
        </w:rPr>
        <w:t>documenta lo que no está resuelto</w:t>
      </w:r>
      <w:r>
        <w:t xml:space="preserve"> y por qué.</w:t>
      </w:r>
    </w:p>
    <w:p>
      <w:r/>
      <w:r>
        <w:rPr>
          <w:b/>
        </w:rPr>
        <w:t>Evidencia:</w:t>
      </w:r>
      <w:r>
        <w:t xml:space="preserve"> [</w:t>
      </w:r>
      <w:r>
        <w:rPr>
          <w:rFonts w:ascii="Consolas" w:hAnsi="Consolas"/>
          <w:color w:val="8B0000"/>
          <w:sz w:val="19"/>
        </w:rPr>
        <w:t>docs/scrum/</w:t>
      </w:r>
      <w:r>
        <w:t>](../scrum/) · [</w:t>
      </w:r>
      <w:r>
        <w:rPr>
          <w:rFonts w:ascii="Consolas" w:hAnsi="Consolas"/>
          <w:color w:val="8B0000"/>
          <w:sz w:val="19"/>
        </w:rPr>
        <w:t>docs/standards/git-conventions.md</w:t>
      </w:r>
      <w:r>
        <w:t>](../standards/git-conventions.md) · [Plan de Calidad](08-plan-aseguramiento-calidad.md) · [Plan de Pruebas](09-plan-pruebas-agil.md).</w:t>
      </w:r>
    </w:p>
    <w:p>
      <w:pPr>
        <w:pBdr>
          <w:bottom w:val="single" w:sz="6" w:space="1" w:color="1F3B73"/>
        </w:pBdr>
      </w:pPr>
    </w:p>
    <w:p>
      <w:pPr>
        <w:pStyle w:val="Heading2"/>
      </w:pPr>
      <w:r>
        <w:t>8. Adaptación al cambio (2 min)</w:t>
      </w:r>
    </w:p>
    <w:p>
      <w:r/>
      <w:r>
        <w:rPr>
          <w:b/>
        </w:rPr>
        <w:t>Objetivo:</w:t>
      </w:r>
      <w:r>
        <w:t xml:space="preserve"> demostrar la capacidad que el enunciado evalúa explícitamente («adaptarse al cambio»).</w:t>
      </w:r>
    </w:p>
    <w:p>
      <w:r>
        <w:t>Presentar la tabla de cambios recibidos y respuesta del equipo (Sprint 8):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Cambio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Respuesta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Impacto arquitectónico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Segunda aprobación &gt; Q10,000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Nuevo estado en la FSM + `SolicitudAprobacion` + validación en servidor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**Ninguno**: se extender la tabla de transiciones y añadir un eslabón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Montos por estrato socioeconómico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`ConvocatoriaReglaMonto` configurable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**Ninguno**: la política es un dato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Derecho al olvido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Anonimización conservando la trazabilidad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**Ninguno**: servicio nuevo, dominio intacto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Exigencia de auditoría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Bitácora *append-only* + auditoría reforzada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**Ninguno**: transversal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Accesibilidad WCAG 2.2 AA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Foco, skip link, contraste, `prefers-reduced-motion`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**Ninguno**: transversal de frontend</w:t>
            </w:r>
          </w:p>
        </w:tc>
      </w:tr>
    </w:tbl>
    <w:p>
      <w:pPr>
        <w:spacing w:after="40"/>
      </w:pPr>
    </w:p>
    <w:p>
      <w:r/>
      <w:r>
        <w:rPr>
          <w:b/>
        </w:rPr>
        <w:t>Frase de cierre del bloque:</w:t>
      </w:r>
      <w:r>
        <w:t xml:space="preserve"> </w:t>
      </w:r>
      <w:r>
        <w:rPr>
          <w:i/>
        </w:rPr>
        <w:t>«El arquitectura que elegimos es lo que hizo que ninguno de estos cambios requiriera un rediseño.»</w:t>
      </w:r>
      <w:r/>
    </w:p>
    <w:p>
      <w:r/>
      <w:r>
        <w:rPr>
          <w:b/>
        </w:rPr>
        <w:t>Evidencia:</w:t>
      </w:r>
      <w:r>
        <w:t xml:space="preserve"> [Documento de Visión](03-documento-vision.md) §7 · ADR-012 a ADR-016.</w:t>
      </w:r>
    </w:p>
    <w:p>
      <w:pPr>
        <w:pBdr>
          <w:bottom w:val="single" w:sz="6" w:space="1" w:color="1F3B73"/>
        </w:pBdr>
      </w:pPr>
    </w:p>
    <w:p>
      <w:pPr>
        <w:pStyle w:val="Heading2"/>
      </w:pPr>
      <w:r>
        <w:t>9. Estado actual y cierre (2 min)</w:t>
      </w:r>
    </w:p>
    <w:p>
      <w:r/>
      <w:r>
        <w:rPr>
          <w:b/>
        </w:rPr>
        <w:t>Objetivo:</w:t>
      </w:r>
      <w:r>
        <w:t xml:space="preserve"> cerrar con honestidad y con lo que queda.</w:t>
      </w:r>
    </w:p>
    <w:p>
      <w:pPr>
        <w:pStyle w:val="ListNumber"/>
      </w:pPr>
      <w:r/>
      <w:r>
        <w:rPr>
          <w:b/>
        </w:rPr>
        <w:t>Lo que funciona:</w:t>
      </w:r>
      <w:r>
        <w:t xml:space="preserve"> los 9 requisitos del enunciado, más segunda aprobación, montos flexibles, bitácora,</w:t>
      </w:r>
    </w:p>
    <w:p>
      <w:r>
        <w:t>anonimización, accesibilidad, asistente y CI/CD.</w:t>
      </w:r>
    </w:p>
    <w:p>
      <w:pPr>
        <w:pStyle w:val="ListNumber"/>
      </w:pPr>
      <w:r/>
      <w:r>
        <w:rPr>
          <w:b/>
        </w:rPr>
        <w:t>Lo que no está terminado:</w:t>
      </w:r>
      <w:r>
        <w:t xml:space="preserve"> la tabla de deuda técnica (§14 del Manual Técnico) leída en voz alta y con</w:t>
      </w:r>
    </w:p>
    <w:p>
      <w:r>
        <w:t>su mitigación.</w:t>
      </w:r>
    </w:p>
    <w:p>
      <w:pPr>
        <w:pStyle w:val="ListNumber"/>
      </w:pPr>
      <w:r/>
      <w:r>
        <w:rPr>
          <w:b/>
        </w:rPr>
        <w:t>Lo que vendría después:</w:t>
      </w:r>
      <w:r>
        <w:t xml:space="preserve"> pagos y conciliación bancaria, formalización de contratos, renovación de becas,</w:t>
      </w:r>
    </w:p>
    <w:p>
      <w:r>
        <w:t>lista de espera, 2FA, almacenamiento en la nube, RAG con embeddings, app móvil — el backlog futuro ya está priorizado.</w:t>
      </w:r>
    </w:p>
    <w:p>
      <w:pPr>
        <w:pStyle w:val="ListNumber"/>
      </w:pPr>
      <w:r/>
      <w:r>
        <w:rPr>
          <w:b/>
        </w:rPr>
        <w:t>Aprendizajes del equipo:</w:t>
      </w:r>
      <w:r>
        <w:t xml:space="preserve"> qué aprendieron sobre Scrum, arquitectura y control de versiones que no sabían al</w:t>
      </w:r>
    </w:p>
    <w:p>
      <w:r>
        <w:t>empezar.</w:t>
      </w:r>
    </w:p>
    <w:p>
      <w:pPr>
        <w:pBdr>
          <w:bottom w:val="single" w:sz="6" w:space="1" w:color="1F3B73"/>
        </w:pBdr>
      </w:pPr>
    </w:p>
    <w:p>
      <w:pPr>
        <w:pStyle w:val="Heading2"/>
      </w:pPr>
      <w:r>
        <w:t>10. Preguntas y cierre (5 min)</w:t>
      </w:r>
    </w:p>
    <w:p>
      <w:pPr>
        <w:pStyle w:val="ListBullet"/>
      </w:pPr>
      <w:r>
        <w:t>Agradecer al docente y a los stakeholders.</w:t>
      </w:r>
    </w:p>
    <w:p>
      <w:pPr>
        <w:pStyle w:val="ListBullet"/>
      </w:pPr>
      <w:r>
        <w:t>Dejar los enlaces al repositorio, a la documentación y a la demostración desplegada.</w:t>
      </w:r>
    </w:p>
    <w:p>
      <w:r/>
      <w:r>
        <w:rPr>
          <w:b/>
        </w:rPr>
        <w:t>Preguntas previsibles del docente y respuesta prepared: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Pregunta probable</w:t>
            </w:r>
          </w:p>
        </w:tc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Respuesta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«¿Por qué no usaron microservicios?»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El volumen y el tamaño del equipo no lo justifican; el monolito modular deja la puerta abierta a la extracción. Ver [Justificación de la Arquitectura](05-justificacion-arquitectura.md) §3.6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«¿Cómo garantizan que nadie aprobé su propia beca?»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La validación es **en el servidor** (`AuthzService.assertSegundaAprobacion`), no en la interfaz: la segunda firma debe ser de otra persona. Ver [Documento de Diseño](07-documento-diseno.md) UC-31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«¿Qué pasa si el LLM externo se cae?»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El Proxy degrada automáticamente al modo de base de conocimiento local; el usuario siempre recibe respuesta. Ver [Justificación de Patrones](06-justificacion-patrones-de-diseno.md) §3.4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«¿Su cobertura de pruebas es suficiente?»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Está por encima del umbral definido por el equipo, pero reconocemos que 49 % en *statements* deja bordes sin cubrir; la mejora está priorizada en el Sprint 9. Ver [Plan de Pruebas](09-plan-pruebas-agil.md)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«¿Cómo manejan los datos personales?»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Minimización, validación estricta de ficheros, anonimización en la eliminación de cuenta y bitácora *append-only*. Ver [Manual Técnico](10-manual-tecnico.md) §12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«¿Qué patrón les costó más?»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El más discutido fue State: la primera versión usaba condicionales y se volvió inmanejable; la tabla de transiciones fue la respuesta. Ver [Justificación de Patrones](06-justificacion-patrones-de-diseno.md) §3.6</w:t>
            </w:r>
          </w:p>
        </w:tc>
      </w:tr>
    </w:tbl>
    <w:p>
      <w:pPr>
        <w:spacing w:after="40"/>
      </w:pPr>
    </w:p>
    <w:p>
      <w:pPr>
        <w:pBdr>
          <w:bottom w:val="single" w:sz="6" w:space="1" w:color="1F3B73"/>
        </w:pBdr>
      </w:pPr>
    </w:p>
    <w:p>
      <w:pPr>
        <w:pStyle w:val="Heading2"/>
      </w:pPr>
      <w:r>
        <w:t>Material de apoyo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Ubicación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Diagrama interactivo de arquitectura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`docs/architecture/interactive/architecture.html`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Diagramas Mermaid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`docs/architecture/diagrams.md`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Demo funcional desplegada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entorno de staging (job `deploy-staging`)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Datos de demostración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`docs/architecture/datos-demostracion.md`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Manuales de usuario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`docs/manual-usuario/`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Índice de toda la documentación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`docs/README.md`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Índice de los entregables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[`docs/entregables/README.md`](README.md)</w:t>
            </w:r>
          </w:p>
        </w:tc>
      </w:tr>
    </w:tbl>
    <w:p>
      <w:pPr>
        <w:spacing w:after="40"/>
      </w:pPr>
    </w:p>
    <w:p>
      <w:pPr>
        <w:pBdr>
          <w:bottom w:val="single" w:sz="6" w:space="1" w:color="1F3B73"/>
        </w:pBdr>
      </w:pPr>
    </w:p>
    <w:p>
      <w:r/>
      <w:r>
        <w:rPr>
          <w:i/>
        </w:rPr>
        <w:t>Última actualización: 2026-10-28</w:t>
      </w:r>
      <w:r/>
    </w:p>
    <w:sectPr w:rsidR="00FC693F" w:rsidRPr="0006063C" w:rsidSect="00034616">
      <w:headerReference w:type="default" r:id="rId10"/>
      <w:footerReference w:type="default" r:id="rId11"/>
      <w:pgSz w:w="12240" w:h="15840"/>
      <w:pgMar w:top="1134" w:right="1247" w:bottom="1134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7"/>
      </w:rPr>
      <w:t xml:space="preserve">EDUVIAGT · Guion de la Presentación Final · Página </w:t>
    </w:r>
    <w:r>
      <w:rPr>
        <w:color w:val="555555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7"/>
      </w:rPr>
      <w:t xml:space="preserve">   Guion de la Presentación Final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B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3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3B7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80" w:before="80" w:line="240" w:lineRule="auto"/>
      <w:ind w:left="340" w:right="227"/>
    </w:pPr>
    <w:rPr>
      <w:rFonts w:ascii="Consolas" w:hAnsi="Consolas" w:cs="Consolas"/>
      <w:color w:val="1A1A1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