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Índice de Entregables</w:t>
      </w:r>
    </w:p>
    <w:p>
      <w:pPr>
        <w:spacing w:after="480"/>
        <w:jc w:val="center"/>
      </w:pPr>
      <w:r>
        <w:rPr>
          <w:i/>
          <w:color w:val="555555"/>
          <w:sz w:val="23"/>
        </w:rPr>
        <w:t>Mapa de requisitos, trazabilidad y convenciones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Curso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0910-037 · Análisis de Sistemas II · 8.º Ciclo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Catedrático / 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Ing. Mario Fuentes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Equipo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6 integrantes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Entregables del Proyecto Final — EDUVIAGT</w:t>
      </w:r>
    </w:p>
    <w:p>
      <w:pPr>
        <w:ind w:left="567"/>
      </w:pPr>
      <w:r>
        <w:rPr>
          <w:i/>
          <w:color w:val="555555"/>
        </w:rPr>
        <w:t>Sistema Integral de Gestión de Becas — Ministerio de Educación de Guatemala Curso: 0910-037 · Análisis de Sistemas II · 8.º Ciclo Catedrático / Product Owner: Ing. Mario Fuentes Equipo: 6 integrantes · Metodología: Scrum (2 semanas por sprint)</w:t>
      </w:r>
    </w:p>
    <w:p>
      <w:r>
        <w:t xml:space="preserve">Esta carpeta consolida los </w:t>
      </w:r>
      <w:r>
        <w:rPr>
          <w:b/>
        </w:rPr>
        <w:t>entregables formales</w:t>
      </w:r>
      <w:r>
        <w:t xml:space="preserve"> exigidos por el documento del proyecto ("Plataforma Nacional para la Gestión Integral de Becas", v0.3) y sus anexos (Anexos 1 a 7). Cada documento es un entregable autónomo, listo para ser entregado y evaluado, y referencia la documentación técnica de </w:t>
      </w:r>
      <w:r>
        <w:rPr>
          <w:rFonts w:ascii="Consolas" w:hAnsi="Consolas"/>
          <w:color w:val="8B0000"/>
          <w:sz w:val="19"/>
        </w:rPr>
        <w:t>docs/architecture/</w:t>
      </w:r>
      <w:r>
        <w:t xml:space="preserve">, </w:t>
      </w:r>
      <w:r>
        <w:rPr>
          <w:rFonts w:ascii="Consolas" w:hAnsi="Consolas"/>
          <w:color w:val="8B0000"/>
          <w:sz w:val="19"/>
        </w:rPr>
        <w:t>docs/scrum/</w:t>
      </w:r>
      <w:r>
        <w:t xml:space="preserve">, </w:t>
      </w:r>
      <w:r>
        <w:rPr>
          <w:rFonts w:ascii="Consolas" w:hAnsi="Consolas"/>
          <w:color w:val="8B0000"/>
          <w:sz w:val="19"/>
        </w:rPr>
        <w:t>docs/standards/</w:t>
      </w:r>
      <w:r>
        <w:t xml:space="preserve">, </w:t>
      </w:r>
      <w:r>
        <w:rPr>
          <w:rFonts w:ascii="Consolas" w:hAnsi="Consolas"/>
          <w:color w:val="8B0000"/>
          <w:sz w:val="19"/>
        </w:rPr>
        <w:t>docs/operations/</w:t>
      </w:r>
      <w:r>
        <w:t xml:space="preserve"> y </w:t>
      </w:r>
      <w:r>
        <w:rPr>
          <w:rFonts w:ascii="Consolas" w:hAnsi="Consolas"/>
          <w:color w:val="8B0000"/>
          <w:sz w:val="19"/>
        </w:rPr>
        <w:t>docs/pruebas/</w:t>
      </w:r>
      <w:r>
        <w:t xml:space="preserve"> como evidencia de respaldo.</w:t>
      </w:r>
    </w:p>
    <w:p>
      <w:pPr>
        <w:pBdr>
          <w:bottom w:val="single" w:sz="6" w:space="1" w:color="1F3B73"/>
        </w:pBdr>
      </w:pPr>
    </w:p>
    <w:p>
      <w:pPr>
        <w:pStyle w:val="Heading2"/>
      </w:pPr>
      <w:r>
        <w:t>1. Inventario de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Anexo de referencia</w:t>
            </w:r>
          </w:p>
        </w:tc>
        <w:tc>
          <w:tcPr>
            <w:tcW w:type="dxa" w:w="19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01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Acta de Constitución del Equipo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[01-acta-constitucion-equipo.md](01-acta-constitucion-equipo.md)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Anexo 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02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Política de Trabajo en Grupo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[02-politica-trabajo-grupo.md](02-politica-trabajo-grupo.md)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Anexo 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03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Documento de Visión y Product Backlog Inicial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[03-documento-vision.md](03-documento-vision.md)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Anexo 4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04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Documento de Arquitectura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[04-documento-arquitectura.md](04-documento-arquitectura.md)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Anexo 5 §2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05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Justificación de la Arquitectura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[05-justificacion-arquitectura.md](05-justificacion-arquitectura.md)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Anexo 5 §2.2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06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Justificación de Patrones de Diseño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[06-justificacion-patrones-de-diseno.md](06-justificacion-patrones-de-diseno.md)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Cuerpo principal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07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Documento de Diseño del Sistema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[07-documento-diseno.md](07-documento-diseno.md)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Anexo 5 §3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08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Plan de Aseguramiento de Calidad Ágil (QAP)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[08-plan-aseguramiento-calidad.md](08-plan-aseguramiento-calidad.md)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Anexo 6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09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Plan de Pruebas Ágil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[09-plan-pruebas-agil.md](09-plan-pruebas-agil.md)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Anexo 7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10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Manual Técnico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[10-manual-tecnico.md](10-manual-tecnico.md)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Entregables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11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Plantilla de Minuta de Sprint Review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[11-plantilla-minuta-sprint-review.md](11-plantilla-minuta-sprint-review.md)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Anexo 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b/>
                <w:sz w:val="19"/>
              </w:rPr>
              <w:t>12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Guion de la Presentación Final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[12-guion-presentacion-final.md](12-guion-presentacion-final.md)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Entregables</w:t>
            </w:r>
          </w:p>
        </w:tc>
        <w:tc>
          <w:tcPr>
            <w:tcW w:type="dxa" w:w="1949"/>
          </w:tcPr>
          <w:p>
            <w:r/>
            <w:r>
              <w:rPr>
                <w:sz w:val="19"/>
              </w:rPr>
              <w:t>Completo</w:t>
            </w:r>
          </w:p>
        </w:tc>
      </w:tr>
    </w:tbl>
    <w:p>
      <w:pPr>
        <w:spacing w:after="40"/>
      </w:pPr>
    </w:p>
    <w:p>
      <w:pPr>
        <w:pStyle w:val="Heading3"/>
      </w:pPr>
      <w:r>
        <w:t>Documentos ya existentes que también son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Entregable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Ubicación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Product Backlog (actualizado por sprint)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[`docs/scrum/product-backlog.md`](../scrum/product-backlog.md)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Casos de uso y diagramas UML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[`docs/architecture/diagrams.md`](../architecture/diagrams.md) y [`07-documento-diseno.md`](07-documento-diseno.md)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Manual de Usuario (6 roles)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[`docs/manual-usuario/`](../manual-usuario/README.md)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Código fuente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[`apps/api/`](../../apps/api) · [`apps/web/`](../../apps/web)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Repositorio Git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Historial completo en la rama `develop`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Evidencias de Sprint (goal, backlog, daily, review, retrospective)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[`docs/scrum/`](../scrum/)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2. Trazabilidad: requisito del proyecto → evidencia</w:t>
      </w:r>
    </w:p>
    <w:p>
      <w:pPr>
        <w:pStyle w:val="Heading3"/>
      </w:pPr>
      <w:r>
        <w:t>2.1 Requisitos funcionales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 del proyecto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Módulo / artefacto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Evidencia en el repositorio</w:t>
            </w:r>
          </w:p>
        </w:tc>
        <w:tc>
          <w:tcPr>
            <w:tcW w:type="dxa" w:w="2436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Entregable que lo documenta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Administrar convocatorias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`apps/api/src/convocatorias/`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`convocatoria-state-machine.ts`, `convocatorias.controller.ts`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[04](04-documento-arquitectura.md) §4.1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Registrar estudiantes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`apps/api/src/auth/` + `users/`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`auth.controller.ts` (`POST /auth/registro`), rol `POSTULANTE`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[03](03-documento-vision.md) §5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Gestionar solicitudes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`apps/api/src/solicitudes/`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`solicitudes.service.ts`, `solicitud-state-machine.ts`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[04](04-documento-arquitectura.md) §4.2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Cargar documentación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`apps/api/src/storage/` + `solicitudes/`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`DocumentStorage` + `FilesystemStorageAdapter`, `SolicitudDocumentoService`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[07](07-documento-diseno.md) §4.3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Administrar evaluaciones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`apps/api/src/evaluaciones/`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`evaluaciones.controller.ts`, score ponderado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[04](04-documento-arquitectura.md) §4.3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Gestionar comités evaluadores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`apps/api/src/comites/` + `sesiones/`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`comites.controller.ts`, `sesiones.controller.ts`, quórum y votación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[04](04-documento-arquitectura.md) §4.4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Aprobar o rechazar solicitudes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`apps/api/src/sesiones/` + `solicitudes/`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`Decision`, `SolicitudAprobacion`, 2ª aprobación &gt; Q10,000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[07](07-documento-diseno.md) §4.5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Consultar el estado de una beca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`apps/api/src/solicitudes/` + web `/consulta`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`GET /solicitudes/consulta/:codigo` (`@Public()`)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[03](03-documento-vision.md) §5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sz w:val="19"/>
              </w:rPr>
              <w:t>Generar reportes básicos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`apps/api/src/reportes/`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11 endpoints de agregación + export CSV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[04](04-documento-arquitectura.md) §4.5</w:t>
            </w:r>
          </w:p>
        </w:tc>
      </w:tr>
    </w:tbl>
    <w:p>
      <w:pPr>
        <w:spacing w:after="40"/>
      </w:pPr>
    </w:p>
    <w:p>
      <w:pPr>
        <w:pStyle w:val="Heading3"/>
      </w:pPr>
      <w:r>
        <w:t>2.2 Requisitos de proceso (Scrum, Git, Calidad)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Exigencia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Cómo se cumple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Scrum con las 6 ceremonias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Planning + backlog + sprint backlog + desarrollo + review + retrospectiva por sprint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[`docs/scrum/sprint-0..9/`](../scrum/) — cada sprint tiene `goal.md`, `backlog.md`, `daily-log.md`, `review.md`, `retrospective.md`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Ramas, PR, code review, historial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`develop` como rama de integración; `master` protegida; PR obligatorio con al menos 1 aprobación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[`docs/standards/git-conventions.md`](../standards/git-conventions.md), `docs/team/roles.md`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No trabajar sobre `main`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Toda rama de trabajo nace de `develop` y vuelve por PR con squash merge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`docs/standards/git-conventions.md`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SOLID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5 principios con ejemplos reales y archivo:línea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[`docs/architecture/solid-principles.md`](../architecture/solid-principles.md)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Patrones de diseño (2C + 2E + 2Co mínimo)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8 patrones implementados y justificados (2 creacionales, 3 estructurales, 3 de comportamiento)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[06-justificacion-patrones-de-diseno.md](06-justificacion-patrones-de-diseno.md)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Pruebas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26 suites unitarias API + 8 suites E2E Playwright con axe; cobertura mínima 49/40/48/49 %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[09-plan-pruebas-agil.md](09-plan-pruebas-agil.md)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Documentación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Arquitectura, SOLID, patrones, ADRs, diagramas, manuales, Scrum, pruebas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`docs/README.md` (índice maestro)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Adaptabilidad a cambios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Sprint 8responde a 3 requisitos nuevos sin romper arquitectura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[03](03-documento-vision.md) §7 · [04](04-documento-arquitectura.md) §7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3. Criterios de evaluación del proyecto → dónde se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4873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Evidencia principal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Analizar el problema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[03-documento-vision.md](03-documento-vision.md) §1–§3 (antecedentes, problema, visión)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Tomar decisiones de arquitectura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[04](04-documento-arquitectura.md) · [05](05-justificacion-arquitectura.md) · 22 ADR en [`docs/architecture/decisions.md`](../architecture/decisions.md)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Justificar técnicamente las elecciones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[05](05-justificacion-arquitectura.md) · [06](06-justificacion-patrones-de-diseno.md)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Adaptarse al cambio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[03](03-documento-vision.md) §7 · [04](04-documento-arquitectura.md) §7 · Sprint 8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Aplicar correctamente patrones de diseño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[06-justificacion-patrones-de-diseno.md](06-justificacion-patrones-de-diseno.md)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Mantener historial ordenado en Git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Historial Conventional Commits + PRs + `docs/standards/git-conventions.md`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Trabajar colaborativamente mediante Scrum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[01](01-acta-constitucion-equipo.md) §6 (WBS) · [02](02-politica-trabajo-grupo.md) · `docs/scrum/`</w:t>
            </w:r>
          </w:p>
        </w:tc>
      </w:tr>
    </w:tbl>
    <w:p>
      <w:pPr>
        <w:spacing w:after="40"/>
      </w:pPr>
    </w:p>
    <w:p>
      <w:pPr>
        <w:pBdr>
          <w:bottom w:val="single" w:sz="6" w:space="1" w:color="1F3B73"/>
        </w:pBdr>
      </w:pPr>
    </w:p>
    <w:p>
      <w:pPr>
        <w:pStyle w:val="Heading2"/>
      </w:pPr>
      <w:r>
        <w:t>4. Convenciones</w:t>
      </w:r>
    </w:p>
    <w:p>
      <w:pPr>
        <w:pStyle w:val="ListBullet"/>
      </w:pPr>
      <w:r>
        <w:t>Todos los documentos de esta carpeta usan la misma convención de encabezados y tablas que el</w:t>
      </w:r>
    </w:p>
    <w:p>
      <w:r>
        <w:t xml:space="preserve">resto de </w:t>
      </w:r>
      <w:r>
        <w:rPr>
          <w:rFonts w:ascii="Consolas" w:hAnsi="Consolas"/>
          <w:color w:val="8B0000"/>
          <w:sz w:val="19"/>
        </w:rPr>
        <w:t>docs/</w:t>
      </w:r>
      <w:r>
        <w:t>.</w:t>
      </w:r>
    </w:p>
    <w:p>
      <w:pPr>
        <w:pStyle w:val="ListBullet"/>
      </w:pPr>
      <w:r>
        <w:t xml:space="preserve">Las referencias a código se escriben como </w:t>
      </w:r>
      <w:r>
        <w:rPr>
          <w:rFonts w:ascii="Consolas" w:hAnsi="Consolas"/>
          <w:color w:val="8B0000"/>
          <w:sz w:val="19"/>
        </w:rPr>
        <w:t>ruta/archivo.ts:línea</w:t>
      </w:r>
      <w:r>
        <w:t xml:space="preserve"> para permitir la verificación directa.</w:t>
      </w:r>
    </w:p>
    <w:p>
      <w:pPr>
        <w:pStyle w:val="ListBullet"/>
      </w:pPr>
      <w:r>
        <w:t xml:space="preserve">Cuando un documento afirma algo que el código contradice, </w:t>
      </w:r>
      <w:r>
        <w:rPr>
          <w:b/>
        </w:rPr>
        <w:t>el código manda</w:t>
      </w:r>
      <w:r>
        <w:t xml:space="preserve"> y el documento debe corregirse</w:t>
      </w:r>
    </w:p>
    <w:p>
      <w:r>
        <w:t xml:space="preserve">(mismo criterio que </w:t>
      </w:r>
      <w:r>
        <w:rPr>
          <w:rFonts w:ascii="Consolas" w:hAnsi="Consolas"/>
          <w:color w:val="8B0000"/>
          <w:sz w:val="19"/>
        </w:rPr>
        <w:t>docs/architecture/diagrams.md</w:t>
      </w:r>
      <w:r>
        <w:t>).</w:t>
      </w:r>
    </w:p>
    <w:p>
      <w:pPr>
        <w:pStyle w:val="ListBullet"/>
      </w:pPr>
      <w:r>
        <w:t xml:space="preserve">Los campos marcados con </w:t>
      </w:r>
      <w:r>
        <w:rPr>
          <w:rFonts w:ascii="Consolas" w:hAnsi="Consolas"/>
          <w:color w:val="8B0000"/>
          <w:sz w:val="19"/>
        </w:rPr>
        <w:t>[PENDIENTE]</w:t>
      </w:r>
      <w:r>
        <w:t xml:space="preserve"> requieren confirmación del equipo antes de la entrega final.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2026-10-28</w:t>
      </w:r>
      <w:r/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Índice de Entregables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Índice de Entregables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