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152000" cy="1154824"/>
            <wp:docPr id="1" name="Picture 1"/>
            <wp:cNvGraphicFramePr>
              <a:graphicFrameLocks noChangeAspect="1"/>
            </wp:cNvGraphicFramePr>
            <a:graphic>
              <a:graphicData uri="http://schemas.openxmlformats.org/drawingml/2006/picture">
                <pic:pic>
                  <pic:nvPicPr>
                    <pic:cNvPr id="0" name="Umg.png"/>
                    <pic:cNvPicPr/>
                  </pic:nvPicPr>
                  <pic:blipFill>
                    <a:blip r:embed="rId9"/>
                    <a:stretch>
                      <a:fillRect/>
                    </a:stretch>
                  </pic:blipFill>
                  <pic:spPr>
                    <a:xfrm>
                      <a:off x="0" y="0"/>
                      <a:ext cx="1152000" cy="1154824"/>
                    </a:xfrm>
                    <a:prstGeom prst="rect"/>
                  </pic:spPr>
                </pic:pic>
              </a:graphicData>
            </a:graphic>
          </wp:inline>
        </w:drawing>
      </w:r>
    </w:p>
    <w:p>
      <w:pPr>
        <w:spacing w:after="0"/>
        <w:jc w:val="center"/>
      </w:pPr>
      <w:r>
        <w:rPr>
          <w:b/>
          <w:color w:val="555555"/>
          <w:sz w:val="26"/>
        </w:rPr>
        <w:t>UNIVERSIDAD MARIANO GÁLVEZ</w:t>
      </w:r>
    </w:p>
    <w:p>
      <w:pPr>
        <w:spacing w:after="360"/>
        <w:jc w:val="center"/>
      </w:pPr>
      <w:r>
        <w:rPr>
          <w:color w:val="555555"/>
          <w:sz w:val="19"/>
        </w:rPr>
        <w:t>FACULTAD DE INGENIERÍA EN SISTEMAS DE INFORMACIÓN Y CIENCIAS DE LA COMPUTACIÓN</w:t>
      </w:r>
    </w:p>
    <w:p>
      <w:pPr>
        <w:spacing w:after="80"/>
        <w:jc w:val="center"/>
      </w:pPr>
      <w:r>
        <w:rPr>
          <w:b/>
          <w:color w:val="1F3B73"/>
          <w:sz w:val="38"/>
        </w:rPr>
        <w:t>Justificación de la Arquitectura</w:t>
      </w:r>
    </w:p>
    <w:p>
      <w:pPr>
        <w:spacing w:after="480"/>
        <w:jc w:val="center"/>
      </w:pPr>
      <w:r>
        <w:rPr>
          <w:i/>
          <w:color w:val="555555"/>
          <w:sz w:val="23"/>
        </w:rPr>
        <w:t>6 criterios del enunciado</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EAEFF7"/>
          </w:tcPr>
          <w:p>
            <w:r/>
            <w:r>
              <w:rPr>
                <w:b/>
                <w:color w:val="1F3B73"/>
                <w:sz w:val="20"/>
              </w:rPr>
              <w:t>Proyecto</w:t>
            </w:r>
          </w:p>
        </w:tc>
        <w:tc>
          <w:tcPr>
            <w:tcW w:type="dxa" w:w="6236"/>
          </w:tcPr>
          <w:p>
            <w:r/>
            <w:r>
              <w:rPr>
                <w:sz w:val="20"/>
              </w:rPr>
              <w:t>EDUVIAGT — Sistema Integral de Gestión de Becas</w:t>
            </w:r>
          </w:p>
        </w:tc>
      </w:tr>
      <w:tr>
        <w:tc>
          <w:tcPr>
            <w:tcW w:type="dxa" w:w="3118"/>
            <w:shd w:val="clear" w:color="auto" w:fill="EAEFF7"/>
          </w:tcPr>
          <w:p>
            <w:r/>
            <w:r>
              <w:rPr>
                <w:b/>
                <w:color w:val="1F3B73"/>
                <w:sz w:val="20"/>
              </w:rPr>
              <w:t>Curso</w:t>
            </w:r>
          </w:p>
        </w:tc>
        <w:tc>
          <w:tcPr>
            <w:tcW w:type="dxa" w:w="6236"/>
          </w:tcPr>
          <w:p>
            <w:r/>
            <w:r>
              <w:rPr>
                <w:sz w:val="20"/>
              </w:rPr>
              <w:t>0910-037 · Análisis de Sistemas II · 8.º Ciclo</w:t>
            </w:r>
          </w:p>
        </w:tc>
      </w:tr>
      <w:tr>
        <w:tc>
          <w:tcPr>
            <w:tcW w:type="dxa" w:w="3118"/>
            <w:shd w:val="clear" w:color="auto" w:fill="EAEFF7"/>
          </w:tcPr>
          <w:p>
            <w:r/>
            <w:r>
              <w:rPr>
                <w:b/>
                <w:color w:val="1F3B73"/>
                <w:sz w:val="20"/>
              </w:rPr>
              <w:t>Catedrático / PO</w:t>
            </w:r>
          </w:p>
        </w:tc>
        <w:tc>
          <w:tcPr>
            <w:tcW w:type="dxa" w:w="6236"/>
          </w:tcPr>
          <w:p>
            <w:r/>
            <w:r>
              <w:rPr>
                <w:sz w:val="20"/>
              </w:rPr>
              <w:t>Ing. Mario Fuentes</w:t>
            </w:r>
          </w:p>
        </w:tc>
      </w:tr>
      <w:tr>
        <w:tc>
          <w:tcPr>
            <w:tcW w:type="dxa" w:w="3118"/>
            <w:shd w:val="clear" w:color="auto" w:fill="EAEFF7"/>
          </w:tcPr>
          <w:p>
            <w:r/>
            <w:r>
              <w:rPr>
                <w:b/>
                <w:color w:val="1F3B73"/>
                <w:sz w:val="20"/>
              </w:rPr>
              <w:t>Equipo</w:t>
            </w:r>
          </w:p>
        </w:tc>
        <w:tc>
          <w:tcPr>
            <w:tcW w:type="dxa" w:w="6236"/>
          </w:tcPr>
          <w:p>
            <w:r/>
            <w:r>
              <w:rPr>
                <w:sz w:val="20"/>
              </w:rPr>
              <w:t>EDUVIAGT — 6 integrantes</w:t>
            </w:r>
          </w:p>
        </w:tc>
      </w:tr>
      <w:tr>
        <w:tc>
          <w:tcPr>
            <w:tcW w:type="dxa" w:w="3118"/>
            <w:shd w:val="clear" w:color="auto" w:fill="EAEFF7"/>
          </w:tcPr>
          <w:p>
            <w:r/>
            <w:r>
              <w:rPr>
                <w:b/>
                <w:color w:val="1F3B73"/>
                <w:sz w:val="20"/>
              </w:rPr>
              <w:t>Versión</w:t>
            </w:r>
          </w:p>
        </w:tc>
        <w:tc>
          <w:tcPr>
            <w:tcW w:type="dxa" w:w="6236"/>
          </w:tcPr>
          <w:p>
            <w:r/>
            <w:r>
              <w:rPr>
                <w:sz w:val="20"/>
              </w:rPr>
              <w:t>1.0</w:t>
            </w:r>
          </w:p>
        </w:tc>
      </w:tr>
      <w:tr>
        <w:tc>
          <w:tcPr>
            <w:tcW w:type="dxa" w:w="3118"/>
            <w:shd w:val="clear" w:color="auto" w:fill="EAEFF7"/>
          </w:tcPr>
          <w:p>
            <w:r/>
            <w:r>
              <w:rPr>
                <w:b/>
                <w:color w:val="1F3B73"/>
                <w:sz w:val="20"/>
              </w:rPr>
              <w:t>Fecha</w:t>
            </w:r>
          </w:p>
        </w:tc>
        <w:tc>
          <w:tcPr>
            <w:tcW w:type="dxa" w:w="6236"/>
          </w:tcPr>
          <w:p>
            <w:r/>
            <w:r>
              <w:rPr>
                <w:sz w:val="20"/>
              </w:rPr>
              <w:t>2026-10-29</w:t>
            </w:r>
          </w:p>
        </w:tc>
      </w:tr>
    </w:tbl>
    <w:p>
      <w:pPr>
        <w:spacing w:before="360"/>
        <w:jc w:val="center"/>
      </w:pPr>
      <w:r>
        <w:rPr>
          <w:color w:val="555555"/>
          <w:sz w:val="18"/>
        </w:rPr>
        <w:t>Versión 1.0 · 2026-10-29</w:t>
      </w:r>
    </w:p>
    <w:p>
      <w:r>
        <w:br w:type="page"/>
      </w:r>
    </w:p>
    <w:p>
      <w:pPr>
        <w:pStyle w:val="Heading1"/>
      </w:pPr>
      <w:r>
        <w:t>Tabla de contenidos</w:t>
      </w:r>
    </w:p>
    <w:p>
      <w:r>
        <w:fldChar w:fldCharType="begin"/>
        <w:instrText xml:space="preserve">TOC \o "1-3" \h \z \u</w:instrText>
        <w:fldChar w:fldCharType="separate"/>
        <w:fldChar w:fldCharType="end"/>
      </w:r>
    </w:p>
    <w:p>
      <w:r>
        <w:rPr>
          <w:i/>
        </w:rPr>
        <w:t xml:space="preserve"> (Actualice el campo en Word: clic derecho → Actualizar campo) </w:t>
      </w:r>
    </w:p>
    <w:p>
      <w:r>
        <w:br w:type="page"/>
      </w:r>
    </w:p>
    <w:p>
      <w:pPr>
        <w:pStyle w:val="Heading1"/>
      </w:pPr>
      <w:r>
        <w:t>Justificación de la Arquitectura</w:t>
      </w:r>
    </w:p>
    <w:p>
      <w:pPr>
        <w:ind w:left="567"/>
      </w:pPr>
      <w:r>
        <w:rPr>
          <w:i/>
          <w:color w:val="555555"/>
        </w:rPr>
        <w:t>**Proyecto:** EDUVIAGT — Sistema Integral de Gestión de Becas **Curso:** 0910-037 · Análisis de Sistemas II · 8.º Ciclo **Versión:** 1.0 · **Fecha:** 2026-10-28 **Base:** sección «Arquitectura de Software» del documento del proyecto final Documento complementario a [04-documento-arquitectura.md](04-documento-arquitectura.md)</w:t>
      </w:r>
    </w:p>
    <w:p>
      <w:pPr>
        <w:pBdr>
          <w:bottom w:val="single" w:sz="6" w:space="1" w:color="1F3B73"/>
        </w:pBdr>
      </w:pPr>
    </w:p>
    <w:p>
      <w:pPr>
        <w:pStyle w:val="Heading2"/>
      </w:pPr>
      <w:r>
        <w:t>1. Propósito</w:t>
      </w:r>
    </w:p>
    <w:p>
      <w:r>
        <w:t>El documento del proyecto exige que la arquitectura seleccionada sea justificada considerando explícitamente: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w:t>
            </w:r>
          </w:p>
        </w:tc>
        <w:tc>
          <w:tcPr>
            <w:tcW w:type="dxa" w:w="3249"/>
            <w:shd w:val="clear" w:color="auto" w:fill="1F3B73"/>
          </w:tcPr>
          <w:p>
            <w:r/>
            <w:r>
              <w:rPr>
                <w:b/>
                <w:color w:val="FFFFFF"/>
                <w:sz w:val="19"/>
              </w:rPr>
              <w:t>Criterio exigido por el enunciado</w:t>
            </w:r>
          </w:p>
        </w:tc>
        <w:tc>
          <w:tcPr>
            <w:tcW w:type="dxa" w:w="3249"/>
            <w:shd w:val="clear" w:color="auto" w:fill="1F3B73"/>
          </w:tcPr>
          <w:p>
            <w:r/>
            <w:r>
              <w:rPr>
                <w:b/>
                <w:color w:val="FFFFFF"/>
                <w:sz w:val="19"/>
              </w:rPr>
              <w:t>Sección que lo responde</w:t>
            </w:r>
          </w:p>
        </w:tc>
      </w:tr>
      <w:tr>
        <w:tc>
          <w:tcPr>
            <w:tcW w:type="dxa" w:w="3249"/>
          </w:tcPr>
          <w:p>
            <w:r/>
            <w:r>
              <w:rPr>
                <w:b/>
                <w:sz w:val="19"/>
              </w:rPr>
              <w:t>1</w:t>
            </w:r>
          </w:p>
        </w:tc>
        <w:tc>
          <w:tcPr>
            <w:tcW w:type="dxa" w:w="3249"/>
          </w:tcPr>
          <w:p>
            <w:r/>
            <w:r>
              <w:rPr>
                <w:sz w:val="19"/>
              </w:rPr>
              <w:t>Mantenibilidad</w:t>
            </w:r>
          </w:p>
        </w:tc>
        <w:tc>
          <w:tcPr>
            <w:tcW w:type="dxa" w:w="3249"/>
          </w:tcPr>
          <w:p>
            <w:r/>
            <w:r>
              <w:rPr>
                <w:sz w:val="19"/>
              </w:rPr>
              <w:t>§3.1</w:t>
            </w:r>
          </w:p>
        </w:tc>
      </w:tr>
      <w:tr>
        <w:tc>
          <w:tcPr>
            <w:tcW w:type="dxa" w:w="3249"/>
          </w:tcPr>
          <w:p>
            <w:r/>
            <w:r>
              <w:rPr>
                <w:b/>
                <w:sz w:val="19"/>
              </w:rPr>
              <w:t>2</w:t>
            </w:r>
          </w:p>
        </w:tc>
        <w:tc>
          <w:tcPr>
            <w:tcW w:type="dxa" w:w="3249"/>
          </w:tcPr>
          <w:p>
            <w:r/>
            <w:r>
              <w:rPr>
                <w:sz w:val="19"/>
              </w:rPr>
              <w:t>Escalabilidad</w:t>
            </w:r>
          </w:p>
        </w:tc>
        <w:tc>
          <w:tcPr>
            <w:tcW w:type="dxa" w:w="3249"/>
          </w:tcPr>
          <w:p>
            <w:r/>
            <w:r>
              <w:rPr>
                <w:sz w:val="19"/>
              </w:rPr>
              <w:t>§3.2</w:t>
            </w:r>
          </w:p>
        </w:tc>
      </w:tr>
      <w:tr>
        <w:tc>
          <w:tcPr>
            <w:tcW w:type="dxa" w:w="3249"/>
          </w:tcPr>
          <w:p>
            <w:r/>
            <w:r>
              <w:rPr>
                <w:b/>
                <w:sz w:val="19"/>
              </w:rPr>
              <w:t>3</w:t>
            </w:r>
          </w:p>
        </w:tc>
        <w:tc>
          <w:tcPr>
            <w:tcW w:type="dxa" w:w="3249"/>
          </w:tcPr>
          <w:p>
            <w:r/>
            <w:r>
              <w:rPr>
                <w:sz w:val="19"/>
              </w:rPr>
              <w:t>Bajo acoplamiento</w:t>
            </w:r>
          </w:p>
        </w:tc>
        <w:tc>
          <w:tcPr>
            <w:tcW w:type="dxa" w:w="3249"/>
          </w:tcPr>
          <w:p>
            <w:r/>
            <w:r>
              <w:rPr>
                <w:sz w:val="19"/>
              </w:rPr>
              <w:t>§3.3</w:t>
            </w:r>
          </w:p>
        </w:tc>
      </w:tr>
      <w:tr>
        <w:tc>
          <w:tcPr>
            <w:tcW w:type="dxa" w:w="3249"/>
          </w:tcPr>
          <w:p>
            <w:r/>
            <w:r>
              <w:rPr>
                <w:b/>
                <w:sz w:val="19"/>
              </w:rPr>
              <w:t>4</w:t>
            </w:r>
          </w:p>
        </w:tc>
        <w:tc>
          <w:tcPr>
            <w:tcW w:type="dxa" w:w="3249"/>
          </w:tcPr>
          <w:p>
            <w:r/>
            <w:r>
              <w:rPr>
                <w:sz w:val="19"/>
              </w:rPr>
              <w:t>Reutilización</w:t>
            </w:r>
          </w:p>
        </w:tc>
        <w:tc>
          <w:tcPr>
            <w:tcW w:type="dxa" w:w="3249"/>
          </w:tcPr>
          <w:p>
            <w:r/>
            <w:r>
              <w:rPr>
                <w:sz w:val="19"/>
              </w:rPr>
              <w:t>§3.4</w:t>
            </w:r>
          </w:p>
        </w:tc>
      </w:tr>
      <w:tr>
        <w:tc>
          <w:tcPr>
            <w:tcW w:type="dxa" w:w="3249"/>
          </w:tcPr>
          <w:p>
            <w:r/>
            <w:r>
              <w:rPr>
                <w:b/>
                <w:sz w:val="19"/>
              </w:rPr>
              <w:t>5</w:t>
            </w:r>
          </w:p>
        </w:tc>
        <w:tc>
          <w:tcPr>
            <w:tcW w:type="dxa" w:w="3249"/>
          </w:tcPr>
          <w:p>
            <w:r/>
            <w:r>
              <w:rPr>
                <w:sz w:val="19"/>
              </w:rPr>
              <w:t>Facilidad para realizar cambios futuros</w:t>
            </w:r>
          </w:p>
        </w:tc>
        <w:tc>
          <w:tcPr>
            <w:tcW w:type="dxa" w:w="3249"/>
          </w:tcPr>
          <w:p>
            <w:r/>
            <w:r>
              <w:rPr>
                <w:sz w:val="19"/>
              </w:rPr>
              <w:t>§3.5</w:t>
            </w:r>
          </w:p>
        </w:tc>
      </w:tr>
      <w:tr>
        <w:tc>
          <w:tcPr>
            <w:tcW w:type="dxa" w:w="3249"/>
          </w:tcPr>
          <w:p>
            <w:r/>
            <w:r>
              <w:rPr>
                <w:b/>
                <w:sz w:val="19"/>
              </w:rPr>
              <w:t>6</w:t>
            </w:r>
          </w:p>
        </w:tc>
        <w:tc>
          <w:tcPr>
            <w:tcW w:type="dxa" w:w="3249"/>
          </w:tcPr>
          <w:p>
            <w:r/>
            <w:r>
              <w:rPr>
                <w:sz w:val="19"/>
              </w:rPr>
              <w:t>Complejidad del proyecto</w:t>
            </w:r>
          </w:p>
        </w:tc>
        <w:tc>
          <w:tcPr>
            <w:tcW w:type="dxa" w:w="3249"/>
          </w:tcPr>
          <w:p>
            <w:r/>
            <w:r>
              <w:rPr>
                <w:sz w:val="19"/>
              </w:rPr>
              <w:t>§3.6</w:t>
            </w:r>
          </w:p>
        </w:tc>
      </w:tr>
    </w:tbl>
    <w:p>
      <w:pPr>
        <w:spacing w:after="40"/>
      </w:pPr>
    </w:p>
    <w:p>
      <w:r>
        <w:t xml:space="preserve">Cada criterio se responde con la decisión, la evidencia en el código y las </w:t>
      </w:r>
      <w:r>
        <w:rPr>
          <w:b/>
        </w:rPr>
        <w:t>alternativas descartadas con su motivo</w:t>
      </w:r>
      <w:r>
        <w:t>.</w:t>
      </w:r>
    </w:p>
    <w:p>
      <w:pPr>
        <w:pBdr>
          <w:bottom w:val="single" w:sz="6" w:space="1" w:color="1F3B73"/>
        </w:pBdr>
      </w:pPr>
    </w:p>
    <w:p>
      <w:pPr>
        <w:pStyle w:val="Heading2"/>
      </w:pPr>
      <w:r>
        <w:t>2. Decisión resumida</w:t>
      </w:r>
    </w:p>
    <w:p>
      <w:pPr>
        <w:ind w:left="567"/>
      </w:pPr>
      <w:r>
        <w:rPr>
          <w:i/>
          <w:color w:val="555555"/>
        </w:rPr>
        <w:t>**Se adopta un monolito modular por capas**, implementado como un monorepo con dos aplicaciones independientes — API REST en NestJS 10 y frontend en Next.js 14 (App Router) — sobre PostgreSQL 16 con Prisma 5, con comunicación REST/JSON, inyección de dependencias nativa y **adaptadores explícitos** hacia los tres puntos de salida al mundo externo (almacenamiento de ficheros, generación de PDF y proveedor de IA).</w:t>
      </w:r>
    </w:p>
    <w:p>
      <w:pPr>
        <w:pBdr>
          <w:bottom w:val="single" w:sz="6" w:space="1" w:color="1F3B73"/>
        </w:pBdr>
      </w:pPr>
    </w:p>
    <w:p>
      <w:pPr>
        <w:pStyle w:val="Heading2"/>
      </w:pPr>
      <w:r>
        <w:t>3. Justificación por criterio</w:t>
      </w:r>
    </w:p>
    <w:p>
      <w:pPr>
        <w:pStyle w:val="Heading3"/>
      </w:pPr>
      <w:r>
        <w:t>3.1 Mantenibilidad</w:t>
      </w:r>
    </w:p>
    <w:p>
      <w:r/>
      <w:r>
        <w:rPr>
          <w:b/>
        </w:rPr>
        <w:t>Decisión.</w:t>
      </w:r>
      <w:r>
        <w:t xml:space="preserve"> Separar el sistema en </w:t>
      </w:r>
      <w:r>
        <w:rPr>
          <w:b/>
        </w:rPr>
        <w:t>17 módulos de dominio</w:t>
      </w:r>
      <w:r>
        <w:t xml:space="preserve"> con frontera explícita, cada uno con su </w:t>
      </w:r>
      <w:r>
        <w:rPr>
          <w:rFonts w:ascii="Consolas" w:hAnsi="Consolas"/>
          <w:color w:val="8B0000"/>
          <w:sz w:val="19"/>
        </w:rPr>
        <w:t>*.module.ts</w:t>
      </w:r>
      <w:r>
        <w:t>, sus controllers, sus services y sus DTOs. Dentro de cada módulo se aplican las capas presentación → aplicación/dominio → persistencia.</w:t>
      </w:r>
    </w:p>
    <w:p>
      <w:r/>
      <w:r>
        <w:rPr>
          <w:b/>
        </w:rPr>
        <w:t>Evidencia.</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Mecanismo</w:t>
            </w:r>
          </w:p>
        </w:tc>
        <w:tc>
          <w:tcPr>
            <w:tcW w:type="dxa" w:w="4873"/>
            <w:shd w:val="clear" w:color="auto" w:fill="1F3B73"/>
          </w:tcPr>
          <w:p>
            <w:r/>
            <w:r>
              <w:rPr>
                <w:b/>
                <w:color w:val="FFFFFF"/>
                <w:sz w:val="19"/>
              </w:rPr>
              <w:t>Evidencia</w:t>
            </w:r>
          </w:p>
        </w:tc>
      </w:tr>
      <w:tr>
        <w:tc>
          <w:tcPr>
            <w:tcW w:type="dxa" w:w="4873"/>
          </w:tcPr>
          <w:p>
            <w:r/>
            <w:r>
              <w:rPr>
                <w:b/>
                <w:sz w:val="19"/>
              </w:rPr>
              <w:t>Responsabilidad única por servicio</w:t>
            </w:r>
          </w:p>
        </w:tc>
        <w:tc>
          <w:tcPr>
            <w:tcW w:type="dxa" w:w="4873"/>
          </w:tcPr>
          <w:p>
            <w:r/>
            <w:r>
              <w:rPr>
                <w:sz w:val="19"/>
              </w:rPr>
              <w:t>10+ servicios con una sola razón para cambiar (`AuthService`, `MontosService`, `SolicitudChecklistService`, `BitacoraService`, …) — ver [`docs/architecture/solid-principles.md`](../architecture/solid-principles.md) §S</w:t>
            </w:r>
          </w:p>
        </w:tc>
      </w:tr>
      <w:tr>
        <w:tc>
          <w:tcPr>
            <w:tcW w:type="dxa" w:w="4873"/>
          </w:tcPr>
          <w:p>
            <w:r/>
            <w:r>
              <w:rPr>
                <w:b/>
                <w:sz w:val="19"/>
              </w:rPr>
              <w:t>Reglas de dominio declarativas y no condicionales</w:t>
            </w:r>
          </w:p>
        </w:tc>
        <w:tc>
          <w:tcPr>
            <w:tcW w:type="dxa" w:w="4873"/>
          </w:tcPr>
          <w:p>
            <w:r/>
            <w:r>
              <w:rPr>
                <w:sz w:val="19"/>
              </w:rPr>
              <w:t>Tablas de transición en `solicitud-state-machine.ts:26-47` y `convocatoria-state-machine.ts:19-53`</w:t>
            </w:r>
          </w:p>
        </w:tc>
      </w:tr>
      <w:tr>
        <w:tc>
          <w:tcPr>
            <w:tcW w:type="dxa" w:w="4873"/>
          </w:tcPr>
          <w:p>
            <w:r/>
            <w:r>
              <w:rPr>
                <w:b/>
                <w:sz w:val="19"/>
              </w:rPr>
              <w:t>Mensajes de error centralizados y traducidos</w:t>
            </w:r>
          </w:p>
        </w:tc>
        <w:tc>
          <w:tcPr>
            <w:tcW w:type="dxa" w:w="4873"/>
          </w:tcPr>
          <w:p>
            <w:r/>
            <w:r>
              <w:rPr>
                <w:sz w:val="19"/>
              </w:rPr>
              <w:t>`apps/api/src/common/filters/mensajes-error.ts`</w:t>
            </w:r>
          </w:p>
        </w:tc>
      </w:tr>
      <w:tr>
        <w:tc>
          <w:tcPr>
            <w:tcW w:type="dxa" w:w="4873"/>
          </w:tcPr>
          <w:p>
            <w:r/>
            <w:r>
              <w:rPr>
                <w:b/>
                <w:sz w:val="19"/>
              </w:rPr>
              <w:t>Convenciones de código y estilo unificados</w:t>
            </w:r>
          </w:p>
        </w:tc>
        <w:tc>
          <w:tcPr>
            <w:tcW w:type="dxa" w:w="4873"/>
          </w:tcPr>
          <w:p>
            <w:r/>
            <w:r>
              <w:rPr>
                <w:sz w:val="19"/>
              </w:rPr>
              <w:t>ESLint + Prettier en la raíz; job `lint-and-test` en CI</w:t>
            </w:r>
          </w:p>
        </w:tc>
      </w:tr>
      <w:tr>
        <w:tc>
          <w:tcPr>
            <w:tcW w:type="dxa" w:w="4873"/>
          </w:tcPr>
          <w:p>
            <w:r/>
            <w:r>
              <w:rPr>
                <w:b/>
                <w:sz w:val="19"/>
              </w:rPr>
              <w:t>Documentación por módulo</w:t>
            </w:r>
          </w:p>
        </w:tc>
        <w:tc>
          <w:tcPr>
            <w:tcW w:type="dxa" w:w="4873"/>
          </w:tcPr>
          <w:p>
            <w:r/>
            <w:r>
              <w:rPr>
                <w:sz w:val="19"/>
              </w:rPr>
              <w:t>`docs/architecture/ARQUITECTURA-REAL.md` §2 (inventario de providers, imports y exports)</w:t>
            </w:r>
          </w:p>
        </w:tc>
      </w:tr>
    </w:tbl>
    <w:p>
      <w:pPr>
        <w:spacing w:after="40"/>
      </w:pPr>
    </w:p>
    <w:p>
      <w:r/>
      <w:r>
        <w:rPr>
          <w:b/>
        </w:rPr>
        <w:t>Por qué no una alternativa más simple.</w:t>
      </w:r>
      <w:r>
        <w:t xml:space="preserve"> Una aplicación de NestJS con un único módulo sería válida para proyectos pequeños, pero con 36 entidades y 9 dominios de negocio obligaría a que cualquier cambio tocara archivos compartidos, generando conflictos de merge constantes entre 5 desarrolladores. La separación por módulo eliminó el conflicto: cada persona es dueña de un conjunto disjointo de carpetas.</w:t>
      </w:r>
    </w:p>
    <w:p>
      <w:r/>
      <w:r>
        <w:rPr>
          <w:b/>
        </w:rPr>
        <w:t>Alternativas descartadas.</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Motivo del descarte</w:t>
            </w:r>
          </w:p>
        </w:tc>
      </w:tr>
      <w:tr>
        <w:tc>
          <w:tcPr>
            <w:tcW w:type="dxa" w:w="4873"/>
          </w:tcPr>
          <w:p>
            <w:r/>
            <w:r>
              <w:rPr>
                <w:b/>
                <w:sz w:val="19"/>
              </w:rPr>
              <w:t>Capa única (sin módulos)</w:t>
            </w:r>
          </w:p>
        </w:tc>
        <w:tc>
          <w:tcPr>
            <w:tcW w:type="dxa" w:w="4873"/>
          </w:tcPr>
          <w:p>
            <w:r/>
            <w:r>
              <w:rPr>
                <w:sz w:val="19"/>
              </w:rPr>
              <w:t>Alto acoplamiento, conflictos de merge, imposible asignar ownership por sprint</w:t>
            </w:r>
          </w:p>
        </w:tc>
      </w:tr>
      <w:tr>
        <w:tc>
          <w:tcPr>
            <w:tcW w:type="dxa" w:w="4873"/>
          </w:tcPr>
          <w:p>
            <w:r/>
            <w:r>
              <w:rPr>
                <w:b/>
                <w:sz w:val="19"/>
              </w:rPr>
              <w:t>Base de datos por módulo (bases separadas)</w:t>
            </w:r>
          </w:p>
        </w:tc>
        <w:tc>
          <w:tcPr>
            <w:tcW w:type="dxa" w:w="4873"/>
          </w:tcPr>
          <w:p>
            <w:r/>
            <w:r>
              <w:rPr>
                <w:sz w:val="19"/>
              </w:rPr>
              <w:t>No justificado a esta escala: 1,000 solicitudes no lo exigen y complica las transacciones de la FSM</w:t>
            </w:r>
          </w:p>
        </w:tc>
      </w:tr>
    </w:tbl>
    <w:p>
      <w:pPr>
        <w:spacing w:after="40"/>
      </w:pPr>
    </w:p>
    <w:p>
      <w:pPr>
        <w:pStyle w:val="Heading3"/>
      </w:pPr>
      <w:r>
        <w:t>3.2 Escalabilidad</w:t>
      </w:r>
    </w:p>
    <w:p>
      <w:r/>
      <w:r>
        <w:rPr>
          <w:b/>
        </w:rPr>
        <w:t>Decisión.</w:t>
      </w:r>
      <w:r>
        <w:t xml:space="preserve"> Monolito modular con </w:t>
      </w:r>
      <w:r>
        <w:rPr>
          <w:b/>
        </w:rPr>
        <w:t>módulos extraíbles</w:t>
      </w:r>
      <w:r>
        <w:t xml:space="preserve">, base de datos relacional con índices propios, paginación en los listados y </w:t>
      </w:r>
      <w:r>
        <w:rPr>
          <w:b/>
        </w:rPr>
        <w:t>cero estado de negocio en memoria</w:t>
      </w:r>
      <w:r>
        <w:t xml:space="preserve"> (el único estado en memoria es decorativo: intentos de login y contadores de notificaciones).</w:t>
      </w:r>
    </w:p>
    <w:p>
      <w:r/>
      <w:r>
        <w:rPr>
          <w:b/>
        </w:rPr>
        <w:t>Evidencia.</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Aspecto</w:t>
            </w:r>
          </w:p>
        </w:tc>
        <w:tc>
          <w:tcPr>
            <w:tcW w:type="dxa" w:w="4873"/>
            <w:shd w:val="clear" w:color="auto" w:fill="1F3B73"/>
          </w:tcPr>
          <w:p>
            <w:r/>
            <w:r>
              <w:rPr>
                <w:b/>
                <w:color w:val="FFFFFF"/>
                <w:sz w:val="19"/>
              </w:rPr>
              <w:t>Evidencia</w:t>
            </w:r>
          </w:p>
        </w:tc>
      </w:tr>
      <w:tr>
        <w:tc>
          <w:tcPr>
            <w:tcW w:type="dxa" w:w="4873"/>
          </w:tcPr>
          <w:p>
            <w:r/>
            <w:r>
              <w:rPr>
                <w:b/>
                <w:sz w:val="19"/>
              </w:rPr>
              <w:t>Índices y restricciones en el esquema</w:t>
            </w:r>
          </w:p>
        </w:tc>
        <w:tc>
          <w:tcPr>
            <w:tcW w:type="dxa" w:w="4873"/>
          </w:tcPr>
          <w:p>
            <w:r/>
            <w:r>
              <w:rPr>
                <w:sz w:val="19"/>
              </w:rPr>
              <w:t>`apps/api/prisma/schema.prisma` — índices por `convocatoriaId`, `usuarioId`, `estado`, `codigo`</w:t>
            </w:r>
          </w:p>
        </w:tc>
      </w:tr>
      <w:tr>
        <w:tc>
          <w:tcPr>
            <w:tcW w:type="dxa" w:w="4873"/>
          </w:tcPr>
          <w:p>
            <w:r/>
            <w:r>
              <w:rPr>
                <w:b/>
                <w:sz w:val="19"/>
              </w:rPr>
              <w:t>Paginación en lascollections grandes</w:t>
            </w:r>
          </w:p>
        </w:tc>
        <w:tc>
          <w:tcPr>
            <w:tcW w:type="dxa" w:w="4873"/>
          </w:tcPr>
          <w:p>
            <w:r/>
            <w:r>
              <w:rPr>
                <w:sz w:val="19"/>
              </w:rPr>
              <w:t>`findAll` con `page`/`limit` en `solicitudes`, `convocatorias`, `evaluaciones`</w:t>
            </w:r>
          </w:p>
        </w:tc>
      </w:tr>
      <w:tr>
        <w:tc>
          <w:tcPr>
            <w:tcW w:type="dxa" w:w="4873"/>
          </w:tcPr>
          <w:p>
            <w:r/>
            <w:r>
              <w:rPr>
                <w:b/>
                <w:sz w:val="19"/>
              </w:rPr>
              <w:t>Sin cuellos de botella de estado</w:t>
            </w:r>
          </w:p>
        </w:tc>
        <w:tc>
          <w:tcPr>
            <w:tcW w:type="dxa" w:w="4873"/>
          </w:tcPr>
          <w:p>
            <w:r/>
            <w:r>
              <w:rPr>
                <w:sz w:val="19"/>
              </w:rPr>
              <w:t>La lógica de negocio opera sobre PostgreSQL; los `Subject` de RxJS solo difunden notificaciones ya persistidas</w:t>
            </w:r>
          </w:p>
        </w:tc>
      </w:tr>
      <w:tr>
        <w:tc>
          <w:tcPr>
            <w:tcW w:type="dxa" w:w="4873"/>
          </w:tcPr>
          <w:p>
            <w:r/>
            <w:r>
              <w:rPr>
                <w:b/>
                <w:sz w:val="19"/>
              </w:rPr>
              <w:t>Posibilidad de extracción</w:t>
            </w:r>
          </w:p>
        </w:tc>
        <w:tc>
          <w:tcPr>
            <w:tcW w:type="dxa" w:w="4873"/>
          </w:tcPr>
          <w:p>
            <w:r/>
            <w:r>
              <w:rPr>
                <w:sz w:val="19"/>
              </w:rPr>
              <w:t>Cada módulo depende de abstracciones (`DocumentStorage`, `PdfRenderer`, `ProveedorIA`) y de `PrismaService`, no de otro módulo de negocio</w:t>
            </w:r>
          </w:p>
        </w:tc>
      </w:tr>
      <w:tr>
        <w:tc>
          <w:tcPr>
            <w:tcW w:type="dxa" w:w="4873"/>
          </w:tcPr>
          <w:p>
            <w:r/>
            <w:r>
              <w:rPr>
                <w:b/>
                <w:sz w:val="19"/>
              </w:rPr>
              <w:t>Manejo de carga</w:t>
            </w:r>
          </w:p>
        </w:tc>
        <w:tc>
          <w:tcPr>
            <w:tcW w:type="dxa" w:w="4873"/>
          </w:tcPr>
          <w:p>
            <w:r/>
            <w:r>
              <w:rPr>
                <w:sz w:val="19"/>
              </w:rPr>
              <w:t>CI con job de pruebas E2E sobre PostgreSQL real; base sembrada con 1,000 solicitudes</w:t>
            </w:r>
          </w:p>
        </w:tc>
      </w:tr>
    </w:tbl>
    <w:p>
      <w:pPr>
        <w:spacing w:after="40"/>
      </w:pPr>
    </w:p>
    <w:p>
      <w:r/>
      <w:r>
        <w:rPr>
          <w:b/>
        </w:rPr>
        <w:t>Límite explícito.</w:t>
      </w:r>
      <w:r>
        <w:t xml:space="preserve"> El sistema </w:t>
      </w:r>
      <w:r>
        <w:rPr>
          <w:b/>
        </w:rPr>
        <w:t>no escala horizontalmente sin cambios</w:t>
      </w:r>
      <w:r>
        <w:t xml:space="preserve">: el rate limiting de login es un </w:t>
      </w:r>
      <w:r>
        <w:rPr>
          <w:rFonts w:ascii="Consolas" w:hAnsi="Consolas"/>
          <w:color w:val="8B0000"/>
          <w:sz w:val="19"/>
        </w:rPr>
        <w:t>Map</w:t>
      </w:r>
      <w:r>
        <w:t xml:space="preserve"> en memoria (ADR-022) y el almacenamiento de documentos es local. El equipo lo documenta como deuda técnica en lugar de ocultarlo, y por eso la arquitectura mantiene la </w:t>
      </w:r>
      <w:r>
        <w:rPr>
          <w:b/>
        </w:rPr>
        <w:t>opción de mover ambos a servicios externos</w:t>
      </w:r>
      <w:r>
        <w:t xml:space="preserve"> (Redis, S3) sin refactorizar el dominio.</w:t>
      </w:r>
    </w:p>
    <w:p>
      <w:r/>
      <w:r>
        <w:rPr>
          <w:b/>
        </w:rPr>
        <w:t>Alternativas descartadas.</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Motivo del descarte</w:t>
            </w:r>
          </w:p>
        </w:tc>
      </w:tr>
      <w:tr>
        <w:tc>
          <w:tcPr>
            <w:tcW w:type="dxa" w:w="4873"/>
          </w:tcPr>
          <w:p>
            <w:r/>
            <w:r>
              <w:rPr>
                <w:b/>
                <w:sz w:val="19"/>
              </w:rPr>
              <w:t>Microservicios</w:t>
            </w:r>
          </w:p>
        </w:tc>
        <w:tc>
          <w:tcPr>
            <w:tcW w:type="dxa" w:w="4873"/>
          </w:tcPr>
          <w:p>
            <w:r/>
            <w:r>
              <w:rPr>
                <w:sz w:val="19"/>
              </w:rPr>
              <w:t>9 dominios de negocio y ~1,000 registros no justifican el costo de red, despliegue distribuido, consistencias eventuales y observabilidad distribuida (ADR-004)</w:t>
            </w:r>
          </w:p>
        </w:tc>
      </w:tr>
      <w:tr>
        <w:tc>
          <w:tcPr>
            <w:tcW w:type="dxa" w:w="4873"/>
          </w:tcPr>
          <w:p>
            <w:r/>
            <w:r>
              <w:rPr>
                <w:b/>
                <w:sz w:val="19"/>
              </w:rPr>
              <w:t>Backend asíncrono con cola de mensajes</w:t>
            </w:r>
          </w:p>
        </w:tc>
        <w:tc>
          <w:tcPr>
            <w:tcW w:type="dxa" w:w="4873"/>
          </w:tcPr>
          <w:p>
            <w:r/>
            <w:r>
              <w:rPr>
                <w:sz w:val="19"/>
              </w:rPr>
              <w:t>El flujo es síncrono y transaccional; una cola añadiría complejidad sin ganar nada</w:t>
            </w:r>
          </w:p>
        </w:tc>
      </w:tr>
      <w:tr>
        <w:tc>
          <w:tcPr>
            <w:tcW w:type="dxa" w:w="4873"/>
          </w:tcPr>
          <w:p>
            <w:r/>
            <w:r>
              <w:rPr>
                <w:b/>
                <w:sz w:val="19"/>
              </w:rPr>
              <w:t>Caching distribuido (Redis)</w:t>
            </w:r>
          </w:p>
        </w:tc>
        <w:tc>
          <w:tcPr>
            <w:tcW w:type="dxa" w:w="4873"/>
          </w:tcPr>
          <w:p>
            <w:r/>
            <w:r>
              <w:rPr>
                <w:sz w:val="19"/>
              </w:rPr>
              <w:t>La tasa de lectura no lo justifica hoy; se deja como extensión (adaptador)</w:t>
            </w:r>
          </w:p>
        </w:tc>
      </w:tr>
    </w:tbl>
    <w:p>
      <w:pPr>
        <w:spacing w:after="40"/>
      </w:pPr>
    </w:p>
    <w:p>
      <w:pPr>
        <w:pStyle w:val="Heading3"/>
      </w:pPr>
      <w:r>
        <w:t>3.3 Bajo acoplamiento</w:t>
      </w:r>
    </w:p>
    <w:p>
      <w:r/>
      <w:r>
        <w:rPr>
          <w:b/>
        </w:rPr>
        <w:t>Decisión.</w:t>
      </w:r>
      <w:r>
        <w:t xml:space="preserve"> Cuatro mecanismos complementarios:</w:t>
      </w:r>
    </w:p>
    <w:p>
      <w:pPr>
        <w:pStyle w:val="ListNumber"/>
      </w:pPr>
      <w:r/>
      <w:r>
        <w:rPr>
          <w:b/>
        </w:rPr>
        <w:t>Inyección de dependencias nativa del framework</w:t>
      </w:r>
      <w:r>
        <w:t xml:space="preserve"> (NestJS) con </w:t>
      </w:r>
      <w:r>
        <w:rPr>
          <w:i/>
        </w:rPr>
        <w:t>tokens</w:t>
      </w:r>
      <w:r>
        <w:t xml:space="preserve"> explícitos para todo punto de</w:t>
      </w:r>
    </w:p>
    <w:p>
      <w:r>
        <w:t>entrada al exterior.</w:t>
      </w:r>
    </w:p>
    <w:p>
      <w:pPr>
        <w:pStyle w:val="ListNumber"/>
      </w:pPr>
      <w:r/>
      <w:r>
        <w:rPr>
          <w:b/>
        </w:rPr>
        <w:t>Interfaces de puerto</w:t>
      </w:r>
      <w:r>
        <w:t xml:space="preserve"> para almacenamiento, PDF e IA.</w:t>
      </w:r>
    </w:p>
    <w:p>
      <w:pPr>
        <w:pStyle w:val="ListNumber"/>
      </w:pPr>
      <w:r/>
      <w:r>
        <w:rPr>
          <w:b/>
        </w:rPr>
        <w:t>Guards globales</w:t>
      </w:r>
      <w:r>
        <w:t xml:space="preserve"> que resuelven la autorización en un solo punto, fuera de la lógica de negocio.</w:t>
      </w:r>
    </w:p>
    <w:p>
      <w:pPr>
        <w:pStyle w:val="ListNumber"/>
      </w:pPr>
      <w:r/>
      <w:r>
        <w:rPr>
          <w:b/>
        </w:rPr>
        <w:t>Servicios transversales</w:t>
      </w:r>
      <w:r>
        <w:t xml:space="preserve"> (</w:t>
      </w:r>
      <w:r>
        <w:rPr>
          <w:rFonts w:ascii="Consolas" w:hAnsi="Consolas"/>
          <w:color w:val="8B0000"/>
          <w:sz w:val="19"/>
        </w:rPr>
        <w:t>AuthzService</w:t>
      </w:r>
      <w:r>
        <w:t xml:space="preserve">, </w:t>
      </w:r>
      <w:r>
        <w:rPr>
          <w:rFonts w:ascii="Consolas" w:hAnsi="Consolas"/>
          <w:color w:val="8B0000"/>
          <w:sz w:val="19"/>
        </w:rPr>
        <w:t>AuditService</w:t>
      </w:r>
      <w:r>
        <w:t xml:space="preserve">, </w:t>
      </w:r>
      <w:r>
        <w:rPr>
          <w:rFonts w:ascii="Consolas" w:hAnsi="Consolas"/>
          <w:color w:val="8B0000"/>
          <w:sz w:val="19"/>
        </w:rPr>
        <w:t>BitacoraService</w:t>
      </w:r>
      <w:r>
        <w:t xml:space="preserve">, </w:t>
      </w:r>
      <w:r>
        <w:rPr>
          <w:rFonts w:ascii="Consolas" w:hAnsi="Consolas"/>
          <w:color w:val="8B0000"/>
          <w:sz w:val="19"/>
        </w:rPr>
        <w:t>NotificacionesService</w:t>
      </w:r>
      <w:r>
        <w:t>)</w:t>
      </w:r>
    </w:p>
    <w:p>
      <w:r>
        <w:t xml:space="preserve">marcados como </w:t>
      </w:r>
      <w:r>
        <w:rPr>
          <w:rFonts w:ascii="Consolas" w:hAnsi="Consolas"/>
          <w:color w:val="8B0000"/>
          <w:sz w:val="19"/>
        </w:rPr>
        <w:t>@Global()</w:t>
      </w:r>
      <w:r>
        <w:t xml:space="preserve"> e inyectados donde se necesitan, sin dependencias de retorno.</w:t>
      </w:r>
    </w:p>
    <w:p>
      <w:r/>
      <w:r>
        <w:rPr>
          <w:b/>
        </w:rPr>
        <w:t>Evidencia.</w:t>
      </w:r>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Mecanismo</w:t>
            </w:r>
          </w:p>
        </w:tc>
        <w:tc>
          <w:tcPr>
            <w:tcW w:type="dxa" w:w="3249"/>
            <w:shd w:val="clear" w:color="auto" w:fill="1F3B73"/>
          </w:tcPr>
          <w:p>
            <w:r/>
            <w:r>
              <w:rPr>
                <w:b/>
                <w:color w:val="FFFFFF"/>
                <w:sz w:val="19"/>
              </w:rPr>
              <w:t>Interfaz / token</w:t>
            </w:r>
          </w:p>
        </w:tc>
        <w:tc>
          <w:tcPr>
            <w:tcW w:type="dxa" w:w="3249"/>
            <w:shd w:val="clear" w:color="auto" w:fill="1F3B73"/>
          </w:tcPr>
          <w:p>
            <w:r/>
            <w:r>
              <w:rPr>
                <w:b/>
                <w:color w:val="FFFFFF"/>
                <w:sz w:val="19"/>
              </w:rPr>
              <w:t>Consumidores</w:t>
            </w:r>
          </w:p>
        </w:tc>
      </w:tr>
      <w:tr>
        <w:tc>
          <w:tcPr>
            <w:tcW w:type="dxa" w:w="3249"/>
          </w:tcPr>
          <w:p>
            <w:r/>
            <w:r>
              <w:rPr>
                <w:b/>
                <w:sz w:val="19"/>
              </w:rPr>
              <w:t>Almacenamiento de ficheros</w:t>
            </w:r>
          </w:p>
        </w:tc>
        <w:tc>
          <w:tcPr>
            <w:tcW w:type="dxa" w:w="3249"/>
          </w:tcPr>
          <w:p>
            <w:r/>
            <w:r>
              <w:rPr>
                <w:sz w:val="19"/>
              </w:rPr>
              <w:t>`DocumentStorage` (`storage.interface.ts:7`) / `DOCUMENT_STORAGE`</w:t>
            </w:r>
          </w:p>
        </w:tc>
        <w:tc>
          <w:tcPr>
            <w:tcW w:type="dxa" w:w="3249"/>
          </w:tcPr>
          <w:p>
            <w:r/>
            <w:r>
              <w:rPr>
                <w:sz w:val="19"/>
              </w:rPr>
              <w:t>`SolicitudesService`, `SolicitudDocumentoService`, `EliminarCuentaService`</w:t>
            </w:r>
          </w:p>
        </w:tc>
      </w:tr>
      <w:tr>
        <w:tc>
          <w:tcPr>
            <w:tcW w:type="dxa" w:w="3249"/>
          </w:tcPr>
          <w:p>
            <w:r/>
            <w:r>
              <w:rPr>
                <w:b/>
                <w:sz w:val="19"/>
              </w:rPr>
              <w:t>Generación de PDF</w:t>
            </w:r>
          </w:p>
        </w:tc>
        <w:tc>
          <w:tcPr>
            <w:tcW w:type="dxa" w:w="3249"/>
          </w:tcPr>
          <w:p>
            <w:r/>
            <w:r>
              <w:rPr>
                <w:sz w:val="19"/>
              </w:rPr>
              <w:t>`PdfRenderer` (`pdf-renderer.interface.ts:8`) / `PDF_RENDERER`</w:t>
            </w:r>
          </w:p>
        </w:tc>
        <w:tc>
          <w:tcPr>
            <w:tcW w:type="dxa" w:w="3249"/>
          </w:tcPr>
          <w:p>
            <w:r/>
            <w:r>
              <w:rPr>
                <w:sz w:val="19"/>
              </w:rPr>
              <w:t>`ConstanciasService`</w:t>
            </w:r>
          </w:p>
        </w:tc>
      </w:tr>
      <w:tr>
        <w:tc>
          <w:tcPr>
            <w:tcW w:type="dxa" w:w="3249"/>
          </w:tcPr>
          <w:p>
            <w:r/>
            <w:r>
              <w:rPr>
                <w:b/>
                <w:sz w:val="19"/>
              </w:rPr>
              <w:t>Proveedor de IA</w:t>
            </w:r>
          </w:p>
        </w:tc>
        <w:tc>
          <w:tcPr>
            <w:tcW w:type="dxa" w:w="3249"/>
          </w:tcPr>
          <w:p>
            <w:r/>
            <w:r>
              <w:rPr>
                <w:sz w:val="19"/>
              </w:rPr>
              <w:t>`ProveedorIA` (`asistente.types.ts:11`)</w:t>
            </w:r>
          </w:p>
        </w:tc>
        <w:tc>
          <w:tcPr>
            <w:tcW w:type="dxa" w:w="3249"/>
          </w:tcPr>
          <w:p>
            <w:r/>
            <w:r>
              <w:rPr>
                <w:sz w:val="19"/>
              </w:rPr>
              <w:t>`AsistenteIAProxy`</w:t>
            </w:r>
          </w:p>
        </w:tc>
      </w:tr>
      <w:tr>
        <w:tc>
          <w:tcPr>
            <w:tcW w:type="dxa" w:w="3249"/>
          </w:tcPr>
          <w:p>
            <w:r/>
            <w:r>
              <w:rPr>
                <w:b/>
                <w:sz w:val="19"/>
              </w:rPr>
              <w:t>Autorización</w:t>
            </w:r>
          </w:p>
        </w:tc>
        <w:tc>
          <w:tcPr>
            <w:tcW w:type="dxa" w:w="3249"/>
          </w:tcPr>
          <w:p>
            <w:r/>
            <w:r>
              <w:rPr>
                <w:sz w:val="19"/>
              </w:rPr>
              <w:t>`PermissionService` (`permission.service.ts`) / `PERMISSION_SERVICE`</w:t>
            </w:r>
          </w:p>
        </w:tc>
        <w:tc>
          <w:tcPr>
            <w:tcW w:type="dxa" w:w="3249"/>
          </w:tcPr>
          <w:p>
            <w:r/>
            <w:r>
              <w:rPr>
                <w:sz w:val="19"/>
              </w:rPr>
              <w:t>`PermissionsGuard`, `AuthzService`</w:t>
            </w:r>
          </w:p>
        </w:tc>
      </w:tr>
    </w:tbl>
    <w:p>
      <w:pPr>
        <w:spacing w:after="40"/>
      </w:pPr>
    </w:p>
    <w:p>
      <w:r>
        <w:t xml:space="preserve">El caso paradigmático: </w:t>
      </w:r>
      <w:r>
        <w:rPr>
          <w:b/>
        </w:rPr>
        <w:t>cambiar el almacenamiento de disco por S3 no requiere tocar ni una línea del dominio</w:t>
      </w:r>
      <w:r>
        <w:t xml:space="preserve">; basta con registrar un nuevo provider para el token </w:t>
      </w:r>
      <w:r>
        <w:rPr>
          <w:rFonts w:ascii="Consolas" w:hAnsi="Consolas"/>
          <w:color w:val="8B0000"/>
          <w:sz w:val="19"/>
        </w:rPr>
        <w:t>DOCUMENT_STORAGE</w:t>
      </w:r>
      <w:r>
        <w:t>.</w:t>
      </w:r>
    </w:p>
    <w:p>
      <w:r/>
      <w:r>
        <w:rPr>
          <w:b/>
        </w:rPr>
        <w:t>Alternativas descartadas.</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Motivo del descarte</w:t>
            </w:r>
          </w:p>
        </w:tc>
      </w:tr>
      <w:tr>
        <w:tc>
          <w:tcPr>
            <w:tcW w:type="dxa" w:w="4873"/>
          </w:tcPr>
          <w:p>
            <w:r/>
            <w:r>
              <w:rPr>
                <w:b/>
                <w:sz w:val="19"/>
              </w:rPr>
              <w:t>Importar `FilesystemStorageAdapter` directamente en los servicios</w:t>
            </w:r>
          </w:p>
        </w:tc>
        <w:tc>
          <w:tcPr>
            <w:tcW w:type="dxa" w:w="4873"/>
          </w:tcPr>
          <w:p>
            <w:r/>
            <w:r>
              <w:rPr>
                <w:sz w:val="19"/>
              </w:rPr>
              <w:t>Acopla el dominio a la infraestructura; cada servicio repetiría la lógica de rutas y seguridad de ficheros</w:t>
            </w:r>
          </w:p>
        </w:tc>
      </w:tr>
      <w:tr>
        <w:tc>
          <w:tcPr>
            <w:tcW w:type="dxa" w:w="4873"/>
          </w:tcPr>
          <w:p>
            <w:r/>
            <w:r>
              <w:rPr>
                <w:b/>
                <w:sz w:val="19"/>
              </w:rPr>
              <w:t>Repositorios genéricos con una capa `Repository` por entidad</w:t>
            </w:r>
          </w:p>
        </w:tc>
        <w:tc>
          <w:tcPr>
            <w:tcW w:type="dxa" w:w="4873"/>
          </w:tcPr>
          <w:p>
            <w:r/>
            <w:r>
              <w:rPr>
                <w:sz w:val="19"/>
              </w:rPr>
              <w:t>Más ceremonia y menos claridad que usar Prisma con tipos; además el equipo detectó que no aportaba valor real a esta escala</w:t>
            </w:r>
          </w:p>
        </w:tc>
      </w:tr>
      <w:tr>
        <w:tc>
          <w:tcPr>
            <w:tcW w:type="dxa" w:w="4873"/>
          </w:tcPr>
          <w:p>
            <w:r/>
            <w:r>
              <w:rPr>
                <w:b/>
                <w:sz w:val="19"/>
              </w:rPr>
              <w:t>Variable de entorno leída dentro de los servicios</w:t>
            </w:r>
          </w:p>
        </w:tc>
        <w:tc>
          <w:tcPr>
            <w:tcW w:type="dxa" w:w="4873"/>
          </w:tcPr>
          <w:p>
            <w:r/>
            <w:r>
              <w:rPr>
                <w:sz w:val="19"/>
              </w:rPr>
              <w:t>Oculta dependencias, impide el test unitario y rompe el principio de inversión de dependencias</w:t>
            </w:r>
          </w:p>
        </w:tc>
      </w:tr>
    </w:tbl>
    <w:p>
      <w:pPr>
        <w:spacing w:after="40"/>
      </w:pPr>
    </w:p>
    <w:p>
      <w:pPr>
        <w:pStyle w:val="Heading3"/>
      </w:pPr>
      <w:r>
        <w:t>3.4 Reutilización</w:t>
      </w:r>
    </w:p>
    <w:p>
      <w:r/>
      <w:r>
        <w:rPr>
          <w:b/>
        </w:rPr>
        <w:t>Decisión.</w:t>
      </w:r>
      <w:r>
        <w:t xml:space="preserve"> Todo lo que puede ser transversal, lo es. El módulo </w:t>
      </w:r>
      <w:r>
        <w:rPr>
          <w:rFonts w:ascii="Consolas" w:hAnsi="Consolas"/>
          <w:color w:val="8B0000"/>
          <w:sz w:val="19"/>
        </w:rPr>
        <w:t>common/</w:t>
      </w:r>
      <w:r>
        <w:t xml:space="preserve"> concentra lo que se reutiliza en todos los dominios.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Elemento reutilizable</w:t>
            </w:r>
          </w:p>
        </w:tc>
        <w:tc>
          <w:tcPr>
            <w:tcW w:type="dxa" w:w="3249"/>
            <w:shd w:val="clear" w:color="auto" w:fill="1F3B73"/>
          </w:tcPr>
          <w:p>
            <w:r/>
            <w:r>
              <w:rPr>
                <w:b/>
                <w:color w:val="FFFFFF"/>
                <w:sz w:val="19"/>
              </w:rPr>
              <w:t>Ubicación</w:t>
            </w:r>
          </w:p>
        </w:tc>
        <w:tc>
          <w:tcPr>
            <w:tcW w:type="dxa" w:w="3249"/>
            <w:shd w:val="clear" w:color="auto" w:fill="1F3B73"/>
          </w:tcPr>
          <w:p>
            <w:r/>
            <w:r>
              <w:rPr>
                <w:b/>
                <w:color w:val="FFFFFF"/>
                <w:sz w:val="19"/>
              </w:rPr>
              <w:t>Cuántos consumidores</w:t>
            </w:r>
          </w:p>
        </w:tc>
      </w:tr>
      <w:tr>
        <w:tc>
          <w:tcPr>
            <w:tcW w:type="dxa" w:w="3249"/>
          </w:tcPr>
          <w:p>
            <w:r/>
            <w:r>
              <w:rPr>
                <w:b/>
                <w:sz w:val="19"/>
              </w:rPr>
              <w:t>Guard de autenticación JWT</w:t>
            </w:r>
          </w:p>
        </w:tc>
        <w:tc>
          <w:tcPr>
            <w:tcW w:type="dxa" w:w="3249"/>
          </w:tcPr>
          <w:p>
            <w:r/>
            <w:r>
              <w:rPr>
                <w:sz w:val="19"/>
              </w:rPr>
              <w:t>`common/guards/jwt-auth.guard.ts`</w:t>
            </w:r>
          </w:p>
        </w:tc>
        <w:tc>
          <w:tcPr>
            <w:tcW w:type="dxa" w:w="3249"/>
          </w:tcPr>
          <w:p>
            <w:r/>
            <w:r>
              <w:rPr>
                <w:sz w:val="19"/>
              </w:rPr>
              <w:t>Todas las rutas</w:t>
            </w:r>
          </w:p>
        </w:tc>
      </w:tr>
      <w:tr>
        <w:tc>
          <w:tcPr>
            <w:tcW w:type="dxa" w:w="3249"/>
          </w:tcPr>
          <w:p>
            <w:r/>
            <w:r>
              <w:rPr>
                <w:b/>
                <w:sz w:val="19"/>
              </w:rPr>
              <w:t>Guard de permisos *fail-closed*</w:t>
            </w:r>
          </w:p>
        </w:tc>
        <w:tc>
          <w:tcPr>
            <w:tcW w:type="dxa" w:w="3249"/>
          </w:tcPr>
          <w:p>
            <w:r/>
            <w:r>
              <w:rPr>
                <w:sz w:val="19"/>
              </w:rPr>
              <w:t>`common/guards/permissions.guard.ts`</w:t>
            </w:r>
          </w:p>
        </w:tc>
        <w:tc>
          <w:tcPr>
            <w:tcW w:type="dxa" w:w="3249"/>
          </w:tcPr>
          <w:p>
            <w:r/>
            <w:r>
              <w:rPr>
                <w:sz w:val="19"/>
              </w:rPr>
              <w:t>Todas las rutas con `@Permisos()`</w:t>
            </w:r>
          </w:p>
        </w:tc>
      </w:tr>
      <w:tr>
        <w:tc>
          <w:tcPr>
            <w:tcW w:type="dxa" w:w="3249"/>
          </w:tcPr>
          <w:p>
            <w:r/>
            <w:r>
              <w:rPr>
                <w:b/>
                <w:sz w:val="19"/>
              </w:rPr>
              <w:t>Cadena de resolución de permisos</w:t>
            </w:r>
          </w:p>
        </w:tc>
        <w:tc>
          <w:tcPr>
            <w:tcW w:type="dxa" w:w="3249"/>
          </w:tcPr>
          <w:p>
            <w:r/>
            <w:r>
              <w:rPr>
                <w:sz w:val="19"/>
              </w:rPr>
              <w:t>`common/guards/permission-chain.ts`</w:t>
            </w:r>
          </w:p>
        </w:tc>
        <w:tc>
          <w:tcPr>
            <w:tcW w:type="dxa" w:w="3249"/>
          </w:tcPr>
          <w:p>
            <w:r/>
            <w:r>
              <w:rPr>
                <w:sz w:val="19"/>
              </w:rPr>
              <w:t>`PermissionService`</w:t>
            </w:r>
          </w:p>
        </w:tc>
      </w:tr>
      <w:tr>
        <w:tc>
          <w:tcPr>
            <w:tcW w:type="dxa" w:w="3249"/>
          </w:tcPr>
          <w:p>
            <w:r/>
            <w:r>
              <w:rPr>
                <w:b/>
                <w:sz w:val="19"/>
              </w:rPr>
              <w:t>Autenticación de usuario</w:t>
            </w:r>
          </w:p>
        </w:tc>
        <w:tc>
          <w:tcPr>
            <w:tcW w:type="dxa" w:w="3249"/>
          </w:tcPr>
          <w:p>
            <w:r/>
            <w:r>
              <w:rPr>
                <w:sz w:val="19"/>
              </w:rPr>
              <w:t>`common/services/authz.service.ts`</w:t>
            </w:r>
          </w:p>
        </w:tc>
        <w:tc>
          <w:tcPr>
            <w:tcW w:type="dxa" w:w="3249"/>
          </w:tcPr>
          <w:p>
            <w:r/>
            <w:r>
              <w:rPr>
                <w:sz w:val="19"/>
              </w:rPr>
              <w:t>12+ servicios</w:t>
            </w:r>
          </w:p>
        </w:tc>
      </w:tr>
      <w:tr>
        <w:tc>
          <w:tcPr>
            <w:tcW w:type="dxa" w:w="3249"/>
          </w:tcPr>
          <w:p>
            <w:r/>
            <w:r>
              <w:rPr>
                <w:b/>
                <w:sz w:val="19"/>
              </w:rPr>
              <w:t>Envelope de respuesta `{ data }`</w:t>
            </w:r>
          </w:p>
        </w:tc>
        <w:tc>
          <w:tcPr>
            <w:tcW w:type="dxa" w:w="3249"/>
          </w:tcPr>
          <w:p>
            <w:r/>
            <w:r>
              <w:rPr>
                <w:sz w:val="19"/>
              </w:rPr>
              <w:t>`common/interceptors/transform.interceptor.ts`</w:t>
            </w:r>
          </w:p>
        </w:tc>
        <w:tc>
          <w:tcPr>
            <w:tcW w:type="dxa" w:w="3249"/>
          </w:tcPr>
          <w:p>
            <w:r/>
            <w:r>
              <w:rPr>
                <w:sz w:val="19"/>
              </w:rPr>
              <w:t>Toda la API</w:t>
            </w:r>
          </w:p>
        </w:tc>
      </w:tr>
      <w:tr>
        <w:tc>
          <w:tcPr>
            <w:tcW w:type="dxa" w:w="3249"/>
          </w:tcPr>
          <w:p>
            <w:r/>
            <w:r>
              <w:rPr>
                <w:b/>
                <w:sz w:val="19"/>
              </w:rPr>
              <w:t>Normalización de errores</w:t>
            </w:r>
          </w:p>
        </w:tc>
        <w:tc>
          <w:tcPr>
            <w:tcW w:type="dxa" w:w="3249"/>
          </w:tcPr>
          <w:p>
            <w:r/>
            <w:r>
              <w:rPr>
                <w:sz w:val="19"/>
              </w:rPr>
              <w:t>`common/filters/http-exception.filter.ts`</w:t>
            </w:r>
          </w:p>
        </w:tc>
        <w:tc>
          <w:tcPr>
            <w:tcW w:type="dxa" w:w="3249"/>
          </w:tcPr>
          <w:p>
            <w:r/>
            <w:r>
              <w:rPr>
                <w:sz w:val="19"/>
              </w:rPr>
              <w:t>Toda la API</w:t>
            </w:r>
          </w:p>
        </w:tc>
      </w:tr>
      <w:tr>
        <w:tc>
          <w:tcPr>
            <w:tcW w:type="dxa" w:w="3249"/>
          </w:tcPr>
          <w:p>
            <w:r/>
            <w:r>
              <w:rPr>
                <w:b/>
                <w:sz w:val="19"/>
              </w:rPr>
              <w:t>Traducción de mensajes de validación</w:t>
            </w:r>
          </w:p>
        </w:tc>
        <w:tc>
          <w:tcPr>
            <w:tcW w:type="dxa" w:w="3249"/>
          </w:tcPr>
          <w:p>
            <w:r/>
            <w:r>
              <w:rPr>
                <w:sz w:val="19"/>
              </w:rPr>
              <w:t>`common/filters/mensajes-error.ts`</w:t>
            </w:r>
          </w:p>
        </w:tc>
        <w:tc>
          <w:tcPr>
            <w:tcW w:type="dxa" w:w="3249"/>
          </w:tcPr>
          <w:p>
            <w:r/>
            <w:r>
              <w:rPr>
                <w:sz w:val="19"/>
              </w:rPr>
              <w:t>Toda la API</w:t>
            </w:r>
          </w:p>
        </w:tc>
      </w:tr>
      <w:tr>
        <w:tc>
          <w:tcPr>
            <w:tcW w:type="dxa" w:w="3249"/>
          </w:tcPr>
          <w:p>
            <w:r/>
            <w:r>
              <w:rPr>
                <w:b/>
                <w:sz w:val="19"/>
              </w:rPr>
              <w:t>Decoradores (`@Public`, `@Permisos`, `@CurrentUser`)</w:t>
            </w:r>
          </w:p>
        </w:tc>
        <w:tc>
          <w:tcPr>
            <w:tcW w:type="dxa" w:w="3249"/>
          </w:tcPr>
          <w:p>
            <w:r/>
            <w:r>
              <w:rPr>
                <w:sz w:val="19"/>
              </w:rPr>
              <w:t>`common/decorators/`</w:t>
            </w:r>
          </w:p>
        </w:tc>
        <w:tc>
          <w:tcPr>
            <w:tcW w:type="dxa" w:w="3249"/>
          </w:tcPr>
          <w:p>
            <w:r/>
            <w:r>
              <w:rPr>
                <w:sz w:val="19"/>
              </w:rPr>
              <w:t>Todos los controllers</w:t>
            </w:r>
          </w:p>
        </w:tc>
      </w:tr>
      <w:tr>
        <w:tc>
          <w:tcPr>
            <w:tcW w:type="dxa" w:w="3249"/>
          </w:tcPr>
          <w:p>
            <w:r/>
            <w:r>
              <w:rPr>
                <w:b/>
                <w:sz w:val="19"/>
              </w:rPr>
              <w:t>PrismaService (singleton)</w:t>
            </w:r>
          </w:p>
        </w:tc>
        <w:tc>
          <w:tcPr>
            <w:tcW w:type="dxa" w:w="3249"/>
          </w:tcPr>
          <w:p>
            <w:r/>
            <w:r>
              <w:rPr>
                <w:sz w:val="19"/>
              </w:rPr>
              <w:t>`prisma/prisma.service.ts`</w:t>
            </w:r>
          </w:p>
        </w:tc>
        <w:tc>
          <w:tcPr>
            <w:tcW w:type="dxa" w:w="3249"/>
          </w:tcPr>
          <w:p>
            <w:r/>
            <w:r>
              <w:rPr>
                <w:sz w:val="19"/>
              </w:rPr>
              <w:t>Todos los módulos</w:t>
            </w:r>
          </w:p>
        </w:tc>
      </w:tr>
      <w:tr>
        <w:tc>
          <w:tcPr>
            <w:tcW w:type="dxa" w:w="3249"/>
          </w:tcPr>
          <w:p>
            <w:r/>
            <w:r>
              <w:rPr>
                <w:b/>
                <w:sz w:val="19"/>
              </w:rPr>
              <w:t>Adapter de almacenamiento</w:t>
            </w:r>
          </w:p>
        </w:tc>
        <w:tc>
          <w:tcPr>
            <w:tcW w:type="dxa" w:w="3249"/>
          </w:tcPr>
          <w:p>
            <w:r/>
            <w:r>
              <w:rPr>
                <w:sz w:val="19"/>
              </w:rPr>
              <w:t>`storage/`</w:t>
            </w:r>
          </w:p>
        </w:tc>
        <w:tc>
          <w:tcPr>
            <w:tcW w:type="dxa" w:w="3249"/>
          </w:tcPr>
          <w:p>
            <w:r/>
            <w:r>
              <w:rPr>
                <w:sz w:val="19"/>
              </w:rPr>
              <w:t>Solicitudes, documentos, eliminación de cuenta</w:t>
            </w:r>
          </w:p>
        </w:tc>
      </w:tr>
    </w:tbl>
    <w:p>
      <w:pPr>
        <w:spacing w:after="40"/>
      </w:pPr>
    </w:p>
    <w:p>
      <w:r/>
      <w:r>
        <w:rPr>
          <w:b/>
        </w:rPr>
        <w:t>Regla aplicada.</w:t>
      </w:r>
      <w:r>
        <w:t xml:space="preserve"> </w:t>
      </w:r>
      <w:r>
        <w:rPr>
          <w:i/>
        </w:rPr>
        <w:t>Si el tercer consumidor de un fragmento de código aparece, se extrae.</w:t>
      </w:r>
      <w:r>
        <w:t xml:space="preserve"> El módulo </w:t>
      </w:r>
      <w:r>
        <w:rPr>
          <w:rFonts w:ascii="Consolas" w:hAnsi="Consolas"/>
          <w:color w:val="8B0000"/>
          <w:sz w:val="19"/>
        </w:rPr>
        <w:t>common/</w:t>
      </w:r>
      <w:r>
        <w:t xml:space="preserve"> existe porque la lógica de autorización, el envelope de respuesta y la traducción de errores se repitieron en más de tres dominios.</w:t>
      </w:r>
    </w:p>
    <w:p>
      <w:r/>
      <w:r>
        <w:rPr>
          <w:b/>
        </w:rPr>
        <w:t>Alternativas descartadas.</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Motivo del descarte</w:t>
            </w:r>
          </w:p>
        </w:tc>
      </w:tr>
      <w:tr>
        <w:tc>
          <w:tcPr>
            <w:tcW w:type="dxa" w:w="4873"/>
          </w:tcPr>
          <w:p>
            <w:r/>
            <w:r>
              <w:rPr>
                <w:b/>
                <w:sz w:val="19"/>
              </w:rPr>
              <w:t>Copiar y pegar el bloque de validación en cada controller</w:t>
            </w:r>
          </w:p>
        </w:tc>
        <w:tc>
          <w:tcPr>
            <w:tcW w:type="dxa" w:w="4873"/>
          </w:tcPr>
          <w:p>
            <w:r/>
            <w:r>
              <w:rPr>
                <w:sz w:val="19"/>
              </w:rPr>
              <w:t>Duplicación con divergencia inevitable; contradice directamente la mantenibilidad</w:t>
            </w:r>
          </w:p>
        </w:tc>
      </w:tr>
      <w:tr>
        <w:tc>
          <w:tcPr>
            <w:tcW w:type="dxa" w:w="4873"/>
          </w:tcPr>
          <w:p>
            <w:r/>
            <w:r>
              <w:rPr>
                <w:b/>
                <w:sz w:val="19"/>
              </w:rPr>
              <w:t>Librería externa de validación</w:t>
            </w:r>
          </w:p>
        </w:tc>
        <w:tc>
          <w:tcPr>
            <w:tcW w:type="dxa" w:w="4873"/>
          </w:tcPr>
          <w:p>
            <w:r/>
            <w:r>
              <w:rPr>
                <w:sz w:val="19"/>
              </w:rPr>
              <w:t>Ataría el proyecto a una dependencia externa para un problema que el propio framework ya resuelve</w:t>
            </w:r>
          </w:p>
        </w:tc>
      </w:tr>
    </w:tbl>
    <w:p>
      <w:pPr>
        <w:spacing w:after="40"/>
      </w:pPr>
    </w:p>
    <w:p>
      <w:pPr>
        <w:pStyle w:val="Heading3"/>
      </w:pPr>
      <w:r>
        <w:t>3.5 Facilidad para realizar cambios futuros</w:t>
      </w:r>
    </w:p>
    <w:p>
      <w:r>
        <w:t xml:space="preserve">Esta es la criterio </w:t>
      </w:r>
      <w:r>
        <w:rPr>
          <w:b/>
        </w:rPr>
        <w:t>decisivo</w:t>
      </w:r>
      <w:r>
        <w:t xml:space="preserve"> del proyecto, porque el enunciado advierte explícitamente que </w:t>
      </w:r>
      <w:r>
        <w:rPr>
          <w:i/>
        </w:rPr>
        <w:t>el Product Owner podrá modificar, ampliar o eliminar funcionalidades conforme evolucione el proyecto</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Mecanismo</w:t>
            </w:r>
          </w:p>
        </w:tc>
        <w:tc>
          <w:tcPr>
            <w:tcW w:type="dxa" w:w="3249"/>
            <w:shd w:val="clear" w:color="auto" w:fill="1F3B73"/>
          </w:tcPr>
          <w:p>
            <w:r/>
            <w:r>
              <w:rPr>
                <w:b/>
                <w:color w:val="FFFFFF"/>
                <w:sz w:val="19"/>
              </w:rPr>
              <w:t>Cómo habilita el cambio</w:t>
            </w:r>
          </w:p>
        </w:tc>
        <w:tc>
          <w:tcPr>
            <w:tcW w:type="dxa" w:w="3249"/>
            <w:shd w:val="clear" w:color="auto" w:fill="1F3B73"/>
          </w:tcPr>
          <w:p>
            <w:r/>
            <w:r>
              <w:rPr>
                <w:b/>
                <w:color w:val="FFFFFF"/>
                <w:sz w:val="19"/>
              </w:rPr>
              <w:t>Evidencia</w:t>
            </w:r>
          </w:p>
        </w:tc>
      </w:tr>
      <w:tr>
        <w:tc>
          <w:tcPr>
            <w:tcW w:type="dxa" w:w="3249"/>
          </w:tcPr>
          <w:p>
            <w:r/>
            <w:r>
              <w:rPr>
                <w:b/>
                <w:sz w:val="19"/>
              </w:rPr>
              <w:t>**Tabla de transiciones como dato**</w:t>
            </w:r>
          </w:p>
        </w:tc>
        <w:tc>
          <w:tcPr>
            <w:tcW w:type="dxa" w:w="3249"/>
          </w:tcPr>
          <w:p>
            <w:r/>
            <w:r>
              <w:rPr>
                <w:sz w:val="19"/>
              </w:rPr>
              <w:t>Añadir un estado o una transición es **editar una tabla**, no reescribir condicionales</w:t>
            </w:r>
          </w:p>
        </w:tc>
        <w:tc>
          <w:tcPr>
            <w:tcW w:type="dxa" w:w="3249"/>
          </w:tcPr>
          <w:p>
            <w:r/>
            <w:r>
              <w:rPr>
                <w:sz w:val="19"/>
              </w:rPr>
              <w:t>`solicitud-state-machine.ts:26-47`</w:t>
            </w:r>
          </w:p>
        </w:tc>
      </w:tr>
      <w:tr>
        <w:tc>
          <w:tcPr>
            <w:tcW w:type="dxa" w:w="3249"/>
          </w:tcPr>
          <w:p>
            <w:r/>
            <w:r>
              <w:rPr>
                <w:b/>
                <w:sz w:val="19"/>
              </w:rPr>
              <w:t>**Maquinas de estado separadas**</w:t>
            </w:r>
          </w:p>
        </w:tc>
        <w:tc>
          <w:tcPr>
            <w:tcW w:type="dxa" w:w="3249"/>
          </w:tcPr>
          <w:p>
            <w:r/>
            <w:r>
              <w:rPr>
                <w:sz w:val="19"/>
              </w:rPr>
              <w:t>La FSM de solicitud y la de convocatoria evolucionan de forma independiente</w:t>
            </w:r>
          </w:p>
        </w:tc>
        <w:tc>
          <w:tcPr>
            <w:tcW w:type="dxa" w:w="3249"/>
          </w:tcPr>
          <w:p>
            <w:r/>
            <w:r>
              <w:rPr>
                <w:sz w:val="19"/>
              </w:rPr>
              <w:t>`convocatoria-state-machine.ts`, `solicitud-state-machine.ts`</w:t>
            </w:r>
          </w:p>
        </w:tc>
      </w:tr>
      <w:tr>
        <w:tc>
          <w:tcPr>
            <w:tcW w:type="dxa" w:w="3249"/>
          </w:tcPr>
          <w:p>
            <w:r/>
            <w:r>
              <w:rPr>
                <w:b/>
                <w:sz w:val="19"/>
              </w:rPr>
              <w:t>**Permisos como datos**</w:t>
            </w:r>
          </w:p>
        </w:tc>
        <w:tc>
          <w:tcPr>
            <w:tcW w:type="dxa" w:w="3249"/>
          </w:tcPr>
          <w:p>
            <w:r/>
            <w:r>
              <w:rPr>
                <w:sz w:val="19"/>
              </w:rPr>
              <w:t>Conceder o retirar un permiso es una fila en `RolPermiso`/`UsuarioPermiso`, **sin tocar código ni redesplegar**</w:t>
            </w:r>
          </w:p>
        </w:tc>
        <w:tc>
          <w:tcPr>
            <w:tcW w:type="dxa" w:w="3249"/>
          </w:tcPr>
          <w:p>
            <w:r/>
            <w:r>
              <w:rPr>
                <w:sz w:val="19"/>
              </w:rPr>
              <w:t>`permission-chain.ts`</w:t>
            </w:r>
          </w:p>
        </w:tc>
      </w:tr>
      <w:tr>
        <w:tc>
          <w:tcPr>
            <w:tcW w:type="dxa" w:w="3249"/>
          </w:tcPr>
          <w:p>
            <w:r/>
            <w:r>
              <w:rPr>
                <w:b/>
                <w:sz w:val="19"/>
              </w:rPr>
              <w:t>**Reglas de monto configurables**</w:t>
            </w:r>
          </w:p>
        </w:tc>
        <w:tc>
          <w:tcPr>
            <w:tcW w:type="dxa" w:w="3249"/>
          </w:tcPr>
          <w:p>
            <w:r/>
            <w:r>
              <w:rPr>
                <w:sz w:val="19"/>
              </w:rPr>
              <w:t>Cambiar la política económica de una convocatoria es editar `ConvocatoriaReglaMonto`</w:t>
            </w:r>
          </w:p>
        </w:tc>
        <w:tc>
          <w:tcPr>
            <w:tcW w:type="dxa" w:w="3249"/>
          </w:tcPr>
          <w:p>
            <w:r/>
            <w:r>
              <w:rPr>
                <w:sz w:val="19"/>
              </w:rPr>
              <w:t>ADR-013</w:t>
            </w:r>
          </w:p>
        </w:tc>
      </w:tr>
      <w:tr>
        <w:tc>
          <w:tcPr>
            <w:tcW w:type="dxa" w:w="3249"/>
          </w:tcPr>
          <w:p>
            <w:r/>
            <w:r>
              <w:rPr>
                <w:b/>
                <w:sz w:val="19"/>
              </w:rPr>
              <w:t>**Base de conocimiento del asistente como datos**</w:t>
            </w:r>
          </w:p>
        </w:tc>
        <w:tc>
          <w:tcPr>
            <w:tcW w:type="dxa" w:w="3249"/>
          </w:tcPr>
          <w:p>
            <w:r/>
            <w:r>
              <w:rPr>
                <w:sz w:val="19"/>
              </w:rPr>
              <w:t>Añadir documentos a la KB es un `INSERT`, no un despliegue</w:t>
            </w:r>
          </w:p>
        </w:tc>
        <w:tc>
          <w:tcPr>
            <w:tcW w:type="dxa" w:w="3249"/>
          </w:tcPr>
          <w:p>
            <w:r/>
            <w:r>
              <w:rPr>
                <w:sz w:val="19"/>
              </w:rPr>
              <w:t>`asistente_base_conocimiento`</w:t>
            </w:r>
          </w:p>
        </w:tc>
      </w:tr>
      <w:tr>
        <w:tc>
          <w:tcPr>
            <w:tcW w:type="dxa" w:w="3249"/>
          </w:tcPr>
          <w:p>
            <w:r/>
            <w:r>
              <w:rPr>
                <w:b/>
                <w:sz w:val="19"/>
              </w:rPr>
              <w:t>**Adaptadores extensibles**</w:t>
            </w:r>
          </w:p>
        </w:tc>
        <w:tc>
          <w:tcPr>
            <w:tcW w:type="dxa" w:w="3249"/>
          </w:tcPr>
          <w:p>
            <w:r/>
            <w:r>
              <w:rPr>
                <w:sz w:val="19"/>
              </w:rPr>
              <w:t>Cambiar de motor de PDF, de almacenamiento o de proveedor de IA es registrar un provider</w:t>
            </w:r>
          </w:p>
        </w:tc>
        <w:tc>
          <w:tcPr>
            <w:tcW w:type="dxa" w:w="3249"/>
          </w:tcPr>
          <w:p>
            <w:r/>
            <w:r>
              <w:rPr>
                <w:sz w:val="19"/>
              </w:rPr>
              <w:t>`storage/`, `solicitudes/pdf/`, `asistente/providers/`</w:t>
            </w:r>
          </w:p>
        </w:tc>
      </w:tr>
      <w:tr>
        <w:tc>
          <w:tcPr>
            <w:tcW w:type="dxa" w:w="3249"/>
          </w:tcPr>
          <w:p>
            <w:r/>
            <w:r>
              <w:rPr>
                <w:b/>
                <w:sz w:val="19"/>
              </w:rPr>
              <w:t>**Contrato uniforme de API**</w:t>
            </w:r>
          </w:p>
        </w:tc>
        <w:tc>
          <w:tcPr>
            <w:tcW w:type="dxa" w:w="3249"/>
          </w:tcPr>
          <w:p>
            <w:r/>
            <w:r>
              <w:rPr>
                <w:sz w:val="19"/>
              </w:rPr>
              <w:t>El frontend consume un envelope estable; cambios internos no rompen la UI</w:t>
            </w:r>
          </w:p>
        </w:tc>
        <w:tc>
          <w:tcPr>
            <w:tcW w:type="dxa" w:w="3249"/>
          </w:tcPr>
          <w:p>
            <w:r/>
            <w:r>
              <w:rPr>
                <w:sz w:val="19"/>
              </w:rPr>
              <w:t>ADR-020</w:t>
            </w:r>
          </w:p>
        </w:tc>
      </w:tr>
    </w:tbl>
    <w:p>
      <w:pPr>
        <w:spacing w:after="40"/>
      </w:pPr>
    </w:p>
    <w:p>
      <w:r/>
      <w:r>
        <w:rPr>
          <w:b/>
        </w:rPr>
        <w:t>Demostración empírica.</w:t>
      </w:r>
      <w:r>
        <w:t xml:space="preserve"> El Sprint 8 incorporó cinco requisitos nuevos (segunda aprobación por monto, montos por tramos, bitácora inmutable, eliminación de cuenta, accesibilidad WCAG 2.2 AA) </w:t>
      </w:r>
      <w:r>
        <w:rPr>
          <w:b/>
        </w:rPr>
        <w:t>sin reescribir el dominio existente</w:t>
      </w:r>
      <w:r>
        <w:t xml:space="preserve"> y sin romper la suite de pruebas. El detalle está en [03-documento-vision.md](03-documento-vision.md) §7 y en los ADR-012 a ADR-016.</w:t>
      </w:r>
    </w:p>
    <w:p>
      <w:r/>
      <w:r>
        <w:rPr>
          <w:b/>
        </w:rPr>
        <w:t>Alternativas descartadas.</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Motivo del descarte</w:t>
            </w:r>
          </w:p>
        </w:tc>
      </w:tr>
      <w:tr>
        <w:tc>
          <w:tcPr>
            <w:tcW w:type="dxa" w:w="4873"/>
          </w:tcPr>
          <w:p>
            <w:r/>
            <w:r>
              <w:rPr>
                <w:b/>
                <w:sz w:val="19"/>
              </w:rPr>
              <w:t>Codificar las reglas de negocio en condicionales dentro de los servicios</w:t>
            </w:r>
          </w:p>
        </w:tc>
        <w:tc>
          <w:tcPr>
            <w:tcW w:type="dxa" w:w="4873"/>
          </w:tcPr>
          <w:p>
            <w:r/>
            <w:r>
              <w:rPr>
                <w:sz w:val="19"/>
              </w:rPr>
              <w:t>Cada nuevo caso exigiría revisar todos los `if` relacionados: alto riesgo de regresión</w:t>
            </w:r>
          </w:p>
        </w:tc>
      </w:tr>
      <w:tr>
        <w:tc>
          <w:tcPr>
            <w:tcW w:type="dxa" w:w="4873"/>
          </w:tcPr>
          <w:p>
            <w:r/>
            <w:r>
              <w:rPr>
                <w:b/>
                <w:sz w:val="19"/>
              </w:rPr>
              <w:t>Configuración en archivos en lugar de base de datos</w:t>
            </w:r>
          </w:p>
        </w:tc>
        <w:tc>
          <w:tcPr>
            <w:tcW w:type="dxa" w:w="4873"/>
          </w:tcPr>
          <w:p>
            <w:r/>
            <w:r>
              <w:rPr>
                <w:sz w:val="19"/>
              </w:rPr>
              <w:t>Los cambios requieren redespliegue, lo que rompe la entrega continua y el ritmo de sprint</w:t>
            </w:r>
          </w:p>
        </w:tc>
      </w:tr>
    </w:tbl>
    <w:p>
      <w:pPr>
        <w:spacing w:after="40"/>
      </w:pPr>
    </w:p>
    <w:p>
      <w:pPr>
        <w:pStyle w:val="Heading3"/>
      </w:pPr>
      <w:r>
        <w:t>3.6 Complejidad del proyecto</w:t>
      </w:r>
    </w:p>
    <w:p>
      <w:r/>
      <w:r>
        <w:rPr>
          <w:b/>
        </w:rPr>
        <w:t>Diagnóstico de la complejidad real.</w:t>
      </w:r>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F3B73"/>
          </w:tcPr>
          <w:p>
            <w:r/>
            <w:r>
              <w:rPr>
                <w:b/>
                <w:color w:val="FFFFFF"/>
                <w:sz w:val="19"/>
              </w:rPr>
              <w:t>Dimensión</w:t>
            </w:r>
          </w:p>
        </w:tc>
        <w:tc>
          <w:tcPr>
            <w:tcW w:type="dxa" w:w="3249"/>
            <w:shd w:val="clear" w:color="auto" w:fill="1F3B73"/>
          </w:tcPr>
          <w:p>
            <w:r/>
            <w:r>
              <w:rPr>
                <w:b/>
                <w:color w:val="FFFFFF"/>
                <w:sz w:val="19"/>
              </w:rPr>
              <w:t>Valor del proyecto</w:t>
            </w:r>
          </w:p>
        </w:tc>
        <w:tc>
          <w:tcPr>
            <w:tcW w:type="dxa" w:w="3249"/>
            <w:shd w:val="clear" w:color="auto" w:fill="1F3B73"/>
          </w:tcPr>
          <w:p>
            <w:r/>
            <w:r>
              <w:rPr>
                <w:b/>
                <w:color w:val="FFFFFF"/>
                <w:sz w:val="19"/>
              </w:rPr>
              <w:t>Implicación arquitectónica</w:t>
            </w:r>
          </w:p>
        </w:tc>
      </w:tr>
      <w:tr>
        <w:tc>
          <w:tcPr>
            <w:tcW w:type="dxa" w:w="3249"/>
          </w:tcPr>
          <w:p>
            <w:r/>
            <w:r>
              <w:rPr>
                <w:b/>
                <w:sz w:val="19"/>
              </w:rPr>
              <w:t>Dominios de negocio</w:t>
            </w:r>
          </w:p>
        </w:tc>
        <w:tc>
          <w:tcPr>
            <w:tcW w:type="dxa" w:w="3249"/>
          </w:tcPr>
          <w:p>
            <w:r/>
            <w:r>
              <w:rPr>
                <w:sz w:val="19"/>
              </w:rPr>
              <w:t>9 (convocatorias, solicitudes, evaluación, comités, sesiones, reportes, seguridad, auditoría, asistente)</w:t>
            </w:r>
          </w:p>
        </w:tc>
        <w:tc>
          <w:tcPr>
            <w:tcW w:type="dxa" w:w="3249"/>
          </w:tcPr>
          <w:p>
            <w:r/>
            <w:r>
              <w:rPr>
                <w:sz w:val="19"/>
              </w:rPr>
              <w:t>Separación en módulos</w:t>
            </w:r>
          </w:p>
        </w:tc>
      </w:tr>
      <w:tr>
        <w:tc>
          <w:tcPr>
            <w:tcW w:type="dxa" w:w="3249"/>
          </w:tcPr>
          <w:p>
            <w:r/>
            <w:r>
              <w:rPr>
                <w:b/>
                <w:sz w:val="19"/>
              </w:rPr>
              <w:t>Entidades</w:t>
            </w:r>
          </w:p>
        </w:tc>
        <w:tc>
          <w:tcPr>
            <w:tcW w:type="dxa" w:w="3249"/>
          </w:tcPr>
          <w:p>
            <w:r/>
            <w:r>
              <w:rPr>
                <w:sz w:val="19"/>
              </w:rPr>
              <w:t>36</w:t>
            </w:r>
          </w:p>
        </w:tc>
        <w:tc>
          <w:tcPr>
            <w:tcW w:type="dxa" w:w="3249"/>
          </w:tcPr>
          <w:p>
            <w:r/>
            <w:r>
              <w:rPr>
                <w:sz w:val="19"/>
              </w:rPr>
              <w:t>Un solo esquema relacional es suficiente</w:t>
            </w:r>
          </w:p>
        </w:tc>
      </w:tr>
      <w:tr>
        <w:tc>
          <w:tcPr>
            <w:tcW w:type="dxa" w:w="3249"/>
          </w:tcPr>
          <w:p>
            <w:r/>
            <w:r>
              <w:rPr>
                <w:b/>
                <w:sz w:val="19"/>
              </w:rPr>
              <w:t>Roles de usuario</w:t>
            </w:r>
          </w:p>
        </w:tc>
        <w:tc>
          <w:tcPr>
            <w:tcW w:type="dxa" w:w="3249"/>
          </w:tcPr>
          <w:p>
            <w:r/>
            <w:r>
              <w:rPr>
                <w:sz w:val="19"/>
              </w:rPr>
              <w:t>6 + permisos granulares por módulo/acción</w:t>
            </w:r>
          </w:p>
        </w:tc>
        <w:tc>
          <w:tcPr>
            <w:tcW w:type="dxa" w:w="3249"/>
          </w:tcPr>
          <w:p>
            <w:r/>
            <w:r>
              <w:rPr>
                <w:sz w:val="19"/>
              </w:rPr>
              <w:t>Autorización por *chain*, no por `if` dispersos</w:t>
            </w:r>
          </w:p>
        </w:tc>
      </w:tr>
      <w:tr>
        <w:tc>
          <w:tcPr>
            <w:tcW w:type="dxa" w:w="3249"/>
          </w:tcPr>
          <w:p>
            <w:r/>
            <w:r>
              <w:rPr>
                <w:b/>
                <w:sz w:val="19"/>
              </w:rPr>
              <w:t>Reglas de ciclo de vida</w:t>
            </w:r>
          </w:p>
        </w:tc>
        <w:tc>
          <w:tcPr>
            <w:tcW w:type="dxa" w:w="3249"/>
          </w:tcPr>
          <w:p>
            <w:r/>
            <w:r>
              <w:rPr>
                <w:sz w:val="19"/>
              </w:rPr>
              <w:t>2 máquinas de estado con 8 y 6 estados</w:t>
            </w:r>
          </w:p>
        </w:tc>
        <w:tc>
          <w:tcPr>
            <w:tcW w:type="dxa" w:w="3249"/>
          </w:tcPr>
          <w:p>
            <w:r/>
            <w:r>
              <w:rPr>
                <w:sz w:val="19"/>
              </w:rPr>
              <w:t>Tablas de transiciones</w:t>
            </w:r>
          </w:p>
        </w:tc>
      </w:tr>
      <w:tr>
        <w:tc>
          <w:tcPr>
            <w:tcW w:type="dxa" w:w="3249"/>
          </w:tcPr>
          <w:p>
            <w:r/>
            <w:r>
              <w:rPr>
                <w:b/>
                <w:sz w:val="19"/>
              </w:rPr>
              <w:t>Puntos de salida al exterior</w:t>
            </w:r>
          </w:p>
        </w:tc>
        <w:tc>
          <w:tcPr>
            <w:tcW w:type="dxa" w:w="3249"/>
          </w:tcPr>
          <w:p>
            <w:r/>
            <w:r>
              <w:rPr>
                <w:sz w:val="19"/>
              </w:rPr>
              <w:t>3 (ficheros, PDF, IA) + 1 opcional (LLM externo)</w:t>
            </w:r>
          </w:p>
        </w:tc>
        <w:tc>
          <w:tcPr>
            <w:tcW w:type="dxa" w:w="3249"/>
          </w:tcPr>
          <w:p>
            <w:r/>
            <w:r>
              <w:rPr>
                <w:sz w:val="19"/>
              </w:rPr>
              <w:t>3 adaptadores + 1 strategy</w:t>
            </w:r>
          </w:p>
        </w:tc>
      </w:tr>
      <w:tr>
        <w:tc>
          <w:tcPr>
            <w:tcW w:type="dxa" w:w="3249"/>
          </w:tcPr>
          <w:p>
            <w:r/>
            <w:r>
              <w:rPr>
                <w:b/>
                <w:sz w:val="19"/>
              </w:rPr>
              <w:t>Requisitos no funcionales fuertes</w:t>
            </w:r>
          </w:p>
        </w:tc>
        <w:tc>
          <w:tcPr>
            <w:tcW w:type="dxa" w:w="3249"/>
          </w:tcPr>
          <w:p>
            <w:r/>
            <w:r>
              <w:rPr>
                <w:sz w:val="19"/>
              </w:rPr>
              <w:t>Trazabilidad, seguridad de datos personales, accesibilidad, auditoría</w:t>
            </w:r>
          </w:p>
        </w:tc>
        <w:tc>
          <w:tcPr>
            <w:tcW w:type="dxa" w:w="3249"/>
          </w:tcPr>
          <w:p>
            <w:r/>
            <w:r>
              <w:rPr>
                <w:sz w:val="19"/>
              </w:rPr>
              <w:t>Transversales de clase `AuthzService`, `AuditService`, `BitacoraService` y `NotificacionesService`</w:t>
            </w:r>
          </w:p>
        </w:tc>
      </w:tr>
      <w:tr>
        <w:tc>
          <w:tcPr>
            <w:tcW w:type="dxa" w:w="3249"/>
          </w:tcPr>
          <w:p>
            <w:r/>
            <w:r>
              <w:rPr>
                <w:b/>
                <w:sz w:val="19"/>
              </w:rPr>
              <w:t>Tamaño del equipo</w:t>
            </w:r>
          </w:p>
        </w:tc>
        <w:tc>
          <w:tcPr>
            <w:tcW w:type="dxa" w:w="3249"/>
          </w:tcPr>
          <w:p>
            <w:r/>
            <w:r>
              <w:rPr>
                <w:sz w:val="19"/>
              </w:rPr>
              <w:t>6 personas</w:t>
            </w:r>
          </w:p>
        </w:tc>
        <w:tc>
          <w:tcPr>
            <w:tcW w:type="dxa" w:w="3249"/>
          </w:tcPr>
          <w:p>
            <w:r/>
            <w:r>
              <w:rPr>
                <w:sz w:val="19"/>
              </w:rPr>
              <w:t>Ninguna abstracción que no aporte valor verificable</w:t>
            </w:r>
          </w:p>
        </w:tc>
      </w:tr>
    </w:tbl>
    <w:p>
      <w:pPr>
        <w:spacing w:after="40"/>
      </w:pPr>
    </w:p>
    <w:p>
      <w:r/>
      <w:r>
        <w:rPr>
          <w:b/>
        </w:rPr>
        <w:t>Conclusión.</w:t>
      </w:r>
      <w:r>
        <w:t xml:space="preserve"> El proyecto es de </w:t>
      </w:r>
      <w:r>
        <w:rPr>
          <w:b/>
        </w:rPr>
        <w:t>complejidad media-alta en el dominio y baja en la infraestructura</w:t>
      </w:r>
      <w:r>
        <w:t>. La arquitectura refleja exactamente esa asimetría: el dominio se modela con detalle (máquinas de estado, tabla de decisiones, tabla de permisos, tabla de transiciones) mientras que la infraestructura se mantiene simple (una API, una base de datos, un almacenamiento en disco).</w:t>
      </w:r>
    </w:p>
    <w:p>
      <w:r/>
      <w:r>
        <w:rPr>
          <w:b/>
        </w:rPr>
        <w:t>Sobre microservicios.</w:t>
      </w:r>
      <w:r>
        <w:t xml:space="preserve"> Con 9 dominios, 6 personas y 2 semanas por sprint, los microservicios habrían multiplicado por 5 el costo operativo (un repositorio por servicio, contratos de red, despliegue coordinado, diagnóstico distribuido) a cambio de una ganancia de escalabilidad que el volumen real del MINEDUC no necesita. La decisión相反 — microservicios desde el día uno — es el error clásico de arquitectura prematura. El monolito modular </w:t>
      </w:r>
      <w:r>
        <w:rPr>
          <w:b/>
        </w:rPr>
        <w:t>deja la puerta abierta</w:t>
      </w:r>
      <w:r>
        <w:t>: cualquier módulo puede extraerse a un servicio cuando el volumen o el equipo lo justifiquen, porque sus dependencias ya están declaradas como interfaces.</w:t>
      </w:r>
    </w:p>
    <w:p>
      <w:r/>
      <w:r>
        <w:rPr>
          <w:b/>
        </w:rPr>
        <w:t>Alternativas descartadas.</w:t>
      </w:r>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3B73"/>
          </w:tcPr>
          <w:p>
            <w:r/>
            <w:r>
              <w:rPr>
                <w:b/>
                <w:color w:val="FFFFFF"/>
                <w:sz w:val="19"/>
              </w:rPr>
              <w:t>Alternativa</w:t>
            </w:r>
          </w:p>
        </w:tc>
        <w:tc>
          <w:tcPr>
            <w:tcW w:type="dxa" w:w="4873"/>
            <w:shd w:val="clear" w:color="auto" w:fill="1F3B73"/>
          </w:tcPr>
          <w:p>
            <w:r/>
            <w:r>
              <w:rPr>
                <w:b/>
                <w:color w:val="FFFFFF"/>
                <w:sz w:val="19"/>
              </w:rPr>
              <w:t>Motivo del descarte</w:t>
            </w:r>
          </w:p>
        </w:tc>
      </w:tr>
      <w:tr>
        <w:tc>
          <w:tcPr>
            <w:tcW w:type="dxa" w:w="4873"/>
          </w:tcPr>
          <w:p>
            <w:r/>
            <w:r>
              <w:rPr>
                <w:b/>
                <w:sz w:val="19"/>
              </w:rPr>
              <w:t>Microservicios desde el inicio</w:t>
            </w:r>
          </w:p>
        </w:tc>
        <w:tc>
          <w:tcPr>
            <w:tcW w:type="dxa" w:w="4873"/>
          </w:tcPr>
          <w:p>
            <w:r/>
            <w:r>
              <w:rPr>
                <w:sz w:val="19"/>
              </w:rPr>
              <w:t>Complejidad operativa desproporcionada frente al volumen y el tamaño del equipo (ADR-004)</w:t>
            </w:r>
          </w:p>
        </w:tc>
      </w:tr>
      <w:tr>
        <w:tc>
          <w:tcPr>
            <w:tcW w:type="dxa" w:w="4873"/>
          </w:tcPr>
          <w:p>
            <w:r/>
            <w:r>
              <w:rPr>
                <w:b/>
                <w:sz w:val="19"/>
              </w:rPr>
              <w:t>Monolito sin módulos ni DI</w:t>
            </w:r>
          </w:p>
        </w:tc>
        <w:tc>
          <w:tcPr>
            <w:tcW w:type="dxa" w:w="4873"/>
          </w:tcPr>
          <w:p>
            <w:r/>
            <w:r>
              <w:rPr>
                <w:sz w:val="19"/>
              </w:rPr>
              <w:t>Acoplamiento y colisiones de merge; imposible de mantener por 5 personas en paralelo</w:t>
            </w:r>
          </w:p>
        </w:tc>
      </w:tr>
      <w:tr>
        <w:tc>
          <w:tcPr>
            <w:tcW w:type="dxa" w:w="4873"/>
          </w:tcPr>
          <w:p>
            <w:r/>
            <w:r>
              <w:rPr>
                <w:b/>
                <w:sz w:val="19"/>
              </w:rPr>
              <w:t>Serverless (AWS Lambda, Cloud Functions)</w:t>
            </w:r>
          </w:p>
        </w:tc>
        <w:tc>
          <w:tcPr>
            <w:tcW w:type="dxa" w:w="4873"/>
          </w:tcPr>
          <w:p>
            <w:r/>
            <w:r>
              <w:rPr>
                <w:sz w:val="19"/>
              </w:rPr>
              <w:t>El almacenamiento de documentos y el render de PDF con Puppeteer requieren un runtime con sistema de archivos; además el despliegue por VM ya está automatizado y es más barato a esta escala</w:t>
            </w:r>
          </w:p>
        </w:tc>
      </w:tr>
    </w:tbl>
    <w:p>
      <w:pPr>
        <w:spacing w:after="40"/>
      </w:pPr>
    </w:p>
    <w:p>
      <w:pPr>
        <w:pBdr>
          <w:bottom w:val="single" w:sz="6" w:space="1" w:color="1F3B73"/>
        </w:pBdr>
      </w:pPr>
    </w:p>
    <w:p>
      <w:pPr>
        <w:pStyle w:val="Heading2"/>
      </w:pPr>
      <w:r>
        <w:t>4. Tecnologías y su justificación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3B73"/>
          </w:tcPr>
          <w:p>
            <w:r/>
            <w:r>
              <w:rPr>
                <w:b/>
                <w:color w:val="FFFFFF"/>
                <w:sz w:val="19"/>
              </w:rPr>
              <w:t>Capa</w:t>
            </w:r>
          </w:p>
        </w:tc>
        <w:tc>
          <w:tcPr>
            <w:tcW w:type="dxa" w:w="1949"/>
            <w:shd w:val="clear" w:color="auto" w:fill="1F3B73"/>
          </w:tcPr>
          <w:p>
            <w:r/>
            <w:r>
              <w:rPr>
                <w:b/>
                <w:color w:val="FFFFFF"/>
                <w:sz w:val="19"/>
              </w:rPr>
              <w:t>Tecnología</w:t>
            </w:r>
          </w:p>
        </w:tc>
        <w:tc>
          <w:tcPr>
            <w:tcW w:type="dxa" w:w="1949"/>
            <w:shd w:val="clear" w:color="auto" w:fill="1F3B73"/>
          </w:tcPr>
          <w:p>
            <w:r/>
            <w:r>
              <w:rPr>
                <w:b/>
                <w:color w:val="FFFFFF"/>
                <w:sz w:val="19"/>
              </w:rPr>
              <w:t>Alternativas consideradas</w:t>
            </w:r>
          </w:p>
        </w:tc>
        <w:tc>
          <w:tcPr>
            <w:tcW w:type="dxa" w:w="1949"/>
            <w:shd w:val="clear" w:color="auto" w:fill="1F3B73"/>
          </w:tcPr>
          <w:p>
            <w:r/>
            <w:r>
              <w:rPr>
                <w:b/>
                <w:color w:val="FFFFFF"/>
                <w:sz w:val="19"/>
              </w:rPr>
              <w:t>Motivo de la elección</w:t>
            </w:r>
          </w:p>
        </w:tc>
        <w:tc>
          <w:tcPr>
            <w:tcW w:type="dxa" w:w="1949"/>
            <w:shd w:val="clear" w:color="auto" w:fill="1F3B73"/>
          </w:tcPr>
          <w:p>
            <w:r/>
            <w:r>
              <w:rPr>
                <w:b/>
                <w:color w:val="FFFFFF"/>
                <w:sz w:val="19"/>
              </w:rPr>
              <w:t>ADR</w:t>
            </w:r>
          </w:p>
        </w:tc>
      </w:tr>
      <w:tr>
        <w:tc>
          <w:tcPr>
            <w:tcW w:type="dxa" w:w="1949"/>
          </w:tcPr>
          <w:p>
            <w:r/>
            <w:r>
              <w:rPr>
                <w:b/>
                <w:sz w:val="19"/>
              </w:rPr>
              <w:t>Lenguaje</w:t>
            </w:r>
          </w:p>
        </w:tc>
        <w:tc>
          <w:tcPr>
            <w:tcW w:type="dxa" w:w="1949"/>
          </w:tcPr>
          <w:p>
            <w:r/>
            <w:r>
              <w:rPr>
                <w:sz w:val="19"/>
              </w:rPr>
              <w:t>**TypeScript 5** (backend y frontend)</w:t>
            </w:r>
          </w:p>
        </w:tc>
        <w:tc>
          <w:tcPr>
            <w:tcW w:type="dxa" w:w="1949"/>
          </w:tcPr>
          <w:p>
            <w:r/>
            <w:r>
              <w:rPr>
                <w:sz w:val="19"/>
              </w:rPr>
              <w:t>JavaScript puro, Java, Python, C#</w:t>
            </w:r>
          </w:p>
        </w:tc>
        <w:tc>
          <w:tcPr>
            <w:tcW w:type="dxa" w:w="1949"/>
          </w:tcPr>
          <w:p>
            <w:r/>
            <w:r>
              <w:rPr>
                <w:sz w:val="19"/>
              </w:rPr>
              <w:t>Tipado estático en un dominio con muchas entidades y estados: el compilador atrapa errores de contrato antes que las pruebas. Un solo lenguaje en todo el stack reduce el costo cognitivo del equipo</w:t>
            </w:r>
          </w:p>
        </w:tc>
        <w:tc>
          <w:tcPr>
            <w:tcW w:type="dxa" w:w="1949"/>
          </w:tcPr>
          <w:p>
            <w:r/>
            <w:r>
              <w:rPr>
                <w:sz w:val="19"/>
              </w:rPr>
              <w:t>—</w:t>
            </w:r>
          </w:p>
        </w:tc>
      </w:tr>
      <w:tr>
        <w:tc>
          <w:tcPr>
            <w:tcW w:type="dxa" w:w="1949"/>
          </w:tcPr>
          <w:p>
            <w:r/>
            <w:r>
              <w:rPr>
                <w:b/>
                <w:sz w:val="19"/>
              </w:rPr>
              <w:t>Backend</w:t>
            </w:r>
          </w:p>
        </w:tc>
        <w:tc>
          <w:tcPr>
            <w:tcW w:type="dxa" w:w="1949"/>
          </w:tcPr>
          <w:p>
            <w:r/>
            <w:r>
              <w:rPr>
                <w:sz w:val="19"/>
              </w:rPr>
              <w:t>**NestJS 10**</w:t>
            </w:r>
          </w:p>
        </w:tc>
        <w:tc>
          <w:tcPr>
            <w:tcW w:type="dxa" w:w="1949"/>
          </w:tcPr>
          <w:p>
            <w:r/>
            <w:r>
              <w:rPr>
                <w:sz w:val="19"/>
              </w:rPr>
              <w:t>Express, Fastify, AdonisJS</w:t>
            </w:r>
          </w:p>
        </w:tc>
        <w:tc>
          <w:tcPr>
            <w:tcW w:type="dxa" w:w="1949"/>
          </w:tcPr>
          <w:p>
            <w:r/>
            <w:r>
              <w:rPr>
                <w:sz w:val="19"/>
              </w:rPr>
              <w:t>DI nativa, módulos, guards, pipes, interceptors y OpenAPI: todo lo que el curso evalúa (patrones, SOLID, arquitectura) tiene soporte directo</w:t>
            </w:r>
          </w:p>
        </w:tc>
        <w:tc>
          <w:tcPr>
            <w:tcW w:type="dxa" w:w="1949"/>
          </w:tcPr>
          <w:p>
            <w:r/>
            <w:r>
              <w:rPr>
                <w:sz w:val="19"/>
              </w:rPr>
              <w:t>ADR-001</w:t>
            </w:r>
          </w:p>
        </w:tc>
      </w:tr>
      <w:tr>
        <w:tc>
          <w:tcPr>
            <w:tcW w:type="dxa" w:w="1949"/>
          </w:tcPr>
          <w:p>
            <w:r/>
            <w:r>
              <w:rPr>
                <w:b/>
                <w:sz w:val="19"/>
              </w:rPr>
              <w:t>Frontend</w:t>
            </w:r>
          </w:p>
        </w:tc>
        <w:tc>
          <w:tcPr>
            <w:tcW w:type="dxa" w:w="1949"/>
          </w:tcPr>
          <w:p>
            <w:r/>
            <w:r>
              <w:rPr>
                <w:sz w:val="19"/>
              </w:rPr>
              <w:t>**Next.js 14 (App Router)**</w:t>
            </w:r>
          </w:p>
        </w:tc>
        <w:tc>
          <w:tcPr>
            <w:tcW w:type="dxa" w:w="1949"/>
          </w:tcPr>
          <w:p>
            <w:r/>
            <w:r>
              <w:rPr>
                <w:sz w:val="19"/>
              </w:rPr>
              <w:t>Vite + React, Remix, Nuxt</w:t>
            </w:r>
          </w:p>
        </w:tc>
        <w:tc>
          <w:tcPr>
            <w:tcW w:type="dxa" w:w="1949"/>
          </w:tcPr>
          <w:p>
            <w:r/>
            <w:r>
              <w:rPr>
                <w:sz w:val="19"/>
              </w:rPr>
              <w:t>SSR y SEO para el portal público; Server Components para reducir el bundle; rewrite por proxy que evita CORS</w:t>
            </w:r>
          </w:p>
        </w:tc>
        <w:tc>
          <w:tcPr>
            <w:tcW w:type="dxa" w:w="1949"/>
          </w:tcPr>
          <w:p>
            <w:r/>
            <w:r>
              <w:rPr>
                <w:sz w:val="19"/>
              </w:rPr>
              <w:t>ADR-002</w:t>
            </w:r>
          </w:p>
        </w:tc>
      </w:tr>
      <w:tr>
        <w:tc>
          <w:tcPr>
            <w:tcW w:type="dxa" w:w="1949"/>
          </w:tcPr>
          <w:p>
            <w:r/>
            <w:r>
              <w:rPr>
                <w:b/>
                <w:sz w:val="19"/>
              </w:rPr>
              <w:t>ORM</w:t>
            </w:r>
          </w:p>
        </w:tc>
        <w:tc>
          <w:tcPr>
            <w:tcW w:type="dxa" w:w="1949"/>
          </w:tcPr>
          <w:p>
            <w:r/>
            <w:r>
              <w:rPr>
                <w:sz w:val="19"/>
              </w:rPr>
              <w:t>**Prisma 5**</w:t>
            </w:r>
          </w:p>
        </w:tc>
        <w:tc>
          <w:tcPr>
            <w:tcW w:type="dxa" w:w="1949"/>
          </w:tcPr>
          <w:p>
            <w:r/>
            <w:r>
              <w:rPr>
                <w:sz w:val="19"/>
              </w:rPr>
              <w:t>TypeORM, Drizzle, Knex</w:t>
            </w:r>
          </w:p>
        </w:tc>
        <w:tc>
          <w:tcPr>
            <w:tcW w:type="dxa" w:w="1949"/>
          </w:tcPr>
          <w:p>
            <w:r/>
            <w:r>
              <w:rPr>
                <w:sz w:val="19"/>
              </w:rPr>
              <w:t>Consultas parametrizadas por defecto (defensa ante SQL injection), tipos derivados del esquema, migraciones declarativas versionadas</w:t>
            </w:r>
          </w:p>
        </w:tc>
        <w:tc>
          <w:tcPr>
            <w:tcW w:type="dxa" w:w="1949"/>
          </w:tcPr>
          <w:p>
            <w:r/>
            <w:r>
              <w:rPr>
                <w:sz w:val="19"/>
              </w:rPr>
              <w:t>ADR-003</w:t>
            </w:r>
          </w:p>
        </w:tc>
      </w:tr>
      <w:tr>
        <w:tc>
          <w:tcPr>
            <w:tcW w:type="dxa" w:w="1949"/>
          </w:tcPr>
          <w:p>
            <w:r/>
            <w:r>
              <w:rPr>
                <w:b/>
                <w:sz w:val="19"/>
              </w:rPr>
              <w:t>Base de datos</w:t>
            </w:r>
          </w:p>
        </w:tc>
        <w:tc>
          <w:tcPr>
            <w:tcW w:type="dxa" w:w="1949"/>
          </w:tcPr>
          <w:p>
            <w:r/>
            <w:r>
              <w:rPr>
                <w:sz w:val="19"/>
              </w:rPr>
              <w:t>**PostgreSQL 16**</w:t>
            </w:r>
          </w:p>
        </w:tc>
        <w:tc>
          <w:tcPr>
            <w:tcW w:type="dxa" w:w="1949"/>
          </w:tcPr>
          <w:p>
            <w:r/>
            <w:r>
              <w:rPr>
                <w:sz w:val="19"/>
              </w:rPr>
              <w:t>MySQL, SQLite, MongoDB</w:t>
            </w:r>
          </w:p>
        </w:tc>
        <w:tc>
          <w:tcPr>
            <w:tcW w:type="dxa" w:w="1949"/>
          </w:tcPr>
          <w:p>
            <w:r/>
            <w:r>
              <w:rPr>
                <w:sz w:val="19"/>
              </w:rPr>
              <w:t>Integridad referencial con 36 entidades, JSONB, índices avanzados y **Full Text Search en español**, que alimenta el asistente sin depender de un servicio externo de embeddings</w:t>
            </w:r>
          </w:p>
        </w:tc>
        <w:tc>
          <w:tcPr>
            <w:tcW w:type="dxa" w:w="1949"/>
          </w:tcPr>
          <w:p>
            <w:r/>
            <w:r>
              <w:rPr>
                <w:sz w:val="19"/>
              </w:rPr>
              <w:t>ADR-005</w:t>
            </w:r>
          </w:p>
        </w:tc>
      </w:tr>
      <w:tr>
        <w:tc>
          <w:tcPr>
            <w:tcW w:type="dxa" w:w="1949"/>
          </w:tcPr>
          <w:p>
            <w:r/>
            <w:r>
              <w:rPr>
                <w:b/>
                <w:sz w:val="19"/>
              </w:rPr>
              <w:t>Autenticación</w:t>
            </w:r>
          </w:p>
        </w:tc>
        <w:tc>
          <w:tcPr>
            <w:tcW w:type="dxa" w:w="1949"/>
          </w:tcPr>
          <w:p>
            <w:r/>
            <w:r>
              <w:rPr>
                <w:sz w:val="19"/>
              </w:rPr>
              <w:t>**Passport + JWT** (access 15 min / refresh 7 d)</w:t>
            </w:r>
          </w:p>
        </w:tc>
        <w:tc>
          <w:tcPr>
            <w:tcW w:type="dxa" w:w="1949"/>
          </w:tcPr>
          <w:p>
            <w:r/>
            <w:r>
              <w:rPr>
                <w:sz w:val="19"/>
              </w:rPr>
              <w:t>Sesiones con cookie, OAuth</w:t>
            </w:r>
          </w:p>
        </w:tc>
        <w:tc>
          <w:tcPr>
            <w:tcW w:type="dxa" w:w="1949"/>
          </w:tcPr>
          <w:p>
            <w:r/>
            <w:r>
              <w:rPr>
                <w:sz w:val="19"/>
              </w:rPr>
              <w:t>Stateless y compatible con el modelo de despliegue en VM; secretos separados para acceso y refresco</w:t>
            </w:r>
          </w:p>
        </w:tc>
        <w:tc>
          <w:tcPr>
            <w:tcW w:type="dxa" w:w="1949"/>
          </w:tcPr>
          <w:p>
            <w:r/>
            <w:r>
              <w:rPr>
                <w:sz w:val="19"/>
              </w:rPr>
              <w:t>ADR-006</w:t>
            </w:r>
          </w:p>
        </w:tc>
      </w:tr>
      <w:tr>
        <w:tc>
          <w:tcPr>
            <w:tcW w:type="dxa" w:w="1949"/>
          </w:tcPr>
          <w:p>
            <w:r/>
            <w:r>
              <w:rPr>
                <w:b/>
                <w:sz w:val="19"/>
              </w:rPr>
              <w:t>Autorización</w:t>
            </w:r>
          </w:p>
        </w:tc>
        <w:tc>
          <w:tcPr>
            <w:tcW w:type="dxa" w:w="1949"/>
          </w:tcPr>
          <w:p>
            <w:r/>
            <w:r>
              <w:rPr>
                <w:sz w:val="19"/>
              </w:rPr>
              <w:t>**Chain of Responsibility** (propia)</w:t>
            </w:r>
          </w:p>
        </w:tc>
        <w:tc>
          <w:tcPr>
            <w:tcW w:type="dxa" w:w="1949"/>
          </w:tcPr>
          <w:p>
            <w:r/>
            <w:r>
              <w:rPr>
                <w:sz w:val="19"/>
              </w:rPr>
              <w:t>RBAC puro con `if` por rol</w:t>
            </w:r>
          </w:p>
        </w:tc>
        <w:tc>
          <w:tcPr>
            <w:tcW w:type="dxa" w:w="1949"/>
          </w:tcPr>
          <w:p>
            <w:r/>
            <w:r>
              <w:rPr>
                <w:sz w:val="19"/>
              </w:rPr>
              <w:t>Soporta el requisito real: permiso por rol **más** excepción individual por usuario, con precedencia y cierre *fail-closed*</w:t>
            </w:r>
          </w:p>
        </w:tc>
        <w:tc>
          <w:tcPr>
            <w:tcW w:type="dxa" w:w="1949"/>
          </w:tcPr>
          <w:p>
            <w:r/>
            <w:r>
              <w:rPr>
                <w:sz w:val="19"/>
              </w:rPr>
              <w:t>ADR-011</w:t>
            </w:r>
          </w:p>
        </w:tc>
      </w:tr>
      <w:tr>
        <w:tc>
          <w:tcPr>
            <w:tcW w:type="dxa" w:w="1949"/>
          </w:tcPr>
          <w:p>
            <w:r/>
            <w:r>
              <w:rPr>
                <w:b/>
                <w:sz w:val="19"/>
              </w:rPr>
              <w:t>Almacenamiento</w:t>
            </w:r>
          </w:p>
        </w:tc>
        <w:tc>
          <w:tcPr>
            <w:tcW w:type="dxa" w:w="1949"/>
          </w:tcPr>
          <w:p>
            <w:r/>
            <w:r>
              <w:rPr>
                <w:sz w:val="19"/>
              </w:rPr>
              <w:t>**Filesystem detrás de `DocumentStorage`**</w:t>
            </w:r>
          </w:p>
        </w:tc>
        <w:tc>
          <w:tcPr>
            <w:tcW w:type="dxa" w:w="1949"/>
          </w:tcPr>
          <w:p>
            <w:r/>
            <w:r>
              <w:rPr>
                <w:sz w:val="19"/>
              </w:rPr>
              <w:t>S3, Azure Blob</w:t>
            </w:r>
          </w:p>
        </w:tc>
        <w:tc>
          <w:tcPr>
            <w:tcW w:type="dxa" w:w="1949"/>
          </w:tcPr>
          <w:p>
            <w:r/>
            <w:r>
              <w:rPr>
                <w:sz w:val="19"/>
              </w:rPr>
              <w:t>Cumplimiento en la VM institucional sin dependencia externa; el Adapter mantiene abierta la migración</w:t>
            </w:r>
          </w:p>
        </w:tc>
        <w:tc>
          <w:tcPr>
            <w:tcW w:type="dxa" w:w="1949"/>
          </w:tcPr>
          <w:p>
            <w:r/>
            <w:r>
              <w:rPr>
                <w:sz w:val="19"/>
              </w:rPr>
              <w:t>ADR-007</w:t>
            </w:r>
          </w:p>
        </w:tc>
      </w:tr>
      <w:tr>
        <w:tc>
          <w:tcPr>
            <w:tcW w:type="dxa" w:w="1949"/>
          </w:tcPr>
          <w:p>
            <w:r/>
            <w:r>
              <w:rPr>
                <w:b/>
                <w:sz w:val="19"/>
              </w:rPr>
              <w:t>PDF</w:t>
            </w:r>
          </w:p>
        </w:tc>
        <w:tc>
          <w:tcPr>
            <w:tcW w:type="dxa" w:w="1949"/>
          </w:tcPr>
          <w:p>
            <w:r/>
            <w:r>
              <w:rPr>
                <w:sz w:val="19"/>
              </w:rPr>
              <w:t>**Puppeteer (Chromium headless)**</w:t>
            </w:r>
          </w:p>
        </w:tc>
        <w:tc>
          <w:tcPr>
            <w:tcW w:type="dxa" w:w="1949"/>
          </w:tcPr>
          <w:p>
            <w:r/>
            <w:r>
              <w:rPr>
                <w:sz w:val="19"/>
              </w:rPr>
              <w:t>pdfkit, jsPDF</w:t>
            </w:r>
          </w:p>
        </w:tc>
        <w:tc>
          <w:tcPr>
            <w:tcW w:type="dxa" w:w="1949"/>
          </w:tcPr>
          <w:p>
            <w:r/>
            <w:r>
              <w:rPr>
                <w:sz w:val="19"/>
              </w:rPr>
              <w:t>Renderiza HTML real: la constancia replica el diseño institucional sin maquetar a mano</w:t>
            </w:r>
          </w:p>
        </w:tc>
        <w:tc>
          <w:tcPr>
            <w:tcW w:type="dxa" w:w="1949"/>
          </w:tcPr>
          <w:p>
            <w:r/>
            <w:r>
              <w:rPr>
                <w:sz w:val="19"/>
              </w:rPr>
              <w:t>ADR-009</w:t>
            </w:r>
          </w:p>
        </w:tc>
      </w:tr>
      <w:tr>
        <w:tc>
          <w:tcPr>
            <w:tcW w:type="dxa" w:w="1949"/>
          </w:tcPr>
          <w:p>
            <w:r/>
            <w:r>
              <w:rPr>
                <w:b/>
                <w:sz w:val="19"/>
              </w:rPr>
              <w:t>Asistente IA</w:t>
            </w:r>
          </w:p>
        </w:tc>
        <w:tc>
          <w:tcPr>
            <w:tcW w:type="dxa" w:w="1949"/>
          </w:tcPr>
          <w:p>
            <w:r/>
            <w:r>
              <w:rPr>
                <w:sz w:val="19"/>
              </w:rPr>
              <w:t>**FTS PostgreSQL + LLM opcional**</w:t>
            </w:r>
          </w:p>
        </w:tc>
        <w:tc>
          <w:tcPr>
            <w:tcW w:type="dxa" w:w="1949"/>
          </w:tcPr>
          <w:p>
            <w:r/>
            <w:r>
              <w:rPr>
                <w:sz w:val="19"/>
              </w:rPr>
              <w:t>RAG con embeddings y vector store</w:t>
            </w:r>
          </w:p>
        </w:tc>
        <w:tc>
          <w:tcPr>
            <w:tcW w:type="dxa" w:w="1949"/>
          </w:tcPr>
          <w:p>
            <w:r/>
            <w:r>
              <w:rPr>
                <w:sz w:val="19"/>
              </w:rPr>
              <w:t>Funciona sin credenciales externas y sin base vectorial; el LLM es un extra, no un requisito</w:t>
            </w:r>
          </w:p>
        </w:tc>
        <w:tc>
          <w:tcPr>
            <w:tcW w:type="dxa" w:w="1949"/>
          </w:tcPr>
          <w:p>
            <w:r/>
            <w:r>
              <w:rPr>
                <w:sz w:val="19"/>
              </w:rPr>
              <w:t>ADR-019</w:t>
            </w:r>
          </w:p>
        </w:tc>
      </w:tr>
      <w:tr>
        <w:tc>
          <w:tcPr>
            <w:tcW w:type="dxa" w:w="1949"/>
          </w:tcPr>
          <w:p>
            <w:r/>
            <w:r>
              <w:rPr>
                <w:b/>
                <w:sz w:val="19"/>
              </w:rPr>
              <w:t>Pruebas</w:t>
            </w:r>
          </w:p>
        </w:tc>
        <w:tc>
          <w:tcPr>
            <w:tcW w:type="dxa" w:w="1949"/>
          </w:tcPr>
          <w:p>
            <w:r/>
            <w:r>
              <w:rPr>
                <w:sz w:val="19"/>
              </w:rPr>
              <w:t>**Jest + Supertest + Playwright**</w:t>
            </w:r>
          </w:p>
        </w:tc>
        <w:tc>
          <w:tcPr>
            <w:tcW w:type="dxa" w:w="1949"/>
          </w:tcPr>
          <w:p>
            <w:r/>
            <w:r>
              <w:rPr>
                <w:sz w:val="19"/>
              </w:rPr>
              <w:t>Vitest, Cypress</w:t>
            </w:r>
          </w:p>
        </w:tc>
        <w:tc>
          <w:tcPr>
            <w:tcW w:type="dxa" w:w="1949"/>
          </w:tcPr>
          <w:p>
            <w:r/>
            <w:r>
              <w:rPr>
                <w:sz w:val="19"/>
              </w:rPr>
              <w:t>Integración oficial con NestJS; Playwright añade el chequeo de accesibilidad con axe en el mismo recorrido</w:t>
            </w:r>
          </w:p>
        </w:tc>
        <w:tc>
          <w:tcPr>
            <w:tcW w:type="dxa" w:w="1949"/>
          </w:tcPr>
          <w:p>
            <w:r/>
            <w:r>
              <w:rPr>
                <w:sz w:val="19"/>
              </w:rPr>
              <w:t>—</w:t>
            </w:r>
          </w:p>
        </w:tc>
      </w:tr>
      <w:tr>
        <w:tc>
          <w:tcPr>
            <w:tcW w:type="dxa" w:w="1949"/>
          </w:tcPr>
          <w:p>
            <w:r/>
            <w:r>
              <w:rPr>
                <w:b/>
                <w:sz w:val="19"/>
              </w:rPr>
              <w:t>CI/CD</w:t>
            </w:r>
          </w:p>
        </w:tc>
        <w:tc>
          <w:tcPr>
            <w:tcW w:type="dxa" w:w="1949"/>
          </w:tcPr>
          <w:p>
            <w:r/>
            <w:r>
              <w:rPr>
                <w:sz w:val="19"/>
              </w:rPr>
              <w:t>**GitHub Actions + PM2 + nginx**</w:t>
            </w:r>
          </w:p>
        </w:tc>
        <w:tc>
          <w:tcPr>
            <w:tcW w:type="dxa" w:w="1949"/>
          </w:tcPr>
          <w:p>
            <w:r/>
            <w:r>
              <w:rPr>
                <w:sz w:val="19"/>
              </w:rPr>
              <w:t>Jenkins, GitLab CI, ArgoCD</w:t>
            </w:r>
          </w:p>
        </w:tc>
        <w:tc>
          <w:tcPr>
            <w:tcW w:type="dxa" w:w="1949"/>
          </w:tcPr>
          <w:p>
            <w:r/>
            <w:r>
              <w:rPr>
                <w:sz w:val="19"/>
              </w:rPr>
              <w:t>CI/CD nativo en el repositorio, despliegue por SSH sin servidor adicional de ejecución</w:t>
            </w:r>
          </w:p>
        </w:tc>
        <w:tc>
          <w:tcPr>
            <w:tcW w:type="dxa" w:w="1949"/>
          </w:tcPr>
          <w:p>
            <w:r/>
            <w:r>
              <w:rPr>
                <w:sz w:val="19"/>
              </w:rPr>
              <w:t>ADR-021</w:t>
            </w:r>
          </w:p>
        </w:tc>
      </w:tr>
      <w:tr>
        <w:tc>
          <w:tcPr>
            <w:tcW w:type="dxa" w:w="1949"/>
          </w:tcPr>
          <w:p>
            <w:r/>
            <w:r>
              <w:rPr>
                <w:b/>
                <w:sz w:val="19"/>
              </w:rPr>
              <w:t>Monorepo</w:t>
            </w:r>
          </w:p>
        </w:tc>
        <w:tc>
          <w:tcPr>
            <w:tcW w:type="dxa" w:w="1949"/>
          </w:tcPr>
          <w:p>
            <w:r/>
            <w:r>
              <w:rPr>
                <w:sz w:val="19"/>
              </w:rPr>
              <w:t>**npm workspaces + Turborepo**</w:t>
            </w:r>
          </w:p>
        </w:tc>
        <w:tc>
          <w:tcPr>
            <w:tcW w:type="dxa" w:w="1949"/>
          </w:tcPr>
          <w:p>
            <w:r/>
            <w:r>
              <w:rPr>
                <w:sz w:val="19"/>
              </w:rPr>
              <w:t>Nx, Lerna, sin monorepo</w:t>
            </w:r>
          </w:p>
        </w:tc>
        <w:tc>
          <w:tcPr>
            <w:tcW w:type="dxa" w:w="1949"/>
          </w:tcPr>
          <w:p>
            <w:r/>
            <w:r>
              <w:rPr>
                <w:sz w:val="19"/>
              </w:rPr>
              <w:t>Orquestación de tareas con caché, sin dependencia de cloud ni cuenta</w:t>
            </w:r>
          </w:p>
        </w:tc>
        <w:tc>
          <w:tcPr>
            <w:tcW w:type="dxa" w:w="1949"/>
          </w:tcPr>
          <w:p>
            <w:r/>
            <w:r>
              <w:rPr>
                <w:sz w:val="19"/>
              </w:rPr>
              <w:t>—</w:t>
            </w:r>
          </w:p>
        </w:tc>
      </w:tr>
    </w:tbl>
    <w:p>
      <w:pPr>
        <w:spacing w:after="40"/>
      </w:pPr>
    </w:p>
    <w:p>
      <w:pPr>
        <w:pBdr>
          <w:bottom w:val="single" w:sz="6" w:space="1" w:color="1F3B73"/>
        </w:pBdr>
      </w:pPr>
    </w:p>
    <w:p>
      <w:pPr>
        <w:pStyle w:val="Heading2"/>
      </w:pPr>
      <w:r>
        <w:t>5. Ventajas principales</w:t>
      </w:r>
    </w:p>
    <w:p>
      <w:pPr>
        <w:pStyle w:val="ListNumber"/>
      </w:pPr>
      <w:r/>
      <w:r>
        <w:rPr>
          <w:b/>
        </w:rPr>
        <w:t>Bajo acoplamiento verificable.</w:t>
      </w:r>
      <w:r>
        <w:t xml:space="preserve"> Los cuatro puntos de entrada al exterior están detrás de interfaces; el</w:t>
      </w:r>
    </w:p>
    <w:p>
      <w:r>
        <w:t>dominio no conoce al mundo externo.</w:t>
      </w:r>
    </w:p>
    <w:p>
      <w:pPr>
        <w:pStyle w:val="ListNumber"/>
      </w:pPr>
      <w:r/>
      <w:r>
        <w:rPr>
          <w:b/>
        </w:rPr>
        <w:t>Cambios de requerimiento baratos.</w:t>
      </w:r>
      <w:r>
        <w:t xml:space="preserve"> Reglas de negocio expresadas como datos (transiciones, permisos,</w:t>
      </w:r>
    </w:p>
    <w:p>
      <w:r>
        <w:t>reglas de monto, base de conocimiento) se modifican sin redespliegue.</w:t>
      </w:r>
    </w:p>
    <w:p>
      <w:pPr>
        <w:pStyle w:val="ListNumber"/>
      </w:pPr>
      <w:r/>
      <w:r>
        <w:rPr>
          <w:b/>
        </w:rPr>
        <w:t>Trazabilidad de punta a punta.</w:t>
      </w:r>
      <w:r>
        <w:t xml:space="preserve"> Cuatro registros independientes cubren el ciclo completo: historial de</w:t>
      </w:r>
    </w:p>
    <w:p>
      <w:r>
        <w:t>estado, auditoría, bitácora y aprobaciones.</w:t>
      </w:r>
    </w:p>
    <w:p>
      <w:pPr>
        <w:pStyle w:val="ListNumber"/>
      </w:pPr>
      <w:r/>
      <w:r>
        <w:rPr>
          <w:b/>
        </w:rPr>
        <w:t>Entrega continua real.</w:t>
      </w:r>
      <w:r>
        <w:t xml:space="preserve"> CI con 6 jobs en cada PR y despliegue a staging automático desde </w:t>
      </w:r>
      <w:r>
        <w:rPr>
          <w:rFonts w:ascii="Consolas" w:hAnsi="Consolas"/>
          <w:color w:val="8B0000"/>
          <w:sz w:val="19"/>
        </w:rPr>
        <w:t>develop</w:t>
      </w:r>
      <w:r>
        <w:t>.</w:t>
      </w:r>
    </w:p>
    <w:p>
      <w:pPr>
        <w:pStyle w:val="ListNumber"/>
      </w:pPr>
      <w:r/>
      <w:r>
        <w:rPr>
          <w:b/>
        </w:rPr>
        <w:t>Calidad verificable.</w:t>
      </w:r>
      <w:r>
        <w:t xml:space="preserve"> 26 suites unitarias, 8 suites E2E con axe, cobertura con umbral mínimo y linter</w:t>
      </w:r>
    </w:p>
    <w:p>
      <w:r>
        <w:t>en el pipeline.</w:t>
      </w:r>
    </w:p>
    <w:p>
      <w:pPr>
        <w:pStyle w:val="ListNumber"/>
      </w:pPr>
      <w:r/>
      <w:r>
        <w:rPr>
          <w:b/>
        </w:rPr>
        <w:t>Transferibilidad.</w:t>
      </w:r>
      <w:r>
        <w:t xml:space="preserve"> La documentación permite que un desarrollador nuevo comprenda el sistema leyendo</w:t>
      </w:r>
    </w:p>
    <w:p>
      <w:r/>
      <w:r>
        <w:rPr>
          <w:rFonts w:ascii="Consolas" w:hAnsi="Consolas"/>
          <w:color w:val="8B0000"/>
          <w:sz w:val="19"/>
        </w:rPr>
        <w:t>docs/architecture/ARQUITECTURA-REAL.md</w:t>
      </w:r>
      <w:r>
        <w:t xml:space="preserve"> y los ADR, sin acceso a la persona que lo escribió.</w:t>
      </w:r>
    </w:p>
    <w:p>
      <w:pPr>
        <w:pStyle w:val="ListNumber"/>
      </w:pPr>
      <w:r/>
      <w:r>
        <w:rPr>
          <w:b/>
        </w:rPr>
        <w:t>Riesgos identificados y declarados.</w:t>
      </w:r>
      <w:r>
        <w:t xml:space="preserve"> La deuda técnica está escrita, priorizada y es visible para el</w:t>
      </w:r>
    </w:p>
    <w:p>
      <w:r>
        <w:t>docente, en lugar de Stay oculto.</w:t>
      </w:r>
    </w:p>
    <w:p>
      <w:pPr>
        <w:pBdr>
          <w:bottom w:val="single" w:sz="6" w:space="1" w:color="1F3B73"/>
        </w:pBdr>
      </w:pPr>
    </w:p>
    <w:p>
      <w:pPr>
        <w:pStyle w:val="Heading2"/>
      </w:pPr>
      <w:r>
        <w:t>6. Trade-offs y compromisos asumidos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B73"/>
          </w:tcPr>
          <w:p>
            <w:r/>
            <w:r>
              <w:rPr>
                <w:b/>
                <w:color w:val="FFFFFF"/>
                <w:sz w:val="19"/>
              </w:rPr>
              <w:t>Compromiso</w:t>
            </w:r>
          </w:p>
        </w:tc>
        <w:tc>
          <w:tcPr>
            <w:tcW w:type="dxa" w:w="2436"/>
            <w:shd w:val="clear" w:color="auto" w:fill="1F3B73"/>
          </w:tcPr>
          <w:p>
            <w:r/>
            <w:r>
              <w:rPr>
                <w:b/>
                <w:color w:val="FFFFFF"/>
                <w:sz w:val="19"/>
              </w:rPr>
              <w:t>Qué se gana</w:t>
            </w:r>
          </w:p>
        </w:tc>
        <w:tc>
          <w:tcPr>
            <w:tcW w:type="dxa" w:w="2436"/>
            <w:shd w:val="clear" w:color="auto" w:fill="1F3B73"/>
          </w:tcPr>
          <w:p>
            <w:r/>
            <w:r>
              <w:rPr>
                <w:b/>
                <w:color w:val="FFFFFF"/>
                <w:sz w:val="19"/>
              </w:rPr>
              <w:t>Qué se pierde</w:t>
            </w:r>
          </w:p>
        </w:tc>
        <w:tc>
          <w:tcPr>
            <w:tcW w:type="dxa" w:w="2436"/>
            <w:shd w:val="clear" w:color="auto" w:fill="1F3B73"/>
          </w:tcPr>
          <w:p>
            <w:r/>
            <w:r>
              <w:rPr>
                <w:b/>
                <w:color w:val="FFFFFF"/>
                <w:sz w:val="19"/>
              </w:rPr>
              <w:t>Mitigación</w:t>
            </w:r>
          </w:p>
        </w:tc>
      </w:tr>
      <w:tr>
        <w:tc>
          <w:tcPr>
            <w:tcW w:type="dxa" w:w="2436"/>
          </w:tcPr>
          <w:p>
            <w:r/>
            <w:r>
              <w:rPr>
                <w:b/>
                <w:sz w:val="19"/>
              </w:rPr>
              <w:t>**Monolito en vez de microservicios**</w:t>
            </w:r>
          </w:p>
        </w:tc>
        <w:tc>
          <w:tcPr>
            <w:tcW w:type="dxa" w:w="2436"/>
          </w:tcPr>
          <w:p>
            <w:r/>
            <w:r>
              <w:rPr>
                <w:sz w:val="19"/>
              </w:rPr>
              <w:t>Simplicidad operativa, transacciones simples, un solo despliegue</w:t>
            </w:r>
          </w:p>
        </w:tc>
        <w:tc>
          <w:tcPr>
            <w:tcW w:type="dxa" w:w="2436"/>
          </w:tcPr>
          <w:p>
            <w:r/>
            <w:r>
              <w:rPr>
                <w:sz w:val="19"/>
              </w:rPr>
              <w:t>Escalado horizontal independiente por módulo</w:t>
            </w:r>
          </w:p>
        </w:tc>
        <w:tc>
          <w:tcPr>
            <w:tcW w:type="dxa" w:w="2436"/>
          </w:tcPr>
          <w:p>
            <w:r/>
            <w:r>
              <w:rPr>
                <w:sz w:val="19"/>
              </w:rPr>
              <w:t>Módulos ya extraíbles; la extracción es localizable gracias a las interfaces de puerto</w:t>
            </w:r>
          </w:p>
        </w:tc>
      </w:tr>
      <w:tr>
        <w:tc>
          <w:tcPr>
            <w:tcW w:type="dxa" w:w="2436"/>
          </w:tcPr>
          <w:p>
            <w:r/>
            <w:r>
              <w:rPr>
                <w:b/>
                <w:sz w:val="19"/>
              </w:rPr>
              <w:t>**Sin capa Repository**</w:t>
            </w:r>
          </w:p>
        </w:tc>
        <w:tc>
          <w:tcPr>
            <w:tcW w:type="dxa" w:w="2436"/>
          </w:tcPr>
          <w:p>
            <w:r/>
            <w:r>
              <w:rPr>
                <w:sz w:val="19"/>
              </w:rPr>
              <w:t>Menos indirección, consultas directas de Prisma con tipos Derivados</w:t>
            </w:r>
          </w:p>
        </w:tc>
        <w:tc>
          <w:tcPr>
            <w:tcW w:type="dxa" w:w="2436"/>
          </w:tcPr>
          <w:p>
            <w:r/>
            <w:r>
              <w:rPr>
                <w:sz w:val="19"/>
              </w:rPr>
              <w:t>El dominio depende del ORM; migrar de ORM sería costoso</w:t>
            </w:r>
          </w:p>
        </w:tc>
        <w:tc>
          <w:tcPr>
            <w:tcW w:type="dxa" w:w="2436"/>
          </w:tcPr>
          <w:p>
            <w:r/>
            <w:r>
              <w:rPr>
                <w:sz w:val="19"/>
              </w:rPr>
              <w:t>Deuda técnica documentada; el coste real es acotado porque Prisma expone tipos y no lógica de negocio</w:t>
            </w:r>
          </w:p>
        </w:tc>
      </w:tr>
      <w:tr>
        <w:tc>
          <w:tcPr>
            <w:tcW w:type="dxa" w:w="2436"/>
          </w:tcPr>
          <w:p>
            <w:r/>
            <w:r>
              <w:rPr>
                <w:b/>
                <w:sz w:val="19"/>
              </w:rPr>
              <w:t>**Sin bus de eventos**</w:t>
            </w:r>
          </w:p>
        </w:tc>
        <w:tc>
          <w:tcPr>
            <w:tcW w:type="dxa" w:w="2436"/>
          </w:tcPr>
          <w:p>
            <w:r/>
            <w:r>
              <w:rPr>
                <w:sz w:val="19"/>
              </w:rPr>
              <w:t>Orden de ejecución explícito y determinista</w:t>
            </w:r>
          </w:p>
        </w:tc>
        <w:tc>
          <w:tcPr>
            <w:tcW w:type="dxa" w:w="2436"/>
          </w:tcPr>
          <w:p>
            <w:r/>
            <w:r>
              <w:rPr>
                <w:sz w:val="19"/>
              </w:rPr>
              <w:t>Acoplamiento de secuencia entre dominio y transversales</w:t>
            </w:r>
          </w:p>
        </w:tc>
        <w:tc>
          <w:tcPr>
            <w:tcW w:type="dxa" w:w="2436"/>
          </w:tcPr>
          <w:p>
            <w:r/>
            <w:r>
              <w:rPr>
                <w:sz w:val="19"/>
              </w:rPr>
              <w:t>Aceptable mientras el número de transversales sea estable; se revisará si el dominio supera 12 módulos</w:t>
            </w:r>
          </w:p>
        </w:tc>
      </w:tr>
      <w:tr>
        <w:tc>
          <w:tcPr>
            <w:tcW w:type="dxa" w:w="2436"/>
          </w:tcPr>
          <w:p>
            <w:r/>
            <w:r>
              <w:rPr>
                <w:b/>
                <w:sz w:val="19"/>
              </w:rPr>
              <w:t>**Almacenamiento local**</w:t>
            </w:r>
          </w:p>
        </w:tc>
        <w:tc>
          <w:tcPr>
            <w:tcW w:type="dxa" w:w="2436"/>
          </w:tcPr>
          <w:p>
            <w:r/>
            <w:r>
              <w:rPr>
                <w:sz w:val="19"/>
              </w:rPr>
              <w:t>Cumplimiento sin dependencia externa y despliegue simple</w:t>
            </w:r>
          </w:p>
        </w:tc>
        <w:tc>
          <w:tcPr>
            <w:tcW w:type="dxa" w:w="2436"/>
          </w:tcPr>
          <w:p>
            <w:r/>
            <w:r>
              <w:rPr>
                <w:sz w:val="19"/>
              </w:rPr>
              <w:t>No escala horizontalmente ni a múltiples instancias</w:t>
            </w:r>
          </w:p>
        </w:tc>
        <w:tc>
          <w:tcPr>
            <w:tcW w:type="dxa" w:w="2436"/>
          </w:tcPr>
          <w:p>
            <w:r/>
            <w:r>
              <w:rPr>
                <w:sz w:val="19"/>
              </w:rPr>
              <w:t>`DocumentStorage` ya abstrae la ubicación; migrar a S3 es cambiar un provider</w:t>
            </w:r>
          </w:p>
        </w:tc>
      </w:tr>
      <w:tr>
        <w:tc>
          <w:tcPr>
            <w:tcW w:type="dxa" w:w="2436"/>
          </w:tcPr>
          <w:p>
            <w:r/>
            <w:r>
              <w:rPr>
                <w:b/>
                <w:sz w:val="19"/>
              </w:rPr>
              <w:t>**Rate limiting en memoria**</w:t>
            </w:r>
          </w:p>
        </w:tc>
        <w:tc>
          <w:tcPr>
            <w:tcW w:type="dxa" w:w="2436"/>
          </w:tcPr>
          <w:p>
            <w:r/>
            <w:r>
              <w:rPr>
                <w:sz w:val="19"/>
              </w:rPr>
              <w:t>Cero infraestructura adicional</w:t>
            </w:r>
          </w:p>
        </w:tc>
        <w:tc>
          <w:tcPr>
            <w:tcW w:type="dxa" w:w="2436"/>
          </w:tcPr>
          <w:p>
            <w:r/>
            <w:r>
              <w:rPr>
                <w:sz w:val="19"/>
              </w:rPr>
              <w:t>Se pierde al reiniciar y no escala</w:t>
            </w:r>
          </w:p>
        </w:tc>
        <w:tc>
          <w:tcPr>
            <w:tcW w:type="dxa" w:w="2436"/>
          </w:tcPr>
          <w:p>
            <w:r/>
            <w:r>
              <w:rPr>
                <w:sz w:val="19"/>
              </w:rPr>
              <w:t>ADR-022; la Interface del servicio ya permite sustituir la implementación por Redis</w:t>
            </w:r>
          </w:p>
        </w:tc>
      </w:tr>
      <w:tr>
        <w:tc>
          <w:tcPr>
            <w:tcW w:type="dxa" w:w="2436"/>
          </w:tcPr>
          <w:p>
            <w:r/>
            <w:r>
              <w:rPr>
                <w:b/>
                <w:sz w:val="19"/>
              </w:rPr>
              <w:t>**Prisma sin repository**</w:t>
            </w:r>
          </w:p>
        </w:tc>
        <w:tc>
          <w:tcPr>
            <w:tcW w:type="dxa" w:w="2436"/>
          </w:tcPr>
          <w:p>
            <w:r/>
            <w:r>
              <w:rPr>
                <w:sz w:val="19"/>
              </w:rPr>
              <w:t>Productividad alta del ORM</w:t>
            </w:r>
          </w:p>
        </w:tc>
        <w:tc>
          <w:tcPr>
            <w:tcW w:type="dxa" w:w="2436"/>
          </w:tcPr>
          <w:p>
            <w:r/>
            <w:r>
              <w:rPr>
                <w:sz w:val="19"/>
              </w:rPr>
              <w:t>Acoplamiento ORM-dominio</w:t>
            </w:r>
          </w:p>
        </w:tc>
        <w:tc>
          <w:tcPr>
            <w:tcW w:type="dxa" w:w="2436"/>
          </w:tcPr>
          <w:p>
            <w:r/>
            <w:r>
              <w:rPr>
                <w:sz w:val="19"/>
              </w:rPr>
              <w:t>Deuda técnica registrada en `docs/standards/deuda-tecnica.md`</w:t>
            </w:r>
          </w:p>
        </w:tc>
      </w:tr>
      <w:tr>
        <w:tc>
          <w:tcPr>
            <w:tcW w:type="dxa" w:w="2436"/>
          </w:tcPr>
          <w:p>
            <w:r/>
            <w:r>
              <w:rPr>
                <w:b/>
                <w:sz w:val="19"/>
              </w:rPr>
              <w:t>**Un único repositorio monorepo**</w:t>
            </w:r>
          </w:p>
        </w:tc>
        <w:tc>
          <w:tcPr>
            <w:tcW w:type="dxa" w:w="2436"/>
          </w:tcPr>
          <w:p>
            <w:r/>
            <w:r>
              <w:rPr>
                <w:sz w:val="19"/>
              </w:rPr>
              <w:t>Simplicidad de CI, versionado atómico</w:t>
            </w:r>
          </w:p>
        </w:tc>
        <w:tc>
          <w:tcPr>
            <w:tcW w:type="dxa" w:w="2436"/>
          </w:tcPr>
          <w:p>
            <w:r/>
            <w:r>
              <w:rPr>
                <w:sz w:val="19"/>
              </w:rPr>
              <w:t>El bundle del front puede incluir código no usado</w:t>
            </w:r>
          </w:p>
        </w:tc>
        <w:tc>
          <w:tcPr>
            <w:tcW w:type="dxa" w:w="2436"/>
          </w:tcPr>
          <w:p>
            <w:r/>
            <w:r>
              <w:rPr>
                <w:sz w:val="19"/>
              </w:rPr>
              <w:t>Tree-shaking de Next.js + separación por rutas; medido en el build</w:t>
            </w:r>
          </w:p>
        </w:tc>
      </w:tr>
      <w:tr>
        <w:tc>
          <w:tcPr>
            <w:tcW w:type="dxa" w:w="2436"/>
          </w:tcPr>
          <w:p>
            <w:r/>
            <w:r>
              <w:rPr>
                <w:b/>
                <w:sz w:val="19"/>
              </w:rPr>
              <w:t>**Sin cache de aplicación**</w:t>
            </w:r>
          </w:p>
        </w:tc>
        <w:tc>
          <w:tcPr>
            <w:tcW w:type="dxa" w:w="2436"/>
          </w:tcPr>
          <w:p>
            <w:r/>
            <w:r>
              <w:rPr>
                <w:sz w:val="19"/>
              </w:rPr>
              <w:t>Sin invalidación de caché, coherencia inmediata</w:t>
            </w:r>
          </w:p>
        </w:tc>
        <w:tc>
          <w:tcPr>
            <w:tcW w:type="dxa" w:w="2436"/>
          </w:tcPr>
          <w:p>
            <w:r/>
            <w:r>
              <w:rPr>
                <w:sz w:val="19"/>
              </w:rPr>
              <w:t>Más carga sobre PostgreSQL</w:t>
            </w:r>
          </w:p>
        </w:tc>
        <w:tc>
          <w:tcPr>
            <w:tcW w:type="dxa" w:w="2436"/>
          </w:tcPr>
          <w:p>
            <w:r/>
            <w:r>
              <w:rPr>
                <w:sz w:val="19"/>
              </w:rPr>
              <w:t>Aceptable con el volumen actual; se evaluará Redis si las agregaciones lo requieren</w:t>
            </w:r>
          </w:p>
        </w:tc>
      </w:tr>
    </w:tbl>
    <w:p>
      <w:pPr>
        <w:spacing w:after="40"/>
      </w:pPr>
    </w:p>
    <w:p>
      <w:pPr>
        <w:pBdr>
          <w:bottom w:val="single" w:sz="6" w:space="1" w:color="1F3B73"/>
        </w:pBdr>
      </w:pPr>
    </w:p>
    <w:p>
      <w:pPr>
        <w:pStyle w:val="Heading2"/>
      </w:pPr>
      <w:r>
        <w:t>7. Conclusiones</w:t>
      </w:r>
    </w:p>
    <w:p>
      <w:r>
        <w:t>La arquitectura seleccionada —</w:t>
      </w:r>
      <w:r>
        <w:rPr>
          <w:b/>
        </w:rPr>
        <w:t>monolito modular por capas sobre monorepo, con DI nativa, interfaces de puerto hacia el exterior y reglas de negocio expresadas como datos</w:t>
      </w:r>
      <w:r>
        <w:t>— responde de forma explícita a los seis criterios exigidos por el enunciado:</w:t>
      </w:r>
    </w:p>
    <w:p>
      <w:pPr>
        <w:pStyle w:val="ListBullet"/>
      </w:pPr>
      <w:r>
        <w:t xml:space="preserve">Es </w:t>
      </w:r>
      <w:r>
        <w:rPr>
          <w:b/>
        </w:rPr>
        <w:t>mantenible</w:t>
      </w:r>
      <w:r>
        <w:t xml:space="preserve"> porque los módulos son disjuntos y cada servicio tiene una sola responsabilidad.</w:t>
      </w:r>
    </w:p>
    <w:p>
      <w:pPr>
        <w:pStyle w:val="ListBullet"/>
      </w:pPr>
      <w:r>
        <w:t xml:space="preserve">Es </w:t>
      </w:r>
      <w:r>
        <w:rPr>
          <w:b/>
        </w:rPr>
        <w:t>escalable</w:t>
      </w:r>
      <w:r>
        <w:t xml:space="preserve"> hasta los volúmenes institucionales previstos y mantiene abierta la extracción por módulo.</w:t>
      </w:r>
    </w:p>
    <w:p>
      <w:pPr>
        <w:pStyle w:val="ListBullet"/>
      </w:pPr>
      <w:r>
        <w:t xml:space="preserve">Tiene </w:t>
      </w:r>
      <w:r>
        <w:rPr>
          <w:b/>
        </w:rPr>
        <w:t>bajo acoplamiento</w:t>
      </w:r>
      <w:r>
        <w:t xml:space="preserve"> gracias a las interfaces de puerto y a la autorización centralizada.</w:t>
      </w:r>
    </w:p>
    <w:p>
      <w:pPr>
        <w:pStyle w:val="ListBullet"/>
      </w:pPr>
      <w:r>
        <w:t xml:space="preserve">Es </w:t>
      </w:r>
      <w:r>
        <w:rPr>
          <w:b/>
        </w:rPr>
        <w:t>reutilizable</w:t>
      </w:r>
      <w:r>
        <w:t xml:space="preserve"> porque todo lo transversal vive en </w:t>
      </w:r>
      <w:r>
        <w:rPr>
          <w:rFonts w:ascii="Consolas" w:hAnsi="Consolas"/>
          <w:color w:val="8B0000"/>
          <w:sz w:val="19"/>
        </w:rPr>
        <w:t>common/</w:t>
      </w:r>
      <w:r>
        <w:t xml:space="preserve"> y se consume desde muchos módulos.</w:t>
      </w:r>
    </w:p>
    <w:p>
      <w:pPr>
        <w:pStyle w:val="ListBullet"/>
      </w:pPr>
      <w:r>
        <w:t xml:space="preserve">Es </w:t>
      </w:r>
      <w:r>
        <w:rPr>
          <w:b/>
        </w:rPr>
        <w:t>fácil de cambiar</w:t>
      </w:r>
      <w:r>
        <w:t xml:space="preserve"> porque las reglas que más varían —transiciones, permisos, montos, KB— son datos.</w:t>
      </w:r>
    </w:p>
    <w:p>
      <w:pPr>
        <w:pStyle w:val="ListBullet"/>
      </w:pPr>
      <w:r>
        <w:t xml:space="preserve">Su </w:t>
      </w:r>
      <w:r>
        <w:rPr>
          <w:b/>
        </w:rPr>
        <w:t>complejidad es proporcional</w:t>
      </w:r>
      <w:r>
        <w:t xml:space="preserve"> al problema: detalle en el dominio, simplicidad en la infraestructura.</w:t>
      </w:r>
    </w:p>
    <w:p>
      <w:r>
        <w:t xml:space="preserve">Además, la arquitectura </w:t>
      </w:r>
      <w:r>
        <w:rPr>
          <w:b/>
        </w:rPr>
        <w:t>ha demostrado ser adaptable</w:t>
      </w:r>
      <w:r>
        <w:t xml:space="preserve"> en la práctica: los cinco requisitos nuevos del Sprint 8 se incorporaron sin reescribir el dominio existente, lo que constituye la evidencia más sólida de que la decisión es correcta para un proyecto cuyo Product Owner emite cambios de forma continua.</w:t>
      </w:r>
    </w:p>
    <w:p>
      <w:pPr>
        <w:pBdr>
          <w:bottom w:val="single" w:sz="6" w:space="1" w:color="1F3B73"/>
        </w:pBdr>
      </w:pPr>
    </w:p>
    <w:p>
      <w:pPr>
        <w:pStyle w:val="Heading2"/>
      </w:pPr>
      <w:r>
        <w:t>8. Referencias</w:t>
      </w:r>
    </w:p>
    <w:p>
      <w:pPr>
        <w:pStyle w:val="ListBullet"/>
      </w:pPr>
      <w:r>
        <w:t>[Documento de Arquitectura](04-documento-arquitectura.md) — descripción completa de la solución</w:t>
      </w:r>
    </w:p>
    <w:p>
      <w:pPr>
        <w:pStyle w:val="ListBullet"/>
      </w:pPr>
      <w:r>
        <w:t>[Justificación de Patrones de Diseño](06-justificacion-patrones-de-diseno.md) — 6 patrones con justificación</w:t>
      </w:r>
    </w:p>
    <w:p>
      <w:pPr>
        <w:pStyle w:val="ListBullet"/>
      </w:pPr>
      <w:r>
        <w:t>[</w:t>
      </w:r>
      <w:r>
        <w:rPr>
          <w:rFonts w:ascii="Consolas" w:hAnsi="Consolas"/>
          <w:color w:val="8B0000"/>
          <w:sz w:val="19"/>
        </w:rPr>
        <w:t>docs/architecture/decisions.md</w:t>
      </w:r>
      <w:r>
        <w:t>](../architecture/decisions.md) — 22 ADR con contexto, decisión y consecuencias</w:t>
      </w:r>
    </w:p>
    <w:p>
      <w:pPr>
        <w:pStyle w:val="ListBullet"/>
      </w:pPr>
      <w:r>
        <w:t>[</w:t>
      </w:r>
      <w:r>
        <w:rPr>
          <w:rFonts w:ascii="Consolas" w:hAnsi="Consolas"/>
          <w:color w:val="8B0000"/>
          <w:sz w:val="19"/>
        </w:rPr>
        <w:t>docs/architecture/solid-principles.md</w:t>
      </w:r>
      <w:r>
        <w:t>](../architecture/solid-principles.md) — evidencia de SOLID en el código</w:t>
      </w:r>
    </w:p>
    <w:p>
      <w:pPr>
        <w:pStyle w:val="ListBullet"/>
      </w:pPr>
      <w:r>
        <w:t>[</w:t>
      </w:r>
      <w:r>
        <w:rPr>
          <w:rFonts w:ascii="Consolas" w:hAnsi="Consolas"/>
          <w:color w:val="8B0000"/>
          <w:sz w:val="19"/>
        </w:rPr>
        <w:t>docs/architecture/design-patterns.md</w:t>
      </w:r>
      <w:r>
        <w:t>](../architecture/design-patterns.md) — inventario verificado de patrones</w:t>
      </w:r>
    </w:p>
    <w:p>
      <w:pPr>
        <w:pStyle w:val="ListBullet"/>
      </w:pPr>
      <w:r>
        <w:t>[</w:t>
      </w:r>
      <w:r>
        <w:rPr>
          <w:rFonts w:ascii="Consolas" w:hAnsi="Consolas"/>
          <w:color w:val="8B0000"/>
          <w:sz w:val="19"/>
        </w:rPr>
        <w:t>docs/standards/deuda-tecnica.md</w:t>
      </w:r>
      <w:r>
        <w:t>](../standards/deuda-tecnica.md) — riesgos declarados</w:t>
      </w:r>
    </w:p>
    <w:p>
      <w:pPr>
        <w:pBdr>
          <w:bottom w:val="single" w:sz="6" w:space="1" w:color="1F3B73"/>
        </w:pBdr>
      </w:pPr>
    </w:p>
    <w:p>
      <w:r/>
      <w:r>
        <w:rPr>
          <w:i/>
        </w:rPr>
        <w:t>Última actualización: 2026-10-28</w:t>
      </w:r>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EDUVIAGT · Justificación de la Arquitectura · Página </w:t>
    </w:r>
    <w:r>
      <w:rPr>
        <w:color w:val="55555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 xml:space="preserve">   Justificación de la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before="80" w:line="240" w:lineRule="auto"/>
      <w:ind w:left="340" w:right="227"/>
    </w:pPr>
    <w:rPr>
      <w:rFonts w:ascii="Consolas" w:hAnsi="Consolas" w:cs="Consolas"/>
      <w:color w:val="1A1A1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