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asos-existentes-minhafila"/>
    <w:p>
      <w:pPr>
        <w:pStyle w:val="Heading1"/>
      </w:pPr>
      <w:r>
        <w:t xml:space="preserve">Casos Existentes — MinhaFila</w:t>
      </w:r>
    </w:p>
    <w:p>
      <w:pPr>
        <w:pStyle w:val="BlockText"/>
      </w:pPr>
      <w:r>
        <w:rPr>
          <w:b/>
          <w:bCs/>
        </w:rPr>
        <w:t xml:space="preserve">Responsáveis:</w:t>
      </w:r>
      <w:r>
        <w:t xml:space="preserve"> </w:t>
      </w:r>
      <w:r>
        <w:t xml:space="preserve">Ausiane de Oliveira Costa + Núbia Rosália de Souza Ramos</w:t>
      </w:r>
      <w:r>
        <w:br/>
      </w:r>
      <w:r>
        <w:rPr>
          <w:b/>
          <w:bCs/>
        </w:rPr>
        <w:t xml:space="preserve">Última atualização:</w:t>
      </w:r>
      <w:r>
        <w:t xml:space="preserve"> </w:t>
      </w:r>
      <w:r>
        <w:t xml:space="preserve">28/06/2026</w:t>
      </w:r>
    </w:p>
    <w:p>
      <w:r>
        <w:pict>
          <v:rect style="width:0;height:1.5pt" o:hralign="center" o:hrstd="t" o:hr="t"/>
        </w:pict>
      </w:r>
    </w:p>
    <w:bookmarkStart w:id="23" w:name="Xfc76b520fee546c236ff54b2e08f11736354c26"/>
    <w:p>
      <w:pPr>
        <w:pStyle w:val="Heading2"/>
      </w:pPr>
      <w:r>
        <w:t xml:space="preserve">1. Sistemas de Gerenciamento de Filas disponíveis no mercado</w:t>
      </w:r>
    </w:p>
    <w:p>
      <w:pPr>
        <w:pStyle w:val="FirstParagraph"/>
      </w:pPr>
      <w:r>
        <w:t xml:space="preserve">Existem alguns sistemas disponíveis no mercado que auxiliam na gestão de filas:</w:t>
      </w:r>
    </w:p>
    <w:p>
      <w:pPr>
        <w:pStyle w:val="Compact"/>
        <w:numPr>
          <w:ilvl w:val="0"/>
          <w:numId w:val="1001"/>
        </w:numPr>
      </w:pPr>
      <w:r>
        <w:rPr>
          <w:b/>
          <w:bCs/>
        </w:rPr>
        <w:t xml:space="preserve">NextQS</w:t>
      </w:r>
      <w:r>
        <w:t xml:space="preserve"> </w:t>
      </w:r>
      <w:r>
        <w:t xml:space="preserve">— sistema de gerenciamento de filas com totens de autoatendimento e painéis de chamada. (</w:t>
      </w:r>
      <w:hyperlink r:id="rId20">
        <w:r>
          <w:rPr>
            <w:rStyle w:val="Hyperlink"/>
          </w:rPr>
          <w:t xml:space="preserve">https://www.nextqs.com/</w:t>
        </w:r>
      </w:hyperlink>
      <w:r>
        <w:t xml:space="preserve">)</w:t>
      </w:r>
    </w:p>
    <w:p>
      <w:pPr>
        <w:pStyle w:val="Compact"/>
        <w:numPr>
          <w:ilvl w:val="0"/>
          <w:numId w:val="1001"/>
        </w:numPr>
      </w:pPr>
      <w:r>
        <w:rPr>
          <w:b/>
          <w:bCs/>
        </w:rPr>
        <w:t xml:space="preserve">Fila Online</w:t>
      </w:r>
      <w:r>
        <w:t xml:space="preserve"> </w:t>
      </w:r>
      <w:r>
        <w:t xml:space="preserve">— envia alertas sobre o status da fila por notificação. (</w:t>
      </w:r>
      <w:hyperlink r:id="rId21">
        <w:r>
          <w:rPr>
            <w:rStyle w:val="Hyperlink"/>
          </w:rPr>
          <w:t xml:space="preserve">https://filaonlineapp.com.br/</w:t>
        </w:r>
      </w:hyperlink>
      <w:r>
        <w:t xml:space="preserve">)</w:t>
      </w:r>
    </w:p>
    <w:p>
      <w:pPr>
        <w:pStyle w:val="Compact"/>
        <w:numPr>
          <w:ilvl w:val="0"/>
          <w:numId w:val="1001"/>
        </w:numPr>
      </w:pPr>
      <w:r>
        <w:rPr>
          <w:b/>
          <w:bCs/>
        </w:rPr>
        <w:t xml:space="preserve">Vizitor</w:t>
      </w:r>
      <w:r>
        <w:t xml:space="preserve"> </w:t>
      </w:r>
      <w:r>
        <w:t xml:space="preserve">— unifica o check-in de visitantes, a reserva de mesas e salas, as entregas, a presença, as filas e os fluxos de trabalho da recepção em uma única plataforma. Emite senhas digitais, gerencia balcões de atendimento e notifica os usuários quando for a sua vez. (</w:t>
      </w:r>
      <w:hyperlink r:id="rId22">
        <w:r>
          <w:rPr>
            <w:rStyle w:val="Hyperlink"/>
          </w:rPr>
          <w:t xml:space="preserve">https://www.vizitorapp.com/</w:t>
        </w:r>
      </w:hyperlink>
      <w:r>
        <w:t xml:space="preserve">)</w:t>
      </w:r>
    </w:p>
    <w:bookmarkEnd w:id="23"/>
    <w:bookmarkStart w:id="24" w:name="legislação-e-autorregulamentação"/>
    <w:p>
      <w:pPr>
        <w:pStyle w:val="Heading2"/>
      </w:pPr>
      <w:r>
        <w:t xml:space="preserve">2. Legislação e autorregulamentação</w:t>
      </w:r>
    </w:p>
    <w:p>
      <w:pPr>
        <w:pStyle w:val="FirstParagraph"/>
      </w:pPr>
      <w:r>
        <w:t xml:space="preserve">Diversas cidades e estados brasileiros possuem leis que limitam o tempo máximo de espera nas agências, casas lotéricas e correspondentes bancários. Por serem locais, as</w:t>
      </w:r>
      <w:r>
        <w:t xml:space="preserve"> </w:t>
      </w:r>
      <w:r>
        <w:t xml:space="preserve">“leis da fila”</w:t>
      </w:r>
      <w:r>
        <w:t xml:space="preserve"> </w:t>
      </w:r>
      <w:r>
        <w:t xml:space="preserve">não têm regras uniformes. Algumas estabelecem que a espera não pode passar de 15 minutos em dia de movimento normal, enquanto outros estabelecem limites menos rígidos. Além disso, uma norma de autorregulação da Febraban (Federação Brasileira de Bancos) define que o tempo máximo de espera nas filas de bancos deve ser de até 20 minutos em dias de movimento normal, e de até 30 minutos nos de pico. A regra é voluntária, mas todos os grandes bancos são signatários (Idec, 2017).</w:t>
      </w:r>
    </w:p>
    <w:bookmarkEnd w:id="24"/>
    <w:bookmarkStart w:id="25" w:name="lacuna-das-soluções-existentes"/>
    <w:p>
      <w:pPr>
        <w:pStyle w:val="Heading2"/>
      </w:pPr>
      <w:r>
        <w:t xml:space="preserve">3. Lacuna das soluções existentes</w:t>
      </w:r>
    </w:p>
    <w:p>
      <w:pPr>
        <w:pStyle w:val="FirstParagraph"/>
      </w:pPr>
      <w:r>
        <w:t xml:space="preserve">Embora as soluções referidas estejam disponíveis no mercado e representem avanços que integram o uso de tecnologias ao gerenciamento de filas, uma das principais limitações delas é</w:t>
      </w:r>
      <w:r>
        <w:t xml:space="preserve"> </w:t>
      </w:r>
      <w:r>
        <w:rPr>
          <w:b/>
          <w:bCs/>
        </w:rPr>
        <w:t xml:space="preserve">não informar ao usuário o tempo aproximado de espera até o seu atendimento durante o período em que o mesmo se encontra na fila.</w:t>
      </w:r>
    </w:p>
    <w:p>
      <w:pPr>
        <w:pStyle w:val="BodyText"/>
      </w:pPr>
      <w:r>
        <w:t xml:space="preserve">Essa lacuna é o ponto de partida para o desenvolvimento do MinhaFila: uma solução que não apenas gerencie a ordem de atendimento, mas forneça previsibilidade de espera em tempo real, acessibilidade multiplataforma e acompanhamento remoto.</w:t>
      </w:r>
    </w:p>
    <w:p>
      <w:r>
        <w:pict>
          <v:rect style="width:0;height:1.5pt" o:hralign="center" o:hrstd="t" o:hr="t"/>
        </w:pict>
      </w:r>
    </w:p>
    <w:bookmarkEnd w:id="25"/>
    <w:bookmarkStart w:id="28" w:name="referências"/>
    <w:p>
      <w:pPr>
        <w:pStyle w:val="Heading2"/>
      </w:pPr>
      <w:r>
        <w:t xml:space="preserve">4. Referências</w:t>
      </w:r>
    </w:p>
    <w:p>
      <w:pPr>
        <w:pStyle w:val="FirstParagraph"/>
      </w:pPr>
      <w:r>
        <w:t xml:space="preserve">IDEC. Fila de banco demorada? Saiba seus direitos, 2017. Disponível em:</w:t>
      </w:r>
      <w:r>
        <w:t xml:space="preserve"> </w:t>
      </w:r>
      <w:hyperlink r:id="rId26">
        <w:r>
          <w:rPr>
            <w:rStyle w:val="Hyperlink"/>
          </w:rPr>
          <w:t xml:space="preserve">https://idec.org.br/dicas-e-direitos/fila-de-banco-demorada-saiba-seus-direitos</w:t>
        </w:r>
      </w:hyperlink>
      <w:r>
        <w:t xml:space="preserve">. Acesso em: 28 jun. 2026.</w:t>
      </w:r>
    </w:p>
    <w:p>
      <w:pPr>
        <w:pStyle w:val="BodyText"/>
      </w:pPr>
      <w:r>
        <w:t xml:space="preserve">WAITWHILE. Consumer Survey: The State of Waiting in Line. San Francisco: Waitwhile, 2024. Disponível em:</w:t>
      </w:r>
      <w:r>
        <w:t xml:space="preserve"> </w:t>
      </w:r>
      <w:hyperlink r:id="rId27">
        <w:r>
          <w:rPr>
            <w:rStyle w:val="Hyperlink"/>
          </w:rPr>
          <w:t xml:space="preserve">https://waitwhile.com/blog/consumer-survey-waiting-in-line-2024/</w:t>
        </w:r>
      </w:hyperlink>
      <w:r>
        <w:t xml:space="preserve">. Acesso em: 28 jun. 2026.</w:t>
      </w:r>
    </w:p>
    <w:bookmarkEnd w:id="28"/>
    <w:bookmarkEnd w:id="29"/>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05050"/>
        <w:sz w:val="14"/>
      </w:rPr>
      <w:t>MinhaFila — GCETENS843 — 2026.1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tblBorders>
    </w:tblPr>
    <w:tblGrid>
      <w:gridCol w:w="4680"/>
      <w:gridCol w:w="4680"/>
    </w:tblGrid>
    <w:tr>
      <w:tc>
        <w:tcPr>
          <w:tcW w:type="dxa" w:w="2016"/>
        </w:tcPr>
        <w:p>
          <w:pPr>
            <w:jc w:val="left"/>
          </w:pPr>
          <w:r>
            <w:drawing>
              <wp:inline xmlns:a="http://schemas.openxmlformats.org/drawingml/2006/main" xmlns:pic="http://schemas.openxmlformats.org/drawingml/2006/picture">
                <wp:extent cx="1143000" cy="450211"/>
                <wp:docPr id="1" name="Picture 1"/>
                <wp:cNvGraphicFramePr>
                  <a:graphicFrameLocks noChangeAspect="1"/>
                </wp:cNvGraphicFramePr>
                <a:graphic>
                  <a:graphicData uri="http://schemas.openxmlformats.org/drawingml/2006/picture">
                    <pic:pic>
                      <pic:nvPicPr>
                        <pic:cNvPr id="0" name="logo-ufrb-20-anos.png"/>
                        <pic:cNvPicPr/>
                      </pic:nvPicPr>
                      <pic:blipFill>
                        <a:blip r:embed="rId1"/>
                        <a:stretch>
                          <a:fillRect/>
                        </a:stretch>
                      </pic:blipFill>
                      <pic:spPr>
                        <a:xfrm>
                          <a:off x="0" y="0"/>
                          <a:ext cx="1143000" cy="450211"/>
                        </a:xfrm>
                        <a:prstGeom prst="rect"/>
                      </pic:spPr>
                    </pic:pic>
                  </a:graphicData>
                </a:graphic>
              </wp:inline>
            </w:drawing>
          </w:r>
        </w:p>
      </w:tc>
      <w:tc>
        <w:tcPr>
          <w:tcW w:type="dxa" w:w="7200"/>
        </w:tcPr>
        <w:p>
          <w:pPr>
            <w:jc w:val="left"/>
          </w:pPr>
          <w:r>
            <w:rPr>
              <w:rFonts w:ascii="Times New Roman" w:hAnsi="Times New Roman"/>
              <w:b/>
              <w:color w:val="003D6B"/>
              <w:sz w:val="16"/>
            </w:rPr>
            <w:t>UNIVERSIDADE FEDERAL DO RECÔNCAVO DA BAHIA — UFRB</w:t>
          </w:r>
        </w:p>
        <w:p>
          <w:pPr>
            <w:jc w:val="left"/>
          </w:pPr>
          <w:r>
            <w:rPr>
              <w:rFonts w:ascii="Times New Roman" w:hAnsi="Times New Roman"/>
              <w:b/>
              <w:color w:val="006DAA"/>
              <w:sz w:val="15"/>
            </w:rPr>
            <w:t>CENTRO DE CIÊNCIA E TECNOLOGIA — CETENS</w:t>
          </w:r>
        </w:p>
        <w:p>
          <w:pPr>
            <w:jc w:val="left"/>
          </w:pPr>
          <w:r>
            <w:rPr>
              <w:rFonts w:ascii="Times New Roman" w:hAnsi="Times New Roman"/>
              <w:b w:val="0"/>
              <w:color w:val="505050"/>
              <w:sz w:val="14"/>
            </w:rPr>
            <w:t>BACHARELADO EM SISTEMAS DE INFORMAÇÃO (EAD)</w:t>
          </w:r>
        </w:p>
        <w:p>
          <w:pPr>
            <w:jc w:val="left"/>
          </w:pPr>
          <w:r>
            <w:rPr>
              <w:rFonts w:ascii="Times New Roman" w:hAnsi="Times New Roman"/>
              <w:b w:val="0"/>
              <w:color w:val="C89B3C"/>
              <w:sz w:val="8"/>
            </w:rPr>
            <w:t>────────────────────────────────────────────────────────────────────────────────</w:t>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olor w:val="000000"/>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heme="majorHAnsi" w:cstheme="majorBidi" w:eastAsiaTheme="majorEastAsia" w:hAnsiTheme="majorHAnsi" w:ascii="Times New Roman" w:hAnsi="Times New Roman"/>
      <w:b/>
      <w:color w:val="003D6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heme="majorHAnsi" w:cstheme="majorBidi" w:eastAsiaTheme="majorEastAsia" w:hAnsiTheme="majorHAnsi" w:ascii="Times New Roman" w:hAnsi="Times New Roman"/>
      <w:b/>
      <w:color w:val="006DAA"/>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cstheme="majorBidi" w:eastAsiaTheme="majorEastAsia" w:ascii="Times New Roman" w:hAnsi="Times New Roman"/>
      <w:b/>
      <w:color w:val="003D6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filaonlineapp.com.br/" TargetMode="External"/><Relationship Id="rId26" Type="http://schemas.openxmlformats.org/officeDocument/2006/relationships/hyperlink" Target="https://idec.org.br/dicas-e-direitos/fila-de-banco-demorada-saiba-seus-direitos" TargetMode="External"/><Relationship Id="rId27" Type="http://schemas.openxmlformats.org/officeDocument/2006/relationships/hyperlink" Target="https://waitwhile.com/blog/consumer-survey-waiting-in-line-2024/" TargetMode="External"/><Relationship Id="rId20" Type="http://schemas.openxmlformats.org/officeDocument/2006/relationships/hyperlink" Target="https://www.nextqs.com/" TargetMode="External"/><Relationship Id="rId22" Type="http://schemas.openxmlformats.org/officeDocument/2006/relationships/hyperlink" Target="https://www.vizitorapp.com/"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filaonlineapp.com.br/" TargetMode="External"/><Relationship Id="rId26" Type="http://schemas.openxmlformats.org/officeDocument/2006/relationships/hyperlink" Target="https://idec.org.br/dicas-e-direitos/fila-de-banco-demorada-saiba-seus-direitos" TargetMode="External"/><Relationship Id="rId27" Type="http://schemas.openxmlformats.org/officeDocument/2006/relationships/hyperlink" Target="https://waitwhile.com/blog/consumer-survey-waiting-in-line-2024/" TargetMode="External"/><Relationship Id="rId20" Type="http://schemas.openxmlformats.org/officeDocument/2006/relationships/hyperlink" Target="https://www.nextqs.com/" TargetMode="External"/><Relationship Id="rId22" Type="http://schemas.openxmlformats.org/officeDocument/2006/relationships/hyperlink" Target="https://www.vizitorap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2026-06-28T19:10:31Z</dcterms:created>
  <dcterms:modified xsi:type="dcterms:W3CDTF">2026-06-28T19:10:31Z</dcterms:modified>
</cp:coreProperties>
</file>

<file path=docProps/custom.xml><?xml version="1.0" encoding="utf-8"?>
<Properties xmlns="http://schemas.openxmlformats.org/officeDocument/2006/custom-properties" xmlns:vt="http://schemas.openxmlformats.org/officeDocument/2006/docPropsVTypes"/>
</file>