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 Display" w:hAnsi="Aptos Display"/>
          <w:b/>
          <w:color w:val="18324A"/>
          <w:sz w:val="72"/>
        </w:rPr>
        <w:t>FINANCIAL</w:t>
        <w:br/>
        <w:t>MANAGER</w:t>
      </w:r>
    </w:p>
    <w:p>
      <w:pPr>
        <w:jc w:val="center"/>
      </w:pPr>
      <w:r>
        <w:rPr>
          <w:rFonts w:ascii="Aptos Display" w:hAnsi="Aptos Display"/>
          <w:b/>
          <w:color w:val="1E7A78"/>
          <w:sz w:val="44"/>
        </w:rPr>
        <w:t>Mapa de Telas e Fluxos</w:t>
      </w:r>
    </w:p>
    <w:p>
      <w:pPr>
        <w:jc w:val="center"/>
      </w:pPr>
      <w:r>
        <w:rPr>
          <w:color w:val="657681"/>
          <w:sz w:val="24"/>
        </w:rPr>
        <w:t>Documento de experiência e navegação · MVP</w:t>
      </w:r>
    </w:p>
    <w:p>
      <w:pPr>
        <w:spacing w:before="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6336"/>
      </w:tblGrid>
      <w:tr>
        <w:trPr>
          <w:cantSplit/>
        </w:trP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1.0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EAF1F5"/>
          </w:tcPr>
          <w:p>
            <w:pPr>
              <w:spacing w:after="0"/>
            </w:pPr>
            <w:r>
              <w:rPr>
                <w:b/>
              </w:rPr>
              <w:t>Data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05/10/2026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EAF1F5"/>
          </w:tcPr>
          <w:p>
            <w:pPr>
              <w:spacing w:after="0"/>
            </w:pPr>
            <w:r>
              <w:rPr>
                <w:b/>
              </w:rPr>
              <w:t>Origem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PRD Financial Manager v1.0</w:t>
            </w:r>
          </w:p>
        </w:tc>
      </w:tr>
      <w:tr>
        <w:trPr>
          <w:cantSplit/>
        </w:trP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EAF1F5"/>
          </w:tcPr>
          <w:p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Base para wireframes, ERD e arquitetura</w:t>
            </w:r>
          </w:p>
        </w:tc>
      </w:tr>
    </w:tbl>
    <w:p/>
    <w:p>
      <w:pPr>
        <w:jc w:val="center"/>
      </w:pPr>
      <w:r>
        <w:rPr>
          <w:i/>
          <w:color w:val="657681"/>
          <w:sz w:val="19"/>
        </w:rPr>
        <w:t>Privacidade por padrão · Explicabilidade · Controle por espaço</w:t>
      </w:r>
    </w:p>
    <w:p>
      <w:r>
        <w:br w:type="page"/>
      </w:r>
    </w:p>
    <w:p>
      <w:pPr>
        <w:pStyle w:val="Heading1"/>
      </w:pPr>
      <w:r>
        <w:t>Guia rápido do documento</w:t>
      </w:r>
    </w:p>
    <w:p>
      <w:r>
        <w:t>Este artefato define a arquitetura de informação do MVP e a relação entre telas, estados e fluxos. Não substitui wireframes nem fixa a identidade visual. A nomenclatura de telas foi criada para ser reutilizada em histórias, protótipos, testes e tickets de engenharia.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shd w:fill="EAF1F5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7A78"/>
                <w:sz w:val="36"/>
              </w:rPr>
              <w:t>74</w:t>
              <w:br/>
            </w:r>
            <w:r>
              <w:rPr>
                <w:color w:val="657681"/>
                <w:sz w:val="15"/>
              </w:rPr>
              <w:t>telas/estados mapeados</w:t>
            </w:r>
          </w:p>
        </w:tc>
        <w:tc>
          <w:tcPr>
            <w:tcW w:type="dxa" w:w="2556"/>
            <w:shd w:fill="F4F7F9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7A78"/>
                <w:sz w:val="36"/>
              </w:rPr>
              <w:t>22</w:t>
              <w:br/>
            </w:r>
            <w:r>
              <w:rPr>
                <w:color w:val="657681"/>
                <w:sz w:val="15"/>
              </w:rPr>
              <w:t>fluxos ponta a ponta</w:t>
            </w:r>
          </w:p>
        </w:tc>
        <w:tc>
          <w:tcPr>
            <w:tcW w:type="dxa" w:w="2556"/>
            <w:shd w:fill="EAF1F5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7A78"/>
                <w:sz w:val="36"/>
              </w:rPr>
              <w:t>3</w:t>
              <w:br/>
            </w:r>
            <w:r>
              <w:rPr>
                <w:color w:val="657681"/>
                <w:sz w:val="15"/>
              </w:rPr>
              <w:t>clientes do MVP</w:t>
            </w:r>
          </w:p>
        </w:tc>
        <w:tc>
          <w:tcPr>
            <w:tcW w:type="dxa" w:w="2556"/>
            <w:shd w:fill="F4F7F9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E7A78"/>
                <w:sz w:val="36"/>
              </w:rPr>
              <w:t>1</w:t>
              <w:br/>
            </w:r>
            <w:r>
              <w:rPr>
                <w:color w:val="657681"/>
                <w:sz w:val="15"/>
              </w:rPr>
              <w:t>contexto por espaço</w:t>
            </w:r>
          </w:p>
        </w:tc>
      </w:tr>
    </w:tbl>
    <w:p/>
    <w:p>
      <w:pPr>
        <w:pStyle w:val="SmallNote"/>
      </w:pPr>
      <w:r>
        <w:t>Leitura recomendada: 00–01 para convenções e navegação; 02–14 para catálogo de telas; 16 para fluxos; 17–18 para estados e regras transversais; 19–22 para prototipação e QA.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00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Objetivo, escopo e convenções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01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Arquitetura de navegação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02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Primeiro acesso e identidade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03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Criação, seleção e contexto de espaços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04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Visão geral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05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Movimentações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06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Contas e cartões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07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Importações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08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Categorias, regras e contrapartes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09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Documentos, itens e conciliação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10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Relatórios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11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Membros, permissões e colaboração cloud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12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Sincronização e conflitos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13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Backup, migração e ciclo de vida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14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Exportação, suporte e configurações gerais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15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Mapa resumido de telas por plataforma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16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Fluxos ponta a ponta do MVP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17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Estados transversais obrigatórios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18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Regras de navegação e segurança da interface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19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Priorização para wireframes/protótipos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20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Cobertura do PRD pelo mapa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21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Telas explicitamente fora do MVP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22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Casos de teste de navegação prioritários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23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Decisões para o próximo artefato visual</w:t>
            </w:r>
          </w:p>
        </w:tc>
      </w:tr>
      <w:tr>
        <w:trPr>
          <w:cantSplit/>
        </w:trPr>
        <w:tc>
          <w:tcPr>
            <w:tcW w:type="dxa" w:w="5112"/>
            <w:shd w:fill="EAF1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E7A78"/>
              </w:rPr>
              <w:t>24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t>Controle do documento</w:t>
            </w:r>
          </w:p>
        </w:tc>
      </w:tr>
    </w:tbl>
    <w:p>
      <w:pPr>
        <w:pStyle w:val="Heading1"/>
        <w:pageBreakBefore/>
      </w:pPr>
      <w:r>
        <w:t>00 · Objetivo, escopo e convenções</w:t>
      </w:r>
    </w:p>
    <w:p>
      <w:pPr>
        <w:pStyle w:val="Heading2"/>
      </w:pPr>
      <w:r>
        <w:t>Objetivo</w:t>
      </w:r>
    </w:p>
    <w:p>
      <w:r>
        <w:t xml:space="preserve">O mapa transforma os requisitos do PRD em uma estrutura navegável para </w:t>
      </w:r>
      <w:r>
        <w:rPr>
          <w:b/>
        </w:rPr>
        <w:t>Desktop, Web e Mobile</w:t>
      </w:r>
      <w:r>
        <w:t xml:space="preserve">, com ênfase no trabalho principal do produto: ajudar a pessoa a responder </w:t>
      </w:r>
      <w:r>
        <w:rPr>
          <w:b/>
        </w:rPr>
        <w:t>“para onde meu dinheiro está indo?”</w:t>
      </w:r>
      <w:r>
        <w:t xml:space="preserve"> sem perder o controle sobre onde seus dados ficam e quem pode acessá-los.</w:t>
      </w:r>
    </w:p>
    <w:p>
      <w:r>
        <w:t>O artefato deve permitir que produto, design, engenharia e QA respondam, antes do wireframe:</w:t>
      </w:r>
    </w:p>
    <w:p>
      <w:pPr>
        <w:pStyle w:val="ListBullet"/>
        <w:spacing w:after="30"/>
        <w:ind w:left="317" w:hanging="173"/>
      </w:pPr>
      <w:r>
        <w:t>que telas existem no MVP;</w:t>
      </w:r>
    </w:p>
    <w:p>
      <w:pPr>
        <w:pStyle w:val="ListBullet"/>
        <w:spacing w:after="30"/>
        <w:ind w:left="317" w:hanging="173"/>
      </w:pPr>
      <w:r>
        <w:t>de onde cada tela é acessada e para onde pode levar;</w:t>
      </w:r>
    </w:p>
    <w:p>
      <w:pPr>
        <w:pStyle w:val="ListBullet"/>
        <w:spacing w:after="30"/>
        <w:ind w:left="317" w:hanging="173"/>
      </w:pPr>
      <w:r>
        <w:t>quais telas são locais, cloud ou compartilhadas entre os dois modos;</w:t>
      </w:r>
    </w:p>
    <w:p>
      <w:pPr>
        <w:pStyle w:val="ListBullet"/>
        <w:spacing w:after="30"/>
        <w:ind w:left="317" w:hanging="173"/>
      </w:pPr>
      <w:r>
        <w:t>quais ações dependem de papel/permissão;</w:t>
      </w:r>
    </w:p>
    <w:p>
      <w:pPr>
        <w:pStyle w:val="ListBullet"/>
        <w:spacing w:after="30"/>
        <w:ind w:left="317" w:hanging="173"/>
      </w:pPr>
      <w:r>
        <w:t>como o usuário entra, importa, revisa, categoriza, pesquisa, concilia, exporta e migra dados;</w:t>
      </w:r>
    </w:p>
    <w:p>
      <w:pPr>
        <w:pStyle w:val="ListBullet"/>
        <w:spacing w:after="30"/>
        <w:ind w:left="317" w:hanging="173"/>
      </w:pPr>
      <w:r>
        <w:t>como erros, conflitos, estados vazios e ações destrutivas aparecem;</w:t>
      </w:r>
    </w:p>
    <w:p>
      <w:pPr>
        <w:pStyle w:val="ListBullet"/>
        <w:spacing w:after="30"/>
        <w:ind w:left="317" w:hanging="173"/>
      </w:pPr>
      <w:r>
        <w:t>quais partes são P0, P1 e evolução.</w:t>
      </w:r>
    </w:p>
    <w:p>
      <w:pPr>
        <w:pStyle w:val="Heading2"/>
      </w:pPr>
      <w:r>
        <w:t>Convenções de identificadores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Prefixo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Domínio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Entrada, autenticação e recuperação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WS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Espaços/workspaces e seleção de contexto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VG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Visão geral/dashboard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MV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Movimentações e edição financeira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CT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Contas e cartões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IM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Importações e histórico de lotes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DC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Documentos, itens e conciliação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RP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Relatórios e detalhamento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CF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Configurações do espaço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MB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Membros, papéis e permissões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SY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Sincronização e conflitos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BK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Backup, migração, arquivamento e ciclo de vida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Exportação e suporte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FL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Fluxo ponta a ponta</w:t>
            </w:r>
          </w:p>
        </w:tc>
      </w:tr>
    </w:tbl>
    <w:p>
      <w:pPr>
        <w:spacing w:after="20"/>
      </w:pPr>
    </w:p>
    <w:p>
      <w:pPr>
        <w:pStyle w:val="Heading2"/>
      </w:pPr>
      <w:r>
        <w:t>Legenda de prioridade e plataforma</w:t>
      </w:r>
    </w:p>
    <w:p>
      <w:r>
        <w:rPr>
          <w:b/>
        </w:rPr>
        <w:t>P0:</w:t>
      </w:r>
      <w:r>
        <w:t xml:space="preserve"> bloqueia o MVP. </w:t>
      </w:r>
      <w:r>
        <w:rPr>
          <w:b/>
        </w:rPr>
        <w:t>P1:</w:t>
      </w:r>
      <w:r>
        <w:t xml:space="preserve"> desejável, mas não bloqueia o beta. </w:t>
      </w:r>
      <w:r>
        <w:rPr>
          <w:b/>
        </w:rPr>
        <w:t>EV:</w:t>
      </w:r>
      <w:r>
        <w:t xml:space="preserve"> evolução.</w:t>
      </w:r>
    </w:p>
    <w:p>
      <w:r>
        <w:rPr>
          <w:b/>
        </w:rPr>
        <w:t>D:</w:t>
      </w:r>
      <w:r>
        <w:t xml:space="preserve"> Desktop. </w:t>
      </w:r>
      <w:r>
        <w:rPr>
          <w:b/>
        </w:rPr>
        <w:t>W:</w:t>
      </w:r>
      <w:r>
        <w:t xml:space="preserve"> Web. </w:t>
      </w:r>
      <w:r>
        <w:rPr>
          <w:b/>
        </w:rPr>
        <w:t>M:</w:t>
      </w:r>
      <w:r>
        <w:t xml:space="preserve"> Mobile. </w:t>
      </w:r>
      <w:r>
        <w:rPr>
          <w:b/>
        </w:rPr>
        <w:t>L:</w:t>
      </w:r>
      <w:r>
        <w:t xml:space="preserve"> espaço exclusivamente local. </w:t>
      </w:r>
      <w:r>
        <w:rPr>
          <w:b/>
        </w:rPr>
        <w:t>C:</w:t>
      </w:r>
      <w:r>
        <w:t xml:space="preserve"> espaço em nuvem.</w:t>
      </w:r>
    </w:p>
    <w:p>
      <w:pPr>
        <w:pStyle w:val="Heading2"/>
      </w:pPr>
      <w:r>
        <w:t>Regra central de contexto</w:t>
      </w:r>
    </w:p>
    <w:p>
      <w:r>
        <w:t xml:space="preserve">Toda tela financeira opera dentro de </w:t>
      </w:r>
      <w:r>
        <w:rPr>
          <w:b/>
        </w:rPr>
        <w:t>um único espaço ativo</w:t>
      </w:r>
      <w:r>
        <w:t>. Alterar o espaço ativo limpa filtros incompatíveis, recalcula totais e aplica o novo escopo de permissão. Não existe uma “visão consolidada” automática entre espaço pessoal e empresas no MVP.</w:t>
      </w:r>
    </w:p>
    <w:p>
      <w:pPr>
        <w:pStyle w:val="Heading1"/>
        <w:pageBreakBefore/>
      </w:pPr>
      <w:r>
        <w:t>01 · Arquitetura de navegação</w:t>
      </w:r>
    </w:p>
    <w:p>
      <w:pPr>
        <w:pStyle w:val="Heading2"/>
      </w:pPr>
      <w:r>
        <w:t>1.1 Desktop — modo local e cloud</w:t>
      </w:r>
    </w:p>
    <w:p>
      <w:r>
        <w:t>A navegação principal do Desktop usa uma estrutura persistente com seletor de espaço e módulos do espaço ativo.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Financial Manager Desktop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│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Seletor de espaço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│   ├── Espaços locais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│   ├── Espaços cloud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│   └── + Criar espaço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│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Visão geral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Movimentações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Contas e cartões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Importações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Documentos e itens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Relatórios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└── Configurações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Geral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Categorias e regras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Membros e permissões ........ cloud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Sincronização e dispositivos  cloud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Backup e restauração ......... local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Migração Local ↔ Nuvem ....... Desktop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Exportação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└── Arquivar / excluir</w:t>
            </w:r>
          </w:p>
        </w:tc>
      </w:tr>
    </w:tbl>
    <w:p>
      <w:pPr>
        <w:spacing w:after="20"/>
      </w:pPr>
    </w:p>
    <w:p>
      <w:r>
        <w:t>No Desktop, a identidade e o espaço são conceitos separados. O usuário pode estar logado e ainda manter espaços exclusivamente locais que nunca foram enviados para a nuvem.</w:t>
      </w:r>
    </w:p>
    <w:p>
      <w:pPr>
        <w:pStyle w:val="Heading2"/>
      </w:pPr>
      <w:r>
        <w:t>1.2 Web — cloud obrigatório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Financial Manager Web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│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Entrada / cadastro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Seletor de espaço cloud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│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Visão geral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Movimentações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Contas e cartões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Importações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Documentos e itens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Relatórios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└── Configurações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Geral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Categorias e regras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Membros e permissões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Sincronização/dispositivos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Exportação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└── Arquivar / excluir</w:t>
            </w:r>
          </w:p>
        </w:tc>
      </w:tr>
    </w:tbl>
    <w:p>
      <w:pPr>
        <w:spacing w:after="20"/>
      </w:pPr>
    </w:p>
    <w:p>
      <w:r>
        <w:t>A Web não possui workspace exclusivamente local e não mantém banco financeiro persistente para operação offline no MVP.</w:t>
      </w:r>
    </w:p>
    <w:p>
      <w:pPr>
        <w:pStyle w:val="Heading2"/>
      </w:pPr>
      <w:r>
        <w:t>1.3 Mobile — consulta e operação cloud</w:t>
      </w:r>
    </w:p>
    <w:p>
      <w:r>
        <w:t>No Mobile, a navegação precisa privilegiar frequência e legibilidade. Uma proposta de IA 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Barra inferior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Início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Movimentos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+ Adicionar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├── Buscar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└── Mais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Contas e cartões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Importações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Documentos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Relatórios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├── Sincronização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└── Configurações</w:t>
            </w:r>
          </w:p>
        </w:tc>
      </w:tr>
    </w:tbl>
    <w:p>
      <w:pPr>
        <w:spacing w:after="20"/>
      </w:pPr>
    </w:p>
    <w:p>
      <w:r>
        <w:t>O seletor de espaço fica no topo de Início e permanece disponível em “Mais”. Importação e revisão continuam funcionais no Mobile, mas usam etapas sequenciais em vez de tabelas muito densas.</w:t>
      </w:r>
    </w:p>
    <w:p>
      <w:pPr>
        <w:pStyle w:val="Heading2"/>
      </w:pPr>
      <w:r>
        <w:t>1.4 Cabeçalho global</w:t>
      </w:r>
    </w:p>
    <w:p>
      <w:r>
        <w:t>Elementos que devem permanecer previsíveis nas três plataformas, respeitando espaço e permissão:</w:t>
      </w:r>
    </w:p>
    <w:p>
      <w:pPr>
        <w:pStyle w:val="ListBullet"/>
        <w:spacing w:after="30"/>
        <w:ind w:left="317" w:hanging="173"/>
      </w:pPr>
      <w:r>
        <w:t>nome do espaço ativo;</w:t>
      </w:r>
    </w:p>
    <w:p>
      <w:pPr>
        <w:pStyle w:val="ListBullet"/>
        <w:spacing w:after="30"/>
        <w:ind w:left="317" w:hanging="173"/>
      </w:pPr>
      <w:r>
        <w:t xml:space="preserve">indicador </w:t>
      </w:r>
      <w:r>
        <w:rPr>
          <w:b/>
        </w:rPr>
        <w:t>Local</w:t>
      </w:r>
      <w:r>
        <w:t xml:space="preserve"> ou </w:t>
      </w:r>
      <w:r>
        <w:rPr>
          <w:b/>
        </w:rPr>
        <w:t>Nuvem</w:t>
      </w:r>
      <w:r>
        <w:t>;</w:t>
      </w:r>
    </w:p>
    <w:p>
      <w:pPr>
        <w:pStyle w:val="ListBullet"/>
        <w:spacing w:after="30"/>
        <w:ind w:left="317" w:hanging="173"/>
      </w:pPr>
      <w:r>
        <w:t>estado de sincronização quando aplicável;</w:t>
      </w:r>
    </w:p>
    <w:p>
      <w:pPr>
        <w:pStyle w:val="ListBullet"/>
        <w:spacing w:after="30"/>
        <w:ind w:left="317" w:hanging="173"/>
      </w:pPr>
      <w:r>
        <w:t>acesso à busca global;</w:t>
      </w:r>
    </w:p>
    <w:p>
      <w:pPr>
        <w:pStyle w:val="ListBullet"/>
        <w:spacing w:after="30"/>
        <w:ind w:left="317" w:hanging="173"/>
      </w:pPr>
      <w:r>
        <w:t>avatar/conta quando autenticado;</w:t>
      </w:r>
    </w:p>
    <w:p>
      <w:pPr>
        <w:pStyle w:val="ListBullet"/>
        <w:spacing w:after="30"/>
        <w:ind w:left="317" w:hanging="173"/>
      </w:pPr>
      <w:r>
        <w:t>aviso de visão parcial quando o membro não vê todas as contas do espaço.</w:t>
      </w:r>
    </w:p>
    <w:p>
      <w:r>
        <w:t xml:space="preserve">No Desktop local sem conta, avatar/login é substituído por ação discreta </w:t>
      </w:r>
      <w:r>
        <w:rPr>
          <w:b/>
        </w:rPr>
        <w:t>“Entrar para usar a nuvem”</w:t>
      </w:r>
      <w:r>
        <w:t>, sem bloquear o produto.</w:t>
      </w:r>
    </w:p>
    <w:p>
      <w:pPr>
        <w:pStyle w:val="Heading1"/>
        <w:pageBreakBefore/>
      </w:pPr>
      <w:r>
        <w:t>02 · Primeiro acesso e identidade</w:t>
      </w:r>
    </w:p>
    <w:p>
      <w:pPr>
        <w:pStyle w:val="Heading2"/>
      </w:pPr>
      <w:r>
        <w:t>EN-01 · Entrada Desktop — P0 · D/L+C</w:t>
      </w:r>
    </w:p>
    <w:p>
      <w:r>
        <w:rPr>
          <w:b/>
        </w:rPr>
        <w:t>Objetivo:</w:t>
      </w:r>
      <w:r>
        <w:t xml:space="preserve"> permitir que uma instalação nova entre no produto sem rede nem cadastro.</w:t>
      </w:r>
    </w:p>
    <w:p>
      <w:r>
        <w:rPr>
          <w:b/>
        </w:rPr>
        <w:t>Elementos principais:</w:t>
      </w:r>
    </w:p>
    <w:p>
      <w:pPr>
        <w:pStyle w:val="ListBullet"/>
        <w:spacing w:after="30"/>
        <w:ind w:left="317" w:hanging="173"/>
      </w:pPr>
      <w:r>
        <w:t>Continuar sem conta;</w:t>
      </w:r>
    </w:p>
    <w:p>
      <w:pPr>
        <w:pStyle w:val="ListBullet"/>
        <w:spacing w:after="30"/>
        <w:ind w:left="317" w:hanging="173"/>
      </w:pPr>
      <w:r>
        <w:t>Entrar;</w:t>
      </w:r>
    </w:p>
    <w:p>
      <w:pPr>
        <w:pStyle w:val="ListBullet"/>
        <w:spacing w:after="30"/>
        <w:ind w:left="317" w:hanging="173"/>
      </w:pPr>
      <w:r>
        <w:t>Criar conta;</w:t>
      </w:r>
    </w:p>
    <w:p>
      <w:pPr>
        <w:pStyle w:val="ListBullet"/>
        <w:spacing w:after="30"/>
        <w:ind w:left="317" w:hanging="173"/>
      </w:pPr>
      <w:r>
        <w:t>explicação curta: uso local não envia dados financeiros;</w:t>
      </w:r>
    </w:p>
    <w:p>
      <w:pPr>
        <w:pStyle w:val="ListBullet"/>
        <w:spacing w:after="30"/>
        <w:ind w:left="317" w:hanging="173"/>
      </w:pPr>
      <w:r>
        <w:t>link para privacidade/termos quando houver conexão, sem impedir uso local essencial.</w:t>
      </w:r>
    </w:p>
    <w:p>
      <w:r>
        <w:rPr>
          <w:b/>
        </w:rPr>
        <w:t>Saídas:</w:t>
      </w:r>
    </w:p>
    <w:p>
      <w:pPr>
        <w:pStyle w:val="ListBullet"/>
        <w:spacing w:after="30"/>
        <w:ind w:left="317" w:hanging="173"/>
      </w:pPr>
      <w:r>
        <w:t>Continuar sem conta → WS-01;</w:t>
      </w:r>
    </w:p>
    <w:p>
      <w:pPr>
        <w:pStyle w:val="ListBullet"/>
        <w:spacing w:after="30"/>
        <w:ind w:left="317" w:hanging="173"/>
      </w:pPr>
      <w:r>
        <w:t>Entrar → EN-02;</w:t>
      </w:r>
    </w:p>
    <w:p>
      <w:pPr>
        <w:pStyle w:val="ListBullet"/>
        <w:spacing w:after="30"/>
        <w:ind w:left="317" w:hanging="173"/>
      </w:pPr>
      <w:r>
        <w:t>Criar conta → EN-03.</w:t>
      </w:r>
    </w:p>
    <w:p>
      <w:r>
        <w:rPr>
          <w:b/>
        </w:rPr>
        <w:t>Estado sem rede:</w:t>
      </w:r>
      <w:r>
        <w:t xml:space="preserve"> Continuar sem conta continua disponível; provedores cloud são apresentados como indisponíveis.</w:t>
      </w:r>
    </w:p>
    <w:p>
      <w:pPr>
        <w:pStyle w:val="Heading2"/>
      </w:pPr>
      <w:r>
        <w:t>EN-02 · Entrar — P0 · D/W/M</w:t>
      </w:r>
    </w:p>
    <w:p>
      <w:r>
        <w:t>Login por e-mail, Google ou Apple. E-mail possui recuperação de acesso. A tela não sugere que login enviará espaços locais existentes.</w:t>
      </w:r>
    </w:p>
    <w:p>
      <w:r>
        <w:rPr>
          <w:b/>
        </w:rPr>
        <w:t>Saídas:</w:t>
      </w:r>
    </w:p>
    <w:p>
      <w:pPr>
        <w:pStyle w:val="ListBullet"/>
        <w:spacing w:after="30"/>
        <w:ind w:left="317" w:hanging="173"/>
      </w:pPr>
      <w:r>
        <w:t>sucesso com espaço existente → WS-03;</w:t>
      </w:r>
    </w:p>
    <w:p>
      <w:pPr>
        <w:pStyle w:val="ListBullet"/>
        <w:spacing w:after="30"/>
        <w:ind w:left="317" w:hanging="173"/>
      </w:pPr>
      <w:r>
        <w:t>sucesso sem espaço cloud → WS-01;</w:t>
      </w:r>
    </w:p>
    <w:p>
      <w:pPr>
        <w:pStyle w:val="ListBullet"/>
        <w:spacing w:after="30"/>
        <w:ind w:left="317" w:hanging="173"/>
      </w:pPr>
      <w:r>
        <w:t>esqueci minha senha → EN-04;</w:t>
      </w:r>
    </w:p>
    <w:p>
      <w:pPr>
        <w:pStyle w:val="ListBullet"/>
        <w:spacing w:after="30"/>
        <w:ind w:left="317" w:hanging="173"/>
      </w:pPr>
      <w:r>
        <w:t>retorno ao Desktop anônimo → EN-01.</w:t>
      </w:r>
    </w:p>
    <w:p>
      <w:pPr>
        <w:pStyle w:val="Heading2"/>
      </w:pPr>
      <w:r>
        <w:t>EN-03 · Criar conta — P0 · D/W/M</w:t>
      </w:r>
    </w:p>
    <w:p>
      <w:r>
        <w:t>Campos mínimos para fluxo de e-mail e alternativas Google/Apple. Após cadastro, apresentar verificação quando aplicável.</w:t>
      </w:r>
    </w:p>
    <w:p>
      <w:r>
        <w:rPr>
          <w:b/>
        </w:rPr>
        <w:t>Regra UX:</w:t>
      </w:r>
      <w:r>
        <w:t xml:space="preserve"> cadastro cria identidade, não cria automaticamente workspace cloud antes da confirmação do guia.</w:t>
      </w:r>
    </w:p>
    <w:p>
      <w:pPr>
        <w:pStyle w:val="Heading2"/>
      </w:pPr>
      <w:r>
        <w:t>EN-04 · Recuperar acesso — P0 · D/W/M</w:t>
      </w:r>
    </w:p>
    <w:p>
      <w:r>
        <w:t>Fluxo de e-mail seguro, estado “mensagem enviada”, redefinição e retorno à entrada. Não recupera senha de pacote de backup local.</w:t>
      </w:r>
    </w:p>
    <w:p>
      <w:pPr>
        <w:pStyle w:val="Heading2"/>
      </w:pPr>
      <w:r>
        <w:t>EN-05 · MFA individual — P0 · D/W/M</w:t>
      </w:r>
    </w:p>
    <w:p>
      <w:r>
        <w:t>Acessível em configurações da conta. Interface recomenda ativação, permite configuração e recuperação segundo mecanismo definido na arquitetura. Imposição por administrador é evolução.</w:t>
      </w:r>
    </w:p>
    <w:p>
      <w:pPr>
        <w:pStyle w:val="Heading1"/>
        <w:pageBreakBefore/>
      </w:pPr>
      <w:r>
        <w:t>03 · Criação, seleção e contexto de espaços</w:t>
      </w:r>
    </w:p>
    <w:p>
      <w:pPr>
        <w:pStyle w:val="Heading2"/>
      </w:pPr>
      <w:r>
        <w:t>WS-01 · Guia do primeiro espaço — P0 · D/W/M</w:t>
      </w:r>
    </w:p>
    <w:p>
      <w:r>
        <w:rPr>
          <w:b/>
        </w:rPr>
        <w:t>Desktop anônimo:</w:t>
      </w:r>
      <w:r>
        <w:t xml:space="preserve"> permite somente </w:t>
      </w:r>
      <w:r>
        <w:rPr>
          <w:b/>
        </w:rPr>
        <w:t>Local</w:t>
      </w:r>
      <w:r>
        <w:t>.</w:t>
      </w:r>
    </w:p>
    <w:p>
      <w:r>
        <w:rPr>
          <w:b/>
        </w:rPr>
        <w:t>Desktop autenticado:</w:t>
      </w:r>
      <w:r>
        <w:t xml:space="preserve"> permite </w:t>
      </w:r>
      <w:r>
        <w:rPr>
          <w:b/>
        </w:rPr>
        <w:t>Local</w:t>
      </w:r>
      <w:r>
        <w:t xml:space="preserve"> ou </w:t>
      </w:r>
      <w:r>
        <w:rPr>
          <w:b/>
        </w:rPr>
        <w:t>Nuvem</w:t>
      </w:r>
      <w:r>
        <w:t>.</w:t>
      </w:r>
    </w:p>
    <w:p>
      <w:r>
        <w:rPr>
          <w:b/>
        </w:rPr>
        <w:t>Web/Mobile:</w:t>
      </w:r>
      <w:r>
        <w:t xml:space="preserve"> cria somente </w:t>
      </w:r>
      <w:r>
        <w:rPr>
          <w:b/>
        </w:rPr>
        <w:t>Nuvem</w:t>
      </w:r>
      <w:r>
        <w:t>.</w:t>
      </w:r>
    </w:p>
    <w:p>
      <w:r>
        <w:t>Etapas recomendadas: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1. </w:t>
      </w:r>
      <w:r>
        <w:rPr>
          <w:b/>
        </w:rPr>
        <w:t>Para que você vai usar este espaço?</w:t>
      </w:r>
      <w:r>
        <w:t xml:space="preserve"> Pessoal / Empresa / Outro.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2. </w:t>
      </w:r>
      <w:r>
        <w:rPr>
          <w:b/>
        </w:rPr>
        <w:t>Nome do espaço.</w:t>
      </w:r>
      <w:r>
        <w:t xml:space="preserve"> Nome livre; exemplos contextuais.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3. </w:t>
      </w:r>
      <w:r>
        <w:rPr>
          <w:b/>
        </w:rPr>
        <w:t>Sobre quem/que organização é este espaço?</w:t>
      </w:r>
      <w:r>
        <w:t xml:space="preserve"> campos opcionais: nome, CPF/CNPJ, natureza jurídica/descrição.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4. </w:t>
      </w:r>
      <w:r>
        <w:rPr>
          <w:b/>
        </w:rPr>
        <w:t>Onde os dados ficarão?</w:t>
      </w:r>
      <w:r>
        <w:t xml:space="preserve"> apenas quando a plataforma permitir escolha.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5. </w:t>
      </w:r>
      <w:r>
        <w:rPr>
          <w:b/>
        </w:rPr>
        <w:t>Criar primeira conta financeira agora?</w:t>
      </w:r>
      <w:r>
        <w:t xml:space="preserve"> recomendado, mas pode pular.</w:t>
      </w:r>
    </w:p>
    <w:p>
      <w:r>
        <w:rPr>
          <w:b/>
        </w:rPr>
        <w:t>Saídas:</w:t>
      </w:r>
    </w:p>
    <w:p>
      <w:pPr>
        <w:pStyle w:val="ListBullet"/>
        <w:spacing w:after="30"/>
        <w:ind w:left="317" w:hanging="173"/>
      </w:pPr>
      <w:r>
        <w:t>criar conta financeira → CT-02;</w:t>
      </w:r>
    </w:p>
    <w:p>
      <w:pPr>
        <w:pStyle w:val="ListBullet"/>
        <w:spacing w:after="30"/>
        <w:ind w:left="317" w:hanging="173"/>
      </w:pPr>
      <w:r>
        <w:t>pular → VG-01 com estado vazio orientado.</w:t>
      </w:r>
    </w:p>
    <w:p>
      <w:pPr>
        <w:pStyle w:val="Heading2"/>
      </w:pPr>
      <w:r>
        <w:t>WS-02 · Criar outro espaço — P0 · D/W/M</w:t>
      </w:r>
    </w:p>
    <w:p>
      <w:r>
        <w:t>Acessado pelo seletor. Reusa WS-01, mas sem linguagem de “primeiro acesso”. No Desktop, autenticar-se não altera espaços locais existentes.</w:t>
      </w:r>
    </w:p>
    <w:p>
      <w:pPr>
        <w:pStyle w:val="Heading2"/>
      </w:pPr>
      <w:r>
        <w:t>WS-03 · Seletor de espaço — P0 · D/W/M</w:t>
      </w:r>
    </w:p>
    <w:p>
      <w:r>
        <w:t>Cada item mostra:</w:t>
      </w:r>
    </w:p>
    <w:p>
      <w:pPr>
        <w:pStyle w:val="ListBullet"/>
        <w:spacing w:after="30"/>
        <w:ind w:left="317" w:hanging="173"/>
      </w:pPr>
      <w:r>
        <w:t>nome;</w:t>
      </w:r>
    </w:p>
    <w:p>
      <w:pPr>
        <w:pStyle w:val="ListBullet"/>
        <w:spacing w:after="30"/>
        <w:ind w:left="317" w:hanging="173"/>
      </w:pPr>
      <w:r>
        <w:t>tipo/finalidade;</w:t>
      </w:r>
    </w:p>
    <w:p>
      <w:pPr>
        <w:pStyle w:val="ListBullet"/>
        <w:spacing w:after="30"/>
        <w:ind w:left="317" w:hanging="173"/>
      </w:pPr>
      <w:r>
        <w:t>Local ou Nuvem;</w:t>
      </w:r>
    </w:p>
    <w:p>
      <w:pPr>
        <w:pStyle w:val="ListBullet"/>
        <w:spacing w:after="30"/>
        <w:ind w:left="317" w:hanging="173"/>
      </w:pPr>
      <w:r>
        <w:t>papel no espaço cloud;</w:t>
      </w:r>
    </w:p>
    <w:p>
      <w:pPr>
        <w:pStyle w:val="ListBullet"/>
        <w:spacing w:after="30"/>
        <w:ind w:left="317" w:hanging="173"/>
      </w:pPr>
      <w:r>
        <w:t>indicador de sincronização quando relevante;</w:t>
      </w:r>
    </w:p>
    <w:p>
      <w:pPr>
        <w:pStyle w:val="ListBullet"/>
        <w:spacing w:after="30"/>
        <w:ind w:left="317" w:hanging="173"/>
      </w:pPr>
      <w:r>
        <w:t>arquivado/atenção quando aplicável.</w:t>
      </w:r>
    </w:p>
    <w:p>
      <w:r>
        <w:t>Ações por plataforma:</w:t>
      </w:r>
    </w:p>
    <w:p>
      <w:pPr>
        <w:pStyle w:val="ListBullet"/>
        <w:spacing w:after="30"/>
        <w:ind w:left="317" w:hanging="173"/>
      </w:pPr>
      <w:r>
        <w:t>abrir;</w:t>
      </w:r>
    </w:p>
    <w:p>
      <w:pPr>
        <w:pStyle w:val="ListBullet"/>
        <w:spacing w:after="30"/>
        <w:ind w:left="317" w:hanging="173"/>
      </w:pPr>
      <w:r>
        <w:t>criar espaço;</w:t>
      </w:r>
    </w:p>
    <w:p>
      <w:pPr>
        <w:pStyle w:val="ListBullet"/>
        <w:spacing w:after="30"/>
        <w:ind w:left="317" w:hanging="173"/>
      </w:pPr>
      <w:r>
        <w:t>Desktop: filtrar Local/Cloud;</w:t>
      </w:r>
    </w:p>
    <w:p>
      <w:pPr>
        <w:pStyle w:val="ListBullet"/>
        <w:spacing w:after="30"/>
        <w:ind w:left="317" w:hanging="173"/>
      </w:pPr>
      <w:r>
        <w:t>cloud: aceitar convite pendente quando houver.</w:t>
      </w:r>
    </w:p>
    <w:p>
      <w:pPr>
        <w:pStyle w:val="Heading2"/>
      </w:pPr>
      <w:r>
        <w:t>WS-04 · Convite pendente — P0 · D/W/M</w:t>
      </w:r>
    </w:p>
    <w:p>
      <w:r>
        <w:t>Mostra remetente/espaço, papel, escopo de contas quando limitado e data de expiração. O usuário aceita ou recusa. Não existe link público anônimo.</w:t>
      </w:r>
    </w:p>
    <w:p>
      <w:pPr>
        <w:pStyle w:val="Heading1"/>
        <w:pageBreakBefore/>
      </w:pPr>
      <w:r>
        <w:t>04 · Visão geral</w:t>
      </w:r>
    </w:p>
    <w:p>
      <w:pPr>
        <w:pStyle w:val="Heading2"/>
      </w:pPr>
      <w:r>
        <w:t>VG-01 · Dashboard do espaço — P0 · D/W/M</w:t>
      </w:r>
    </w:p>
    <w:p>
      <w:r>
        <w:rPr>
          <w:b/>
        </w:rPr>
        <w:t>Perguntas que a tela deve responder: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1. </w:t>
      </w:r>
      <w:r>
        <w:t>Quanto tenho disponível?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2. </w:t>
      </w:r>
      <w:r>
        <w:t>Quanto gastei no período?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3. </w:t>
      </w:r>
      <w:r>
        <w:t>Em quê estou gastando?</w:t>
      </w:r>
    </w:p>
    <w:p>
      <w:r>
        <w:rPr>
          <w:b/>
        </w:rPr>
        <w:t>Blocos mínimos:</w:t>
      </w:r>
    </w:p>
    <w:p>
      <w:pPr>
        <w:pStyle w:val="ListBullet"/>
        <w:spacing w:after="30"/>
        <w:ind w:left="317" w:hanging="173"/>
      </w:pPr>
      <w:r>
        <w:t>saldo disponível;</w:t>
      </w:r>
    </w:p>
    <w:p>
      <w:pPr>
        <w:pStyle w:val="ListBullet"/>
        <w:spacing w:after="30"/>
        <w:ind w:left="317" w:hanging="173"/>
      </w:pPr>
      <w:r>
        <w:t>dívida de cartão separada;</w:t>
      </w:r>
    </w:p>
    <w:p>
      <w:pPr>
        <w:pStyle w:val="ListBullet"/>
        <w:spacing w:after="30"/>
        <w:ind w:left="317" w:hanging="173"/>
      </w:pPr>
      <w:r>
        <w:t>despesas no período;</w:t>
      </w:r>
    </w:p>
    <w:p>
      <w:pPr>
        <w:pStyle w:val="ListBullet"/>
        <w:spacing w:after="30"/>
        <w:ind w:left="317" w:hanging="173"/>
      </w:pPr>
      <w:r>
        <w:t>maiores categorias;</w:t>
      </w:r>
    </w:p>
    <w:p>
      <w:pPr>
        <w:pStyle w:val="ListBullet"/>
        <w:spacing w:after="30"/>
        <w:ind w:left="317" w:hanging="173"/>
      </w:pPr>
      <w:r>
        <w:t>gráfico/representação de composição;</w:t>
      </w:r>
    </w:p>
    <w:p>
      <w:pPr>
        <w:pStyle w:val="ListBullet"/>
        <w:spacing w:after="30"/>
        <w:ind w:left="317" w:hanging="173"/>
      </w:pPr>
      <w:r>
        <w:t>movimentações recentes;</w:t>
      </w:r>
    </w:p>
    <w:p>
      <w:pPr>
        <w:pStyle w:val="ListBullet"/>
        <w:spacing w:after="30"/>
        <w:ind w:left="317" w:hanging="173"/>
      </w:pPr>
      <w:r>
        <w:t>alertas de qualidade/confiança;</w:t>
      </w:r>
    </w:p>
    <w:p>
      <w:pPr>
        <w:pStyle w:val="ListBullet"/>
        <w:spacing w:after="30"/>
        <w:ind w:left="317" w:hanging="173"/>
      </w:pPr>
      <w:r>
        <w:t>próximos compromissos somente quando RF-09/P1 estiver disponível.</w:t>
      </w:r>
    </w:p>
    <w:p>
      <w:r>
        <w:rPr>
          <w:b/>
        </w:rPr>
        <w:t>Filtros:</w:t>
      </w:r>
      <w:r>
        <w:t xml:space="preserve"> período e contas autorizadas. Alterar filtro atualiza todos os blocos compatíveis.</w:t>
      </w:r>
    </w:p>
    <w:p>
      <w:r>
        <w:rPr>
          <w:b/>
        </w:rPr>
        <w:t>Drill-downs:</w:t>
      </w:r>
    </w:p>
    <w:p>
      <w:pPr>
        <w:pStyle w:val="ListBullet"/>
        <w:spacing w:after="30"/>
        <w:ind w:left="317" w:hanging="173"/>
      </w:pPr>
      <w:r>
        <w:t>saldo → CT-01 ou RP-02 com contas filtradas;</w:t>
      </w:r>
    </w:p>
    <w:p>
      <w:pPr>
        <w:pStyle w:val="ListBullet"/>
        <w:spacing w:after="30"/>
        <w:ind w:left="317" w:hanging="173"/>
      </w:pPr>
      <w:r>
        <w:t>despesa total → RP-01;</w:t>
      </w:r>
    </w:p>
    <w:p>
      <w:pPr>
        <w:pStyle w:val="ListBullet"/>
        <w:spacing w:after="30"/>
        <w:ind w:left="317" w:hanging="173"/>
      </w:pPr>
      <w:r>
        <w:t>categoria → RP-03;</w:t>
      </w:r>
    </w:p>
    <w:p>
      <w:pPr>
        <w:pStyle w:val="ListBullet"/>
        <w:spacing w:after="30"/>
        <w:ind w:left="317" w:hanging="173"/>
      </w:pPr>
      <w:r>
        <w:t>movimentação recente → MV-03;</w:t>
      </w:r>
    </w:p>
    <w:p>
      <w:pPr>
        <w:pStyle w:val="ListBullet"/>
        <w:spacing w:after="30"/>
        <w:ind w:left="317" w:hanging="173"/>
      </w:pPr>
      <w:r>
        <w:t>alerta de importação → IM-02/IM-07;</w:t>
      </w:r>
    </w:p>
    <w:p>
      <w:pPr>
        <w:pStyle w:val="ListBullet"/>
        <w:spacing w:after="30"/>
        <w:ind w:left="317" w:hanging="173"/>
      </w:pPr>
      <w:r>
        <w:t>conflito → SY-02.</w:t>
      </w:r>
    </w:p>
    <w:p>
      <w:r>
        <w:rPr>
          <w:b/>
        </w:rPr>
        <w:t>Estados de confiança:</w:t>
      </w:r>
    </w:p>
    <w:p>
      <w:pPr>
        <w:pStyle w:val="ListBullet"/>
        <w:spacing w:after="30"/>
        <w:ind w:left="317" w:hanging="173"/>
      </w:pPr>
      <w:r>
        <w:t>conta sem saldo de referência;</w:t>
      </w:r>
    </w:p>
    <w:p>
      <w:pPr>
        <w:pStyle w:val="ListBullet"/>
        <w:spacing w:after="30"/>
        <w:ind w:left="317" w:hanging="173"/>
      </w:pPr>
      <w:r>
        <w:t>importação em revisão;</w:t>
      </w:r>
    </w:p>
    <w:p>
      <w:pPr>
        <w:pStyle w:val="ListBullet"/>
        <w:spacing w:after="30"/>
        <w:ind w:left="317" w:hanging="173"/>
      </w:pPr>
      <w:r>
        <w:t>dados parcialmente sincronizados;</w:t>
      </w:r>
    </w:p>
    <w:p>
      <w:pPr>
        <w:pStyle w:val="ListBullet"/>
        <w:spacing w:after="30"/>
        <w:ind w:left="317" w:hanging="173"/>
      </w:pPr>
      <w:r>
        <w:t>conta fora do escopo do usuário;</w:t>
      </w:r>
    </w:p>
    <w:p>
      <w:pPr>
        <w:pStyle w:val="ListBullet"/>
        <w:spacing w:after="30"/>
        <w:ind w:left="317" w:hanging="173"/>
      </w:pPr>
      <w:r>
        <w:t>conflito aberto;</w:t>
      </w:r>
    </w:p>
    <w:p>
      <w:pPr>
        <w:pStyle w:val="ListBullet"/>
        <w:spacing w:after="30"/>
        <w:ind w:left="317" w:hanging="173"/>
      </w:pPr>
      <w:r>
        <w:t>cobertura parcial do período.</w:t>
      </w:r>
    </w:p>
    <w:p>
      <w:pPr>
        <w:pStyle w:val="Heading2"/>
      </w:pPr>
      <w:r>
        <w:t>VG-02 · Estado vazio inicial — P0 · D/W/M</w:t>
      </w:r>
    </w:p>
    <w:p>
      <w:r>
        <w:t>Nunca exibir um dashboard zerado como se houvesse análise suficiente. Mostrar passo recomendado: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1. </w:t>
      </w:r>
      <w:r>
        <w:t>Adicionar conta;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2. </w:t>
      </w:r>
      <w:r>
        <w:t xml:space="preserve">importar extrato </w:t>
      </w:r>
      <w:r>
        <w:rPr>
          <w:b/>
        </w:rPr>
        <w:t>ou</w:t>
      </w:r>
      <w:r>
        <w:t xml:space="preserve"> adicionar movimentação;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3. </w:t>
      </w:r>
      <w:r>
        <w:t>categorizar/revisar;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4. </w:t>
      </w:r>
      <w:r>
        <w:t>voltar ao painel.</w:t>
      </w:r>
    </w:p>
    <w:p>
      <w:r>
        <w:t>No Desktop local, também lembrar backup após existir informação financeira relevante.</w:t>
      </w:r>
    </w:p>
    <w:p>
      <w:pPr>
        <w:pStyle w:val="Heading1"/>
        <w:pageBreakBefore/>
      </w:pPr>
      <w:r>
        <w:t>05 · Movimentações</w:t>
      </w:r>
    </w:p>
    <w:p>
      <w:pPr>
        <w:pStyle w:val="Heading2"/>
      </w:pPr>
      <w:r>
        <w:t>MV-01 · Lista de movimentações — P0 · D/W/M</w:t>
      </w:r>
    </w:p>
    <w:p>
      <w:r>
        <w:rPr>
          <w:b/>
        </w:rPr>
        <w:t>Colunas/campos principais:</w:t>
      </w:r>
      <w:r>
        <w:t xml:space="preserve"> data, nome, conta, categoria, tipo, valor e estado. Desktop/Web podem usar tabela; Mobile usa lista/cards compactos.</w:t>
      </w:r>
    </w:p>
    <w:p>
      <w:r>
        <w:rPr>
          <w:b/>
        </w:rPr>
        <w:t>Filtros:</w:t>
      </w:r>
      <w:r>
        <w:t xml:space="preserve"> período, conta, entrada/gasto/transferência, categoria, subcategoria, tags, origem, não classificado, conciliado/não conciliado.</w:t>
      </w:r>
    </w:p>
    <w:p>
      <w:r>
        <w:rPr>
          <w:b/>
        </w:rPr>
        <w:t>Ações:</w:t>
      </w:r>
    </w:p>
    <w:p>
      <w:pPr>
        <w:pStyle w:val="ListBullet"/>
        <w:spacing w:after="30"/>
        <w:ind w:left="317" w:hanging="173"/>
      </w:pPr>
      <w:r>
        <w:t>abrir detalhe;</w:t>
      </w:r>
    </w:p>
    <w:p>
      <w:pPr>
        <w:pStyle w:val="ListBullet"/>
        <w:spacing w:after="30"/>
        <w:ind w:left="317" w:hanging="173"/>
      </w:pPr>
      <w:r>
        <w:t>adicionar;</w:t>
      </w:r>
    </w:p>
    <w:p>
      <w:pPr>
        <w:pStyle w:val="ListBullet"/>
        <w:spacing w:after="30"/>
        <w:ind w:left="317" w:hanging="173"/>
      </w:pPr>
      <w:r>
        <w:t>editar quando autorizado;</w:t>
      </w:r>
    </w:p>
    <w:p>
      <w:pPr>
        <w:pStyle w:val="ListBullet"/>
        <w:spacing w:after="30"/>
        <w:ind w:left="317" w:hanging="173"/>
      </w:pPr>
      <w:r>
        <w:t>selecionar para classificação em lote quando aplicável;</w:t>
      </w:r>
    </w:p>
    <w:p>
      <w:pPr>
        <w:pStyle w:val="ListBullet"/>
        <w:spacing w:after="30"/>
        <w:ind w:left="317" w:hanging="173"/>
      </w:pPr>
      <w:r>
        <w:t>exportar conforme permissão;</w:t>
      </w:r>
    </w:p>
    <w:p>
      <w:pPr>
        <w:pStyle w:val="ListBullet"/>
        <w:spacing w:after="30"/>
        <w:ind w:left="317" w:hanging="173"/>
      </w:pPr>
      <w:r>
        <w:t>abrir origem/importação.</w:t>
      </w:r>
    </w:p>
    <w:p>
      <w:pPr>
        <w:pStyle w:val="Heading2"/>
      </w:pPr>
      <w:r>
        <w:t>MV-02 · Nova movimentação — P0 · D/W/M</w:t>
      </w:r>
    </w:p>
    <w:p>
      <w:r>
        <w:t>Tipos visíveis em linguagem natural:</w:t>
      </w:r>
    </w:p>
    <w:p>
      <w:pPr>
        <w:pStyle w:val="ListBullet"/>
        <w:spacing w:after="30"/>
        <w:ind w:left="317" w:hanging="173"/>
      </w:pPr>
      <w:r>
        <w:t>Entrada;</w:t>
      </w:r>
    </w:p>
    <w:p>
      <w:pPr>
        <w:pStyle w:val="ListBullet"/>
        <w:spacing w:after="30"/>
        <w:ind w:left="317" w:hanging="173"/>
      </w:pPr>
      <w:r>
        <w:t>Gasto;</w:t>
      </w:r>
    </w:p>
    <w:p>
      <w:pPr>
        <w:pStyle w:val="ListBullet"/>
        <w:spacing w:after="30"/>
        <w:ind w:left="317" w:hanging="173"/>
      </w:pPr>
      <w:r>
        <w:t>Transferência.</w:t>
      </w:r>
    </w:p>
    <w:p>
      <w:r>
        <w:t>Campos: conta, data, valor, descrição/nome, categoria, subcategoria, tags, contraparte opcional e observação. Transferência exige origem e destino e deve ser atômica.</w:t>
      </w:r>
    </w:p>
    <w:p>
      <w:r>
        <w:rPr>
          <w:b/>
        </w:rPr>
        <w:t>Saldo inicial/ajuste:</w:t>
      </w:r>
      <w:r>
        <w:t xml:space="preserve"> não misturar ao fluxo padrão de gasto. Ajustes usam ação específica em CT-03.</w:t>
      </w:r>
    </w:p>
    <w:p>
      <w:pPr>
        <w:pStyle w:val="Heading2"/>
      </w:pPr>
      <w:r>
        <w:t>MV-03 · Detalhe da movimentação — P0 · D/W/M</w:t>
      </w:r>
    </w:p>
    <w:p>
      <w:r>
        <w:t>Exibe:</w:t>
      </w:r>
    </w:p>
    <w:p>
      <w:pPr>
        <w:pStyle w:val="ListBullet"/>
        <w:spacing w:after="30"/>
        <w:ind w:left="317" w:hanging="173"/>
      </w:pPr>
      <w:r>
        <w:t>valor e tipo;</w:t>
      </w:r>
    </w:p>
    <w:p>
      <w:pPr>
        <w:pStyle w:val="ListBullet"/>
        <w:spacing w:after="30"/>
        <w:ind w:left="317" w:hanging="173"/>
      </w:pPr>
      <w:r>
        <w:t>descrição original e nome ajustado;</w:t>
      </w:r>
    </w:p>
    <w:p>
      <w:pPr>
        <w:pStyle w:val="ListBullet"/>
        <w:spacing w:after="30"/>
        <w:ind w:left="317" w:hanging="173"/>
      </w:pPr>
      <w:r>
        <w:t>conta;</w:t>
      </w:r>
    </w:p>
    <w:p>
      <w:pPr>
        <w:pStyle w:val="ListBullet"/>
        <w:spacing w:after="30"/>
        <w:ind w:left="317" w:hanging="173"/>
      </w:pPr>
      <w:r>
        <w:t>classificação/rateio;</w:t>
      </w:r>
    </w:p>
    <w:p>
      <w:pPr>
        <w:pStyle w:val="ListBullet"/>
        <w:spacing w:after="30"/>
        <w:ind w:left="317" w:hanging="173"/>
      </w:pPr>
      <w:r>
        <w:t>tags;</w:t>
      </w:r>
    </w:p>
    <w:p>
      <w:pPr>
        <w:pStyle w:val="ListBullet"/>
        <w:spacing w:after="30"/>
        <w:ind w:left="317" w:hanging="173"/>
      </w:pPr>
      <w:r>
        <w:t>contraparte;</w:t>
      </w:r>
    </w:p>
    <w:p>
      <w:pPr>
        <w:pStyle w:val="ListBullet"/>
        <w:spacing w:after="30"/>
        <w:ind w:left="317" w:hanging="173"/>
      </w:pPr>
      <w:r>
        <w:t>origem: manual/importação/documento;</w:t>
      </w:r>
    </w:p>
    <w:p>
      <w:pPr>
        <w:pStyle w:val="ListBullet"/>
        <w:spacing w:after="30"/>
        <w:ind w:left="317" w:hanging="173"/>
      </w:pPr>
      <w:r>
        <w:t>documento/itens vinculados;</w:t>
      </w:r>
    </w:p>
    <w:p>
      <w:pPr>
        <w:pStyle w:val="ListBullet"/>
        <w:spacing w:after="30"/>
        <w:ind w:left="317" w:hanging="173"/>
      </w:pPr>
      <w:r>
        <w:t>histórico/revisões disponíveis;</w:t>
      </w:r>
    </w:p>
    <w:p>
      <w:pPr>
        <w:pStyle w:val="ListBullet"/>
        <w:spacing w:after="30"/>
        <w:ind w:left="317" w:hanging="173"/>
      </w:pPr>
      <w:r>
        <w:t>conciliações;</w:t>
      </w:r>
    </w:p>
    <w:p>
      <w:pPr>
        <w:pStyle w:val="ListBullet"/>
        <w:spacing w:after="30"/>
        <w:ind w:left="317" w:hanging="173"/>
      </w:pPr>
      <w:r>
        <w:t>fatura/cartão quando aplicável.</w:t>
      </w:r>
    </w:p>
    <w:p>
      <w:r>
        <w:rPr>
          <w:b/>
        </w:rPr>
        <w:t>Ações autorizadas:</w:t>
      </w:r>
      <w:r>
        <w:t xml:space="preserve"> editar, dividir classificação, vincular/desvincular documento, restaurar quando excluído logicamente, excluir logicamente, abrir lote de origem.</w:t>
      </w:r>
    </w:p>
    <w:p>
      <w:pPr>
        <w:pStyle w:val="Heading2"/>
      </w:pPr>
      <w:r>
        <w:t>MV-04 · Editar classificação/rateio — P0 · D/W/M</w:t>
      </w:r>
    </w:p>
    <w:p>
      <w:r>
        <w:t>Permite classificação simples ou múltiplas parcelas. A soma precisa coincidir com o total da movimentação. Tags podem valer para o lançamento inteiro; categorias/subcategorias ficam por parcela.</w:t>
      </w:r>
    </w:p>
    <w:p>
      <w:pPr>
        <w:pStyle w:val="Heading2"/>
      </w:pPr>
      <w:r>
        <w:t>MV-05 · Exclusão/restauração — P0 · D/W/M</w:t>
      </w:r>
    </w:p>
    <w:p>
      <w:r>
        <w:t>Confirmação contextual informa efeito em saldo, conciliações e histórico. Em cloud, ação gera revisão sincronizável. Restauração não deve ressuscitar vínculo incompatível automaticamente.</w:t>
      </w:r>
    </w:p>
    <w:p>
      <w:pPr>
        <w:pStyle w:val="Heading1"/>
        <w:pageBreakBefore/>
      </w:pPr>
      <w:r>
        <w:t>06 · Contas e cartões</w:t>
      </w:r>
    </w:p>
    <w:p>
      <w:pPr>
        <w:pStyle w:val="Heading2"/>
      </w:pPr>
      <w:r>
        <w:t>CT-01 · Lista de contas e cartões — P0 · D/W/M</w:t>
      </w:r>
    </w:p>
    <w:p>
      <w:r>
        <w:t>Seções separadas:</w:t>
      </w:r>
    </w:p>
    <w:p>
      <w:pPr>
        <w:pStyle w:val="ListBullet"/>
        <w:spacing w:after="30"/>
        <w:ind w:left="317" w:hanging="173"/>
      </w:pPr>
      <w:r>
        <w:t>dinheiro/disponibilidades;</w:t>
      </w:r>
    </w:p>
    <w:p>
      <w:pPr>
        <w:pStyle w:val="ListBullet"/>
        <w:spacing w:after="30"/>
        <w:ind w:left="317" w:hanging="173"/>
      </w:pPr>
      <w:r>
        <w:t>cartões e dívidas simples;</w:t>
      </w:r>
    </w:p>
    <w:p>
      <w:pPr>
        <w:pStyle w:val="ListBullet"/>
        <w:spacing w:after="30"/>
        <w:ind w:left="317" w:hanging="173"/>
      </w:pPr>
      <w:r>
        <w:t>contas arquivadas quando solicitado.</w:t>
      </w:r>
    </w:p>
    <w:p>
      <w:r>
        <w:t>Cada item mostra saldo/valor devido conforme o tipo, data de referência, última atualização e alerta de incompletude.</w:t>
      </w:r>
    </w:p>
    <w:p>
      <w:pPr>
        <w:pStyle w:val="Heading2"/>
      </w:pPr>
      <w:r>
        <w:t>CT-02 · Nova conta — P0 · D/W/M</w:t>
      </w:r>
    </w:p>
    <w:p>
      <w:r>
        <w:t>Campos:</w:t>
      </w:r>
    </w:p>
    <w:p>
      <w:pPr>
        <w:pStyle w:val="ListBullet"/>
        <w:spacing w:after="30"/>
        <w:ind w:left="317" w:hanging="173"/>
      </w:pPr>
      <w:r>
        <w:t>nome;</w:t>
      </w:r>
    </w:p>
    <w:p>
      <w:pPr>
        <w:pStyle w:val="ListBullet"/>
        <w:spacing w:after="30"/>
        <w:ind w:left="317" w:hanging="173"/>
      </w:pPr>
      <w:r>
        <w:t>tipo;</w:t>
      </w:r>
    </w:p>
    <w:p>
      <w:pPr>
        <w:pStyle w:val="ListBullet"/>
        <w:spacing w:after="30"/>
        <w:ind w:left="317" w:hanging="173"/>
      </w:pPr>
      <w:r>
        <w:t>moeda (BRL como padrão do MVP);</w:t>
      </w:r>
    </w:p>
    <w:p>
      <w:pPr>
        <w:pStyle w:val="ListBullet"/>
        <w:spacing w:after="30"/>
        <w:ind w:left="317" w:hanging="173"/>
      </w:pPr>
      <w:r>
        <w:t>saldo prévio opcional;</w:t>
      </w:r>
    </w:p>
    <w:p>
      <w:pPr>
        <w:pStyle w:val="ListBullet"/>
        <w:spacing w:after="30"/>
        <w:ind w:left="317" w:hanging="173"/>
      </w:pPr>
      <w:r>
        <w:t>data de referência;</w:t>
      </w:r>
    </w:p>
    <w:p>
      <w:pPr>
        <w:pStyle w:val="ListBullet"/>
        <w:spacing w:after="30"/>
        <w:ind w:left="317" w:hanging="173"/>
      </w:pPr>
      <w:r>
        <w:t>regra de referência de início/fim do dia quando necessário.</w:t>
      </w:r>
    </w:p>
    <w:p>
      <w:r>
        <w:t>Tipos iniciais: corrente, poupança, digital, carteira/dinheiro, cartão; representação simples de investimento/dívida pode existir sem recursos avançados.</w:t>
      </w:r>
    </w:p>
    <w:p>
      <w:pPr>
        <w:pStyle w:val="Heading2"/>
      </w:pPr>
      <w:r>
        <w:t>CT-03 · Detalhe da conta — P0 · D/W/M</w:t>
      </w:r>
    </w:p>
    <w:p>
      <w:r>
        <w:t>Exibe saldo calculado, referência, movimentos, importações relacionadas e estado de conferência.</w:t>
      </w:r>
    </w:p>
    <w:p>
      <w:r>
        <w:t>Ações:</w:t>
      </w:r>
    </w:p>
    <w:p>
      <w:pPr>
        <w:pStyle w:val="ListBullet"/>
        <w:spacing w:after="30"/>
        <w:ind w:left="317" w:hanging="173"/>
      </w:pPr>
      <w:r>
        <w:t>editar nome/metadados;</w:t>
      </w:r>
    </w:p>
    <w:p>
      <w:pPr>
        <w:pStyle w:val="ListBullet"/>
        <w:spacing w:after="30"/>
        <w:ind w:left="317" w:hanging="173"/>
      </w:pPr>
      <w:r>
        <w:t>corrigir/adicionar saldo de referência;</w:t>
      </w:r>
    </w:p>
    <w:p>
      <w:pPr>
        <w:pStyle w:val="ListBullet"/>
        <w:spacing w:after="30"/>
        <w:ind w:left="317" w:hanging="173"/>
      </w:pPr>
      <w:r>
        <w:t>importar extrato;</w:t>
      </w:r>
    </w:p>
    <w:p>
      <w:pPr>
        <w:pStyle w:val="ListBullet"/>
        <w:spacing w:after="30"/>
        <w:ind w:left="317" w:hanging="173"/>
      </w:pPr>
      <w:r>
        <w:t>adicionar movimentação;</w:t>
      </w:r>
    </w:p>
    <w:p>
      <w:pPr>
        <w:pStyle w:val="ListBullet"/>
        <w:spacing w:after="30"/>
        <w:ind w:left="317" w:hanging="173"/>
      </w:pPr>
      <w:r>
        <w:t>arquivar conta;</w:t>
      </w:r>
    </w:p>
    <w:p>
      <w:pPr>
        <w:pStyle w:val="ListBullet"/>
        <w:spacing w:after="30"/>
        <w:ind w:left="317" w:hanging="173"/>
      </w:pPr>
      <w:r>
        <w:t>ver divergência de saldo.</w:t>
      </w:r>
    </w:p>
    <w:p>
      <w:pPr>
        <w:pStyle w:val="Heading2"/>
      </w:pPr>
      <w:r>
        <w:t>CT-04 · Cartão — P0 · D/W/M</w:t>
      </w:r>
    </w:p>
    <w:p>
      <w:r>
        <w:t>Visão simplificada:</w:t>
      </w:r>
    </w:p>
    <w:p>
      <w:pPr>
        <w:pStyle w:val="ListBullet"/>
        <w:spacing w:after="30"/>
        <w:ind w:left="317" w:hanging="173"/>
      </w:pPr>
      <w:r>
        <w:t>compras importadas;</w:t>
      </w:r>
    </w:p>
    <w:p>
      <w:pPr>
        <w:pStyle w:val="ListBullet"/>
        <w:spacing w:after="30"/>
        <w:ind w:left="317" w:hanging="173"/>
      </w:pPr>
      <w:r>
        <w:t>créditos/estornos;</w:t>
      </w:r>
    </w:p>
    <w:p>
      <w:pPr>
        <w:pStyle w:val="ListBullet"/>
        <w:spacing w:after="30"/>
        <w:ind w:left="317" w:hanging="173"/>
      </w:pPr>
      <w:r>
        <w:t>pagamentos de fatura conciliados;</w:t>
      </w:r>
    </w:p>
    <w:p>
      <w:pPr>
        <w:pStyle w:val="ListBullet"/>
        <w:spacing w:after="30"/>
        <w:ind w:left="317" w:hanging="173"/>
      </w:pPr>
      <w:r>
        <w:t>período/fatura quando conhecido;</w:t>
      </w:r>
    </w:p>
    <w:p>
      <w:pPr>
        <w:pStyle w:val="ListBullet"/>
        <w:spacing w:after="30"/>
        <w:ind w:left="317" w:hanging="173"/>
      </w:pPr>
      <w:r>
        <w:t>dívida atual quando calculável.</w:t>
      </w:r>
    </w:p>
    <w:p>
      <w:r>
        <w:t>Não projetar parcelas futuras que não estejam na fonte. Não somar pagamento da fatura como nova despesa de consumo.</w:t>
      </w:r>
    </w:p>
    <w:p>
      <w:pPr>
        <w:pStyle w:val="Heading2"/>
      </w:pPr>
      <w:r>
        <w:t>CT-05 · Conferir saldo — P0 · D/W/M</w:t>
      </w:r>
    </w:p>
    <w:p>
      <w:r>
        <w:t>Mostra saldo esperado pelo sistema, saldo de referência informado/importado, diferença e registros considerados. Ação de ajuste exige confirmação e cria movimento identificado como ajuste, não como receita/despesa automática.</w:t>
      </w:r>
    </w:p>
    <w:p>
      <w:pPr>
        <w:pStyle w:val="Heading1"/>
        <w:pageBreakBefore/>
      </w:pPr>
      <w:r>
        <w:t>07 · Importações</w:t>
      </w:r>
    </w:p>
    <w:p>
      <w:pPr>
        <w:pStyle w:val="Heading2"/>
      </w:pPr>
      <w:r>
        <w:t>IM-01 · Central de importações — P0 · D/W/M</w:t>
      </w:r>
    </w:p>
    <w:p>
      <w:r>
        <w:t>Mostra:</w:t>
      </w:r>
    </w:p>
    <w:p>
      <w:pPr>
        <w:pStyle w:val="ListBullet"/>
        <w:spacing w:after="30"/>
        <w:ind w:left="317" w:hanging="173"/>
      </w:pPr>
      <w:r>
        <w:t>iniciar importação;</w:t>
      </w:r>
    </w:p>
    <w:p>
      <w:pPr>
        <w:pStyle w:val="ListBullet"/>
        <w:spacing w:after="30"/>
        <w:ind w:left="317" w:hanging="173"/>
      </w:pPr>
      <w:r>
        <w:t>lotes em revisão;</w:t>
      </w:r>
    </w:p>
    <w:p>
      <w:pPr>
        <w:pStyle w:val="ListBullet"/>
        <w:spacing w:after="30"/>
        <w:ind w:left="317" w:hanging="173"/>
      </w:pPr>
      <w:r>
        <w:t>lotes concluídos;</w:t>
      </w:r>
    </w:p>
    <w:p>
      <w:pPr>
        <w:pStyle w:val="ListBullet"/>
        <w:spacing w:after="30"/>
        <w:ind w:left="317" w:hanging="173"/>
      </w:pPr>
      <w:r>
        <w:t>lotes desfeitos;</w:t>
      </w:r>
    </w:p>
    <w:p>
      <w:pPr>
        <w:pStyle w:val="ListBullet"/>
        <w:spacing w:after="30"/>
        <w:ind w:left="317" w:hanging="173"/>
      </w:pPr>
      <w:r>
        <w:t>erros/falhas;</w:t>
      </w:r>
    </w:p>
    <w:p>
      <w:pPr>
        <w:pStyle w:val="ListBullet"/>
        <w:spacing w:after="30"/>
        <w:ind w:left="317" w:hanging="173"/>
      </w:pPr>
      <w:r>
        <w:t>tipo/formato, conta, período, autor e data.</w:t>
      </w:r>
    </w:p>
    <w:p>
      <w:pPr>
        <w:pStyle w:val="Heading2"/>
      </w:pPr>
      <w:r>
        <w:t>IM-02 · Selecionar origem e arquivo — P0 · D/W/M</w:t>
      </w:r>
    </w:p>
    <w:p>
      <w:r>
        <w:t>Etapas: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1. </w:t>
      </w:r>
      <w:r>
        <w:t>escolher conta de destino;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2. </w:t>
      </w:r>
      <w:r>
        <w:t>selecionar arquivo;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3. </w:t>
      </w:r>
      <w:r>
        <w:t>detectar tipo/layout;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4. </w:t>
      </w:r>
      <w:r>
        <w:t>mostrar compatibilidade e período encontrado;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5. </w:t>
      </w:r>
      <w:r>
        <w:t>quando CSV/XLSX, seguir para mapeamento.</w:t>
      </w:r>
    </w:p>
    <w:p>
      <w:r>
        <w:rPr>
          <w:b/>
        </w:rPr>
        <w:t>Desktop local:</w:t>
      </w:r>
      <w:r>
        <w:t xml:space="preserve"> processamento permanece local. Falta de suporte não autoriza envio externo.</w:t>
      </w:r>
    </w:p>
    <w:p>
      <w:pPr>
        <w:pStyle w:val="Heading2"/>
      </w:pPr>
      <w:r>
        <w:t>IM-03 · Mapear CSV/XLSX — P0 · D/W/M</w:t>
      </w:r>
    </w:p>
    <w:p>
      <w:r>
        <w:t>Mapeia data, descrição, valor ou débito/crédito, moeda e identificadores opcionais. Preview de linhas e convenções de separador/formatação. Salvar mapeamento como preferência do espaço pode ser oferecido.</w:t>
      </w:r>
    </w:p>
    <w:p>
      <w:pPr>
        <w:pStyle w:val="Heading2"/>
      </w:pPr>
      <w:r>
        <w:t>IM-04 · Processando/normalizando — P0 · D/W/M</w:t>
      </w:r>
    </w:p>
    <w:p>
      <w:r>
        <w:t>Estado transitório com progresso quando mensurável. Não alterar saldo. Se falhar, mostrar motivo e permitir corrigir/recomeçar sem criar lote financeiro parcial.</w:t>
      </w:r>
    </w:p>
    <w:p>
      <w:pPr>
        <w:pStyle w:val="Heading2"/>
      </w:pPr>
      <w:r>
        <w:t>IM-05 · Revisão pré-importação — P0 · D/W/M</w:t>
      </w:r>
    </w:p>
    <w:p>
      <w:r>
        <w:t>Tela crítica do MVP.</w:t>
      </w:r>
    </w:p>
    <w:p>
      <w:r>
        <w:t>Cada registro mostra:</w:t>
      </w:r>
    </w:p>
    <w:p>
      <w:pPr>
        <w:pStyle w:val="ListBullet"/>
        <w:spacing w:after="30"/>
        <w:ind w:left="317" w:hanging="173"/>
      </w:pPr>
      <w:r>
        <w:t>incluir/excluir;</w:t>
      </w:r>
    </w:p>
    <w:p>
      <w:pPr>
        <w:pStyle w:val="ListBullet"/>
        <w:spacing w:after="30"/>
        <w:ind w:left="317" w:hanging="173"/>
      </w:pPr>
      <w:r>
        <w:t>descrição original;</w:t>
      </w:r>
    </w:p>
    <w:p>
      <w:pPr>
        <w:pStyle w:val="ListBullet"/>
        <w:spacing w:after="30"/>
        <w:ind w:left="317" w:hanging="173"/>
      </w:pPr>
      <w:r>
        <w:t>nome proposto;</w:t>
      </w:r>
    </w:p>
    <w:p>
      <w:pPr>
        <w:pStyle w:val="ListBullet"/>
        <w:spacing w:after="30"/>
        <w:ind w:left="317" w:hanging="173"/>
      </w:pPr>
      <w:r>
        <w:t>data;</w:t>
      </w:r>
    </w:p>
    <w:p>
      <w:pPr>
        <w:pStyle w:val="ListBullet"/>
        <w:spacing w:after="30"/>
        <w:ind w:left="317" w:hanging="173"/>
      </w:pPr>
      <w:r>
        <w:t>valor/tipo;</w:t>
      </w:r>
    </w:p>
    <w:p>
      <w:pPr>
        <w:pStyle w:val="ListBullet"/>
        <w:spacing w:after="30"/>
        <w:ind w:left="317" w:hanging="173"/>
      </w:pPr>
      <w:r>
        <w:t>categoria proposta;</w:t>
      </w:r>
    </w:p>
    <w:p>
      <w:pPr>
        <w:pStyle w:val="ListBullet"/>
        <w:spacing w:after="30"/>
        <w:ind w:left="317" w:hanging="173"/>
      </w:pPr>
      <w:r>
        <w:t>conta;</w:t>
      </w:r>
    </w:p>
    <w:p>
      <w:pPr>
        <w:pStyle w:val="ListBullet"/>
        <w:spacing w:after="30"/>
        <w:ind w:left="317" w:hanging="173"/>
      </w:pPr>
      <w:r>
        <w:t>situação: novo, repetido, possível repetido, atualização, inválido;</w:t>
      </w:r>
    </w:p>
    <w:p>
      <w:pPr>
        <w:pStyle w:val="ListBullet"/>
        <w:spacing w:after="30"/>
        <w:ind w:left="317" w:hanging="173"/>
      </w:pPr>
      <w:r>
        <w:t>regra aplicada quando houver.</w:t>
      </w:r>
    </w:p>
    <w:p>
      <w:r>
        <w:t>Ações:</w:t>
      </w:r>
    </w:p>
    <w:p>
      <w:pPr>
        <w:pStyle w:val="ListBullet"/>
        <w:spacing w:after="30"/>
        <w:ind w:left="317" w:hanging="173"/>
      </w:pPr>
      <w:r>
        <w:t>editar linha;</w:t>
      </w:r>
    </w:p>
    <w:p>
      <w:pPr>
        <w:pStyle w:val="ListBullet"/>
        <w:spacing w:after="30"/>
        <w:ind w:left="317" w:hanging="173"/>
      </w:pPr>
      <w:r>
        <w:t>aplicar categoria/nome em lote;</w:t>
      </w:r>
    </w:p>
    <w:p>
      <w:pPr>
        <w:pStyle w:val="ListBullet"/>
        <w:spacing w:after="30"/>
        <w:ind w:left="317" w:hanging="173"/>
      </w:pPr>
      <w:r>
        <w:t>filtrar por situação;</w:t>
      </w:r>
    </w:p>
    <w:p>
      <w:pPr>
        <w:pStyle w:val="ListBullet"/>
        <w:spacing w:after="30"/>
        <w:ind w:left="317" w:hanging="173"/>
      </w:pPr>
      <w:r>
        <w:t>abrir comparação de duplicidade;</w:t>
      </w:r>
    </w:p>
    <w:p>
      <w:pPr>
        <w:pStyle w:val="ListBullet"/>
        <w:spacing w:after="30"/>
        <w:ind w:left="317" w:hanging="173"/>
      </w:pPr>
      <w:r>
        <w:t>confirmar somente selecionados;</w:t>
      </w:r>
    </w:p>
    <w:p>
      <w:pPr>
        <w:pStyle w:val="ListBullet"/>
        <w:spacing w:after="30"/>
        <w:ind w:left="317" w:hanging="173"/>
      </w:pPr>
      <w:r>
        <w:t>cancelar tudo.</w:t>
      </w:r>
    </w:p>
    <w:p>
      <w:r>
        <w:t>Resumo fixo: quantidade e valores de novos/atualizados/ignorados/inválidos.</w:t>
      </w:r>
    </w:p>
    <w:p>
      <w:pPr>
        <w:pStyle w:val="Heading2"/>
      </w:pPr>
      <w:r>
        <w:t>IM-06 · Comparar possível duplicidade — P0 · D/W/M</w:t>
      </w:r>
    </w:p>
    <w:p>
      <w:r>
        <w:t>Mostra lado a lado o registro recebido e o já existente, com evidências: identificador, data, valor, conta e descrição. Ações:</w:t>
      </w:r>
    </w:p>
    <w:p>
      <w:pPr>
        <w:pStyle w:val="ListBullet"/>
        <w:spacing w:after="30"/>
        <w:ind w:left="317" w:hanging="173"/>
      </w:pPr>
      <w:r>
        <w:t>manter atual;</w:t>
      </w:r>
    </w:p>
    <w:p>
      <w:pPr>
        <w:pStyle w:val="ListBullet"/>
        <w:spacing w:after="30"/>
        <w:ind w:left="317" w:hanging="173"/>
      </w:pPr>
      <w:r>
        <w:t>atualizar campos selecionados;</w:t>
      </w:r>
    </w:p>
    <w:p>
      <w:pPr>
        <w:pStyle w:val="ListBullet"/>
        <w:spacing w:after="30"/>
        <w:ind w:left="317" w:hanging="173"/>
      </w:pPr>
      <w:r>
        <w:t>apenas vincular evidência;</w:t>
      </w:r>
    </w:p>
    <w:p>
      <w:pPr>
        <w:pStyle w:val="ListBullet"/>
        <w:spacing w:after="30"/>
        <w:ind w:left="317" w:hanging="173"/>
      </w:pPr>
      <w:r>
        <w:t>manter ambos.</w:t>
      </w:r>
    </w:p>
    <w:p>
      <w:r>
        <w:t>Nunca chamar escore não calibrado de “probabilidade”.</w:t>
      </w:r>
    </w:p>
    <w:p>
      <w:pPr>
        <w:pStyle w:val="Heading2"/>
      </w:pPr>
      <w:r>
        <w:t>IM-07 · Confirmar importação — P0 · D/W/M</w:t>
      </w:r>
    </w:p>
    <w:p>
      <w:r>
        <w:t>Resumo final do que será feito. Confirmação cria operação idempotente e lote auditável. Em cloud offline, a interface distingue “confirmado neste dispositivo” de “confirmado no servidor”.</w:t>
      </w:r>
    </w:p>
    <w:p>
      <w:pPr>
        <w:pStyle w:val="Heading2"/>
      </w:pPr>
      <w:r>
        <w:t>IM-08 · Resultado do lote — P0 · D/W/M</w:t>
      </w:r>
    </w:p>
    <w:p>
      <w:r>
        <w:t>Apresenta criados, atualizados, vinculados, ignorados e erros. Links para movimentos, regras sugeridas e relatório do lote.</w:t>
      </w:r>
    </w:p>
    <w:p>
      <w:pPr>
        <w:pStyle w:val="Heading2"/>
      </w:pPr>
      <w:r>
        <w:t>IM-09 · Histórico/detalhe do lote — P0 · D/W/M</w:t>
      </w:r>
    </w:p>
    <w:p>
      <w:r>
        <w:t xml:space="preserve">Exibe autor, arquivo/origem, versão do leitor, conta, período, itens afetados, revisões e vínculos. Ação </w:t>
      </w:r>
      <w:r>
        <w:rPr>
          <w:b/>
        </w:rPr>
        <w:t>“Desfazer lote”</w:t>
      </w:r>
      <w:r>
        <w:t xml:space="preserve"> quando autorizada.</w:t>
      </w:r>
    </w:p>
    <w:p>
      <w:pPr>
        <w:pStyle w:val="Heading2"/>
      </w:pPr>
      <w:r>
        <w:t>IM-10 · Prévia de reversão — P0 · D/W/M</w:t>
      </w:r>
    </w:p>
    <w:p>
      <w:r>
        <w:t>Antes de desfazer:</w:t>
      </w:r>
    </w:p>
    <w:p>
      <w:pPr>
        <w:pStyle w:val="ListBullet"/>
        <w:spacing w:after="30"/>
        <w:ind w:left="317" w:hanging="173"/>
      </w:pPr>
      <w:r>
        <w:t>criações a remover;</w:t>
      </w:r>
    </w:p>
    <w:p>
      <w:pPr>
        <w:pStyle w:val="ListBullet"/>
        <w:spacing w:after="30"/>
        <w:ind w:left="317" w:hanging="173"/>
      </w:pPr>
      <w:r>
        <w:t>versões a restaurar;</w:t>
      </w:r>
    </w:p>
    <w:p>
      <w:pPr>
        <w:pStyle w:val="ListBullet"/>
        <w:spacing w:after="30"/>
        <w:ind w:left="317" w:hanging="173"/>
      </w:pPr>
      <w:r>
        <w:t>vínculos a retirar;</w:t>
      </w:r>
    </w:p>
    <w:p>
      <w:pPr>
        <w:pStyle w:val="ListBullet"/>
        <w:spacing w:after="30"/>
        <w:ind w:left="317" w:hanging="173"/>
      </w:pPr>
      <w:r>
        <w:t>edições posteriores encontradas;</w:t>
      </w:r>
    </w:p>
    <w:p>
      <w:pPr>
        <w:pStyle w:val="ListBullet"/>
        <w:spacing w:after="30"/>
        <w:ind w:left="317" w:hanging="173"/>
      </w:pPr>
      <w:r>
        <w:t>conflitos que exigem decisão.</w:t>
      </w:r>
    </w:p>
    <w:p>
      <w:r>
        <w:t>Se houver dependências, o usuário resolve item a item ou cancela. O desfazimento vira novo evento no histórico.</w:t>
      </w:r>
    </w:p>
    <w:p>
      <w:pPr>
        <w:pStyle w:val="Heading2"/>
      </w:pPr>
      <w:r>
        <w:t>IM-11 · Regras sugeridas após correção — P0 · D/W/M</w:t>
      </w:r>
    </w:p>
    <w:p>
      <w:r>
        <w:t xml:space="preserve">Após renomear/categorizar padrão recorrente: </w:t>
      </w:r>
      <w:r>
        <w:rPr>
          <w:b/>
        </w:rPr>
        <w:t>“Aplicar esta regra às próximas importações deste espaço?”</w:t>
      </w:r>
      <w:r>
        <w:t>. Mostrar condição, efeito, exemplos e opção de editar antes de salvar.</w:t>
      </w:r>
    </w:p>
    <w:p>
      <w:pPr>
        <w:pStyle w:val="Heading1"/>
        <w:pageBreakBefore/>
      </w:pPr>
      <w:r>
        <w:t>08 · Categorias, regras e contrapartes</w:t>
      </w:r>
    </w:p>
    <w:p>
      <w:pPr>
        <w:pStyle w:val="Heading2"/>
      </w:pPr>
      <w:r>
        <w:t>CF-01 · Categorias — P0 · D/W/M</w:t>
      </w:r>
    </w:p>
    <w:p>
      <w:r>
        <w:t>Lista hierárquica simples de categorias e subcategorias. Ações de criar, renomear, ordenar e arquivar. Categoria em uso não é apagada sem remapeamento ou arquivamento.</w:t>
      </w:r>
    </w:p>
    <w:p>
      <w:pPr>
        <w:pStyle w:val="Heading2"/>
      </w:pPr>
      <w:r>
        <w:t>CF-02 · Tags — P0 · D/W/M</w:t>
      </w:r>
    </w:p>
    <w:p>
      <w:r>
        <w:t>Criar, renomear, pesquisar e arquivar tags. Avisar que tags sobrepostas não representam partes aditivas do orçamento.</w:t>
      </w:r>
    </w:p>
    <w:p>
      <w:pPr>
        <w:pStyle w:val="Heading2"/>
      </w:pPr>
      <w:r>
        <w:t>CF-03 · Regras de importação — P0 · D/W/M</w:t>
      </w:r>
    </w:p>
    <w:p>
      <w:r>
        <w:t>Lista de regras com prioridade, condição, ação, status e último uso. Editar/desativar. Testar regra contra amostra sem alterar movimentos. Aplicação retroativa sempre usa prévia e confirmação.</w:t>
      </w:r>
    </w:p>
    <w:p>
      <w:pPr>
        <w:pStyle w:val="Heading2"/>
      </w:pPr>
      <w:r>
        <w:t>CF-04 · Contrapartes — P0 · D/W/M</w:t>
      </w:r>
    </w:p>
    <w:p>
      <w:r>
        <w:t>Cadastro leve de nome de exibição, identificador opcional e etiquetas como cliente/fornecedor/outro. Não evoluir para CRM no MVP.</w:t>
      </w:r>
    </w:p>
    <w:p>
      <w:pPr>
        <w:pStyle w:val="Heading1"/>
        <w:pageBreakBefore/>
      </w:pPr>
      <w:r>
        <w:t>09 · Documentos, itens e conciliação</w:t>
      </w:r>
    </w:p>
    <w:p>
      <w:pPr>
        <w:pStyle w:val="Heading2"/>
      </w:pPr>
      <w:r>
        <w:t>DC-01 · Central de documentos e itens — P0 · D/W/M</w:t>
      </w:r>
    </w:p>
    <w:p>
      <w:r>
        <w:t>Abas/filtros:</w:t>
      </w:r>
    </w:p>
    <w:p>
      <w:pPr>
        <w:pStyle w:val="ListBullet"/>
        <w:spacing w:after="30"/>
        <w:ind w:left="317" w:hanging="173"/>
      </w:pPr>
      <w:r>
        <w:t>documentos;</w:t>
      </w:r>
    </w:p>
    <w:p>
      <w:pPr>
        <w:pStyle w:val="ListBullet"/>
        <w:spacing w:after="30"/>
        <w:ind w:left="317" w:hanging="173"/>
      </w:pPr>
      <w:r>
        <w:t>itens;</w:t>
      </w:r>
    </w:p>
    <w:p>
      <w:pPr>
        <w:pStyle w:val="ListBullet"/>
        <w:spacing w:after="30"/>
        <w:ind w:left="317" w:hanging="173"/>
      </w:pPr>
      <w:r>
        <w:t>não vinculados;</w:t>
      </w:r>
    </w:p>
    <w:p>
      <w:pPr>
        <w:pStyle w:val="ListBullet"/>
        <w:spacing w:after="30"/>
        <w:ind w:left="317" w:hanging="173"/>
      </w:pPr>
      <w:r>
        <w:t>com divergência;</w:t>
      </w:r>
    </w:p>
    <w:p>
      <w:pPr>
        <w:pStyle w:val="ListBullet"/>
        <w:spacing w:after="30"/>
        <w:ind w:left="317" w:hanging="173"/>
      </w:pPr>
      <w:r>
        <w:t>conciliados.</w:t>
      </w:r>
    </w:p>
    <w:p>
      <w:r>
        <w:t xml:space="preserve">Ação principal: </w:t>
      </w:r>
      <w:r>
        <w:rPr>
          <w:b/>
        </w:rPr>
        <w:t>Adicionar documento</w:t>
      </w:r>
      <w:r>
        <w:t>.</w:t>
      </w:r>
    </w:p>
    <w:p>
      <w:pPr>
        <w:pStyle w:val="Heading2"/>
      </w:pPr>
      <w:r>
        <w:t>DC-02 · Selecionar documento — P0 · D/W/M</w:t>
      </w:r>
    </w:p>
    <w:p>
      <w:r>
        <w:t>Prioridades: XML NF-e/NFC-e homologado e PDF textual homologado. P1: imagem/QR/outros comprovantes.</w:t>
      </w:r>
    </w:p>
    <w:p>
      <w:r>
        <w:t>A tela deve informar que o arquivo original não será mantido no MVP após extração, salvo temporariamente apenas durante o processamento necessário.</w:t>
      </w:r>
    </w:p>
    <w:p>
      <w:pPr>
        <w:pStyle w:val="Heading2"/>
      </w:pPr>
      <w:r>
        <w:t>DC-03 · Revisar extração — P0 · D/W/M</w:t>
      </w:r>
    </w:p>
    <w:p>
      <w:r>
        <w:t>Mostra tipo, chave/identificador, emissor, datas, total, descontos/acréscimos e itens. Campos ausentes permanecem vazios. Divergências e proveniência aparecem antes de confirmar.</w:t>
      </w:r>
    </w:p>
    <w:p>
      <w:r>
        <w:t>Ações:</w:t>
      </w:r>
    </w:p>
    <w:p>
      <w:pPr>
        <w:pStyle w:val="ListBullet"/>
        <w:spacing w:after="30"/>
        <w:ind w:left="317" w:hanging="173"/>
      </w:pPr>
      <w:r>
        <w:t>corrigir campo;</w:t>
      </w:r>
    </w:p>
    <w:p>
      <w:pPr>
        <w:pStyle w:val="ListBullet"/>
        <w:spacing w:after="30"/>
        <w:ind w:left="317" w:hanging="173"/>
      </w:pPr>
      <w:r>
        <w:t>corrigir item;</w:t>
      </w:r>
    </w:p>
    <w:p>
      <w:pPr>
        <w:pStyle w:val="ListBullet"/>
        <w:spacing w:after="30"/>
        <w:ind w:left="317" w:hanging="173"/>
      </w:pPr>
      <w:r>
        <w:t>descartar extração;</w:t>
      </w:r>
    </w:p>
    <w:p>
      <w:pPr>
        <w:pStyle w:val="ListBullet"/>
        <w:spacing w:after="30"/>
        <w:ind w:left="317" w:hanging="173"/>
      </w:pPr>
      <w:r>
        <w:t>confirmar dados extraídos;</w:t>
      </w:r>
    </w:p>
    <w:p>
      <w:pPr>
        <w:pStyle w:val="ListBullet"/>
        <w:spacing w:after="30"/>
        <w:ind w:left="317" w:hanging="173"/>
      </w:pPr>
      <w:r>
        <w:t>seguir para conciliação/criação de movimento.</w:t>
      </w:r>
    </w:p>
    <w:p>
      <w:pPr>
        <w:pStyle w:val="Heading2"/>
      </w:pPr>
      <w:r>
        <w:t>DC-04 · Detalhe do documento — P0 · D/W/M</w:t>
      </w:r>
    </w:p>
    <w:p>
      <w:r>
        <w:t>Dados estruturados, itens, total, ajustes, origem e vínculos financeiros. O original não está disponível por padrão; ação “Selecionar arquivo novamente” pode refazer a extração.</w:t>
      </w:r>
    </w:p>
    <w:p>
      <w:pPr>
        <w:pStyle w:val="Heading2"/>
      </w:pPr>
      <w:r>
        <w:t>DC-05 · Itens do documento — P0 · D/W/M</w:t>
      </w:r>
    </w:p>
    <w:p>
      <w:r>
        <w:t>Lista com descrição original/ajustada, quantidade, unidade, valor unitário, descontos, acréscimos e valor líquido. Permite categorizar itens e abrir rateio.</w:t>
      </w:r>
    </w:p>
    <w:p>
      <w:pPr>
        <w:pStyle w:val="Heading2"/>
      </w:pPr>
      <w:r>
        <w:t>DC-06 · Divergência de total/rateio — P0 · D/W/M</w:t>
      </w:r>
    </w:p>
    <w:p>
      <w:r>
        <w:t>Quando soma de itens/ajustes não confere, mostrar:</w:t>
      </w:r>
    </w:p>
    <w:p>
      <w:pPr>
        <w:pStyle w:val="ListBullet"/>
        <w:spacing w:after="30"/>
        <w:ind w:left="317" w:hanging="173"/>
      </w:pPr>
      <w:r>
        <w:t>total do documento;</w:t>
      </w:r>
    </w:p>
    <w:p>
      <w:pPr>
        <w:pStyle w:val="ListBullet"/>
        <w:spacing w:after="30"/>
        <w:ind w:left="317" w:hanging="173"/>
      </w:pPr>
      <w:r>
        <w:t>total calculado;</w:t>
      </w:r>
    </w:p>
    <w:p>
      <w:pPr>
        <w:pStyle w:val="ListBullet"/>
        <w:spacing w:after="30"/>
        <w:ind w:left="317" w:hanging="173"/>
      </w:pPr>
      <w:r>
        <w:t>diferença;</w:t>
      </w:r>
    </w:p>
    <w:p>
      <w:pPr>
        <w:pStyle w:val="ListBullet"/>
        <w:spacing w:after="30"/>
        <w:ind w:left="317" w:hanging="173"/>
      </w:pPr>
      <w:r>
        <w:t>distribuição proporcional sugerida para desconto global quando aplicável.</w:t>
      </w:r>
    </w:p>
    <w:p>
      <w:r>
        <w:t>Bloqueia rateio financeiro confirmado enquanto inconsistência não estiver resolvida ou explicitamente registrada.</w:t>
      </w:r>
    </w:p>
    <w:p>
      <w:pPr>
        <w:pStyle w:val="Heading2"/>
      </w:pPr>
      <w:r>
        <w:t>DC-07 · Conciliação assistida — P0 · D/W/M</w:t>
      </w:r>
    </w:p>
    <w:p>
      <w:r>
        <w:t>Mostra documento à esquerda e candidatos à direita (ou sequencialmente no Mobile). Evidências: valor, datas, contraparte, identificadores, conta e descrição.</w:t>
      </w:r>
    </w:p>
    <w:p>
      <w:r>
        <w:t>Ações:</w:t>
      </w:r>
    </w:p>
    <w:p>
      <w:pPr>
        <w:pStyle w:val="ListBullet"/>
        <w:spacing w:after="30"/>
        <w:ind w:left="317" w:hanging="173"/>
      </w:pPr>
      <w:r>
        <w:t>vincular candidato;</w:t>
      </w:r>
    </w:p>
    <w:p>
      <w:pPr>
        <w:pStyle w:val="ListBullet"/>
        <w:spacing w:after="30"/>
        <w:ind w:left="317" w:hanging="173"/>
      </w:pPr>
      <w:r>
        <w:t>alocar valor parcial;</w:t>
      </w:r>
    </w:p>
    <w:p>
      <w:pPr>
        <w:pStyle w:val="ListBullet"/>
        <w:spacing w:after="30"/>
        <w:ind w:left="317" w:hanging="173"/>
      </w:pPr>
      <w:r>
        <w:t>procurar outro movimento;</w:t>
      </w:r>
    </w:p>
    <w:p>
      <w:pPr>
        <w:pStyle w:val="ListBullet"/>
        <w:spacing w:after="30"/>
        <w:ind w:left="317" w:hanging="173"/>
      </w:pPr>
      <w:r>
        <w:t>criar novo movimento;</w:t>
      </w:r>
    </w:p>
    <w:p>
      <w:pPr>
        <w:pStyle w:val="ListBullet"/>
        <w:spacing w:after="30"/>
        <w:ind w:left="317" w:hanging="173"/>
      </w:pPr>
      <w:r>
        <w:t>deixar não conciliado.</w:t>
      </w:r>
    </w:p>
    <w:p>
      <w:r>
        <w:t>Suporta vários pagamentos para um documento e vários documentos para um pagamento, sem permitir alocação superior ao valor disponível sem ajuste explícito.</w:t>
      </w:r>
    </w:p>
    <w:p>
      <w:pPr>
        <w:pStyle w:val="Heading2"/>
      </w:pPr>
      <w:r>
        <w:t>DC-08 · Busca global/detalhada — P0 · D/W/M</w:t>
      </w:r>
    </w:p>
    <w:p>
      <w:r>
        <w:t>Pesquisa descrições, contrapartes, tags e itens. Filtros: período, conta, categoria, subcategoria, tag, fornecedor e vínculo.</w:t>
      </w:r>
    </w:p>
    <w:p>
      <w:r>
        <w:t xml:space="preserve">Ao buscar </w:t>
      </w:r>
      <w:r>
        <w:rPr>
          <w:b/>
        </w:rPr>
        <w:t>“energético”</w:t>
      </w:r>
      <w:r>
        <w:t>, resultado de item mostra:</w:t>
      </w:r>
    </w:p>
    <w:p>
      <w:pPr>
        <w:pStyle w:val="ListBullet"/>
        <w:spacing w:after="30"/>
        <w:ind w:left="317" w:hanging="173"/>
      </w:pPr>
      <w:r>
        <w:t>estabelecimento/documento;</w:t>
      </w:r>
    </w:p>
    <w:p>
      <w:pPr>
        <w:pStyle w:val="ListBullet"/>
        <w:spacing w:after="30"/>
        <w:ind w:left="317" w:hanging="173"/>
      </w:pPr>
      <w:r>
        <w:t>data;</w:t>
      </w:r>
    </w:p>
    <w:p>
      <w:pPr>
        <w:pStyle w:val="ListBullet"/>
        <w:spacing w:after="30"/>
        <w:ind w:left="317" w:hanging="173"/>
      </w:pPr>
      <w:r>
        <w:t>produto;</w:t>
      </w:r>
    </w:p>
    <w:p>
      <w:pPr>
        <w:pStyle w:val="ListBullet"/>
        <w:spacing w:after="30"/>
        <w:ind w:left="317" w:hanging="173"/>
      </w:pPr>
      <w:r>
        <w:t>quantidade;</w:t>
      </w:r>
    </w:p>
    <w:p>
      <w:pPr>
        <w:pStyle w:val="ListBullet"/>
        <w:spacing w:after="30"/>
        <w:ind w:left="317" w:hanging="173"/>
      </w:pPr>
      <w:r>
        <w:t>valor unitário quando conhecido;</w:t>
      </w:r>
    </w:p>
    <w:p>
      <w:pPr>
        <w:pStyle w:val="ListBullet"/>
        <w:spacing w:after="30"/>
        <w:ind w:left="317" w:hanging="173"/>
      </w:pPr>
      <w:r>
        <w:t>valor líquido da linha;</w:t>
      </w:r>
    </w:p>
    <w:p>
      <w:pPr>
        <w:pStyle w:val="ListBullet"/>
        <w:spacing w:after="30"/>
        <w:ind w:left="317" w:hanging="173"/>
      </w:pPr>
      <w:r>
        <w:t>total dos itens encontrados no período.</w:t>
      </w:r>
    </w:p>
    <w:p>
      <w:r>
        <w:t>A soma não inclui o valor total das notas. Distinguir “valor dos itens nas notas” de “valor pago conciliado”.</w:t>
      </w:r>
    </w:p>
    <w:p>
      <w:pPr>
        <w:pStyle w:val="Heading1"/>
        <w:pageBreakBefore/>
      </w:pPr>
      <w:r>
        <w:t>10 · Relatórios</w:t>
      </w:r>
    </w:p>
    <w:p>
      <w:pPr>
        <w:pStyle w:val="Heading2"/>
      </w:pPr>
      <w:r>
        <w:t>RP-01 · Central de relatórios — P0 · D/W/M</w:t>
      </w:r>
    </w:p>
    <w:p>
      <w:r>
        <w:t>Entradas principais:</w:t>
      </w:r>
    </w:p>
    <w:p>
      <w:pPr>
        <w:pStyle w:val="ListBullet"/>
        <w:spacing w:after="30"/>
        <w:ind w:left="317" w:hanging="173"/>
      </w:pPr>
      <w:r>
        <w:t>Despesas de consumo;</w:t>
      </w:r>
    </w:p>
    <w:p>
      <w:pPr>
        <w:pStyle w:val="ListBullet"/>
        <w:spacing w:after="30"/>
        <w:ind w:left="317" w:hanging="173"/>
      </w:pPr>
      <w:r>
        <w:t>Entradas e saídas de caixa;</w:t>
      </w:r>
    </w:p>
    <w:p>
      <w:pPr>
        <w:pStyle w:val="ListBullet"/>
        <w:spacing w:after="30"/>
        <w:ind w:left="317" w:hanging="173"/>
      </w:pPr>
      <w:r>
        <w:t>Gastos por categoria;</w:t>
      </w:r>
    </w:p>
    <w:p>
      <w:pPr>
        <w:pStyle w:val="ListBullet"/>
        <w:spacing w:after="30"/>
        <w:ind w:left="317" w:hanging="173"/>
      </w:pPr>
      <w:r>
        <w:t>Saldo por conta;</w:t>
      </w:r>
    </w:p>
    <w:p>
      <w:pPr>
        <w:pStyle w:val="ListBullet"/>
        <w:spacing w:after="30"/>
        <w:ind w:left="317" w:hanging="173"/>
      </w:pPr>
      <w:r>
        <w:t>Itens encontrados/pesquisa;</w:t>
      </w:r>
    </w:p>
    <w:p>
      <w:pPr>
        <w:pStyle w:val="ListBullet"/>
        <w:spacing w:after="30"/>
        <w:ind w:left="317" w:hanging="173"/>
      </w:pPr>
      <w:r>
        <w:t>Comparação entre períodos.</w:t>
      </w:r>
    </w:p>
    <w:p>
      <w:r>
        <w:t>Não usar “DRE” no MVP.</w:t>
      </w:r>
    </w:p>
    <w:p>
      <w:pPr>
        <w:pStyle w:val="Heading2"/>
      </w:pPr>
      <w:r>
        <w:t>RP-02 · Saldo e disponibilidade — P0 · D/W/M</w:t>
      </w:r>
    </w:p>
    <w:p>
      <w:r>
        <w:t>Lista contas incluídas, saldo de referência, movimentos posteriores e alertas. Dívidas aparecem separadas. Visão parcial quando permissões restringem contas.</w:t>
      </w:r>
    </w:p>
    <w:p>
      <w:pPr>
        <w:pStyle w:val="Heading2"/>
      </w:pPr>
      <w:r>
        <w:t>RP-03 · Gastos por categoria — P0 · D/W/M</w:t>
      </w:r>
    </w:p>
    <w:p>
      <w:r>
        <w:t>Gráfico + alternativa tabular. Cada categoria abre movimentos/rateios correspondentes. “Não classificado” nunca some do total.</w:t>
      </w:r>
    </w:p>
    <w:p>
      <w:pPr>
        <w:pStyle w:val="Heading2"/>
      </w:pPr>
      <w:r>
        <w:t>RP-04 · Entradas e saídas — P0 · D/W/M</w:t>
      </w:r>
    </w:p>
    <w:p>
      <w:r>
        <w:t>Mostra caixa efetivo e separa transferências, pagamento de cartão e ajustes. Não chama diferença de lucro.</w:t>
      </w:r>
    </w:p>
    <w:p>
      <w:pPr>
        <w:pStyle w:val="Heading2"/>
      </w:pPr>
      <w:r>
        <w:t>RP-05 · Comparar períodos — P0 · D/W/M</w:t>
      </w:r>
    </w:p>
    <w:p>
      <w:r>
        <w:t>Semana, mês, semestre, ano e intervalo personalizado. Informa mudanças de cobertura que prejudicam comparabilidade: nova conta, período incompleto ou importação pendente.</w:t>
      </w:r>
    </w:p>
    <w:p>
      <w:pPr>
        <w:pStyle w:val="Heading2"/>
      </w:pPr>
      <w:r>
        <w:t>RP-06 · Detalhe da evidência — P0 · D/W/M</w:t>
      </w:r>
    </w:p>
    <w:p>
      <w:r>
        <w:t>Todo valor agregado deve permitir abrir os registros que o compõem, mantendo filtros e base temporal. É uma regra transversal de explicabilidade, não apenas uma tela isolada.</w:t>
      </w:r>
    </w:p>
    <w:p>
      <w:pPr>
        <w:pStyle w:val="Heading1"/>
        <w:pageBreakBefore/>
      </w:pPr>
      <w:r>
        <w:t>11 · Membros, permissões e colaboração cloud</w:t>
      </w:r>
    </w:p>
    <w:p>
      <w:pPr>
        <w:pStyle w:val="Heading2"/>
      </w:pPr>
      <w:r>
        <w:t>MB-01 · Membros do espaço — P0 · D/W/M · C</w:t>
      </w:r>
    </w:p>
    <w:p>
      <w:r>
        <w:t>Lista pessoa, papel, escopo, status de convite, acesso offline permitido e última atividade relevante quando apropriado.</w:t>
      </w:r>
    </w:p>
    <w:p>
      <w:pPr>
        <w:pStyle w:val="Heading2"/>
      </w:pPr>
      <w:r>
        <w:t>MB-02 · Convidar membro — P0 · D/W/M · C</w:t>
      </w:r>
    </w:p>
    <w:p>
      <w:r>
        <w:t>Campos:</w:t>
      </w:r>
    </w:p>
    <w:p>
      <w:pPr>
        <w:pStyle w:val="ListBullet"/>
        <w:spacing w:after="30"/>
        <w:ind w:left="317" w:hanging="173"/>
      </w:pPr>
      <w:r>
        <w:t>e-mail/destinatário;</w:t>
      </w:r>
    </w:p>
    <w:p>
      <w:pPr>
        <w:pStyle w:val="ListBullet"/>
        <w:spacing w:after="30"/>
        <w:ind w:left="317" w:hanging="173"/>
      </w:pPr>
      <w:r>
        <w:t>papel: Administrador, Editor ou Leitor;</w:t>
      </w:r>
    </w:p>
    <w:p>
      <w:pPr>
        <w:pStyle w:val="ListBullet"/>
        <w:spacing w:after="30"/>
        <w:ind w:left="317" w:hanging="173"/>
      </w:pPr>
      <w:r>
        <w:t>contas/recursos acessíveis;</w:t>
      </w:r>
    </w:p>
    <w:p>
      <w:pPr>
        <w:pStyle w:val="ListBullet"/>
        <w:spacing w:after="30"/>
        <w:ind w:left="317" w:hanging="173"/>
      </w:pPr>
      <w:r>
        <w:t>exportação permitida ou negada;</w:t>
      </w:r>
    </w:p>
    <w:p>
      <w:pPr>
        <w:pStyle w:val="ListBullet"/>
        <w:spacing w:after="30"/>
        <w:ind w:left="317" w:hanging="173"/>
      </w:pPr>
      <w:r>
        <w:t>acesso offline permitido/negado;</w:t>
      </w:r>
    </w:p>
    <w:p>
      <w:pPr>
        <w:pStyle w:val="ListBullet"/>
        <w:spacing w:after="30"/>
        <w:ind w:left="317" w:hanging="173"/>
      </w:pPr>
      <w:r>
        <w:t>expiração do convite.</w:t>
      </w:r>
    </w:p>
    <w:p>
      <w:r>
        <w:t>Proprietário não é criado por convite comum; transferência usa fluxo próprio.</w:t>
      </w:r>
    </w:p>
    <w:p>
      <w:pPr>
        <w:pStyle w:val="Heading2"/>
      </w:pPr>
      <w:r>
        <w:t>MB-03 · Editar acesso — P0 · D/W/M · C</w:t>
      </w:r>
    </w:p>
    <w:p>
      <w:r>
        <w:t>Mostra papel e capacidades efetivas. Um administrador não concede a si mesmo permissões negadas nem transfere propriedade.</w:t>
      </w:r>
    </w:p>
    <w:p>
      <w:pPr>
        <w:pStyle w:val="Heading2"/>
      </w:pPr>
      <w:r>
        <w:t>MB-04 · Revogar acesso — P0 · D/W/M · C</w:t>
      </w:r>
    </w:p>
    <w:p>
      <w:r>
        <w:t>Confirma efeito: servidor bloqueia imediatamente novas operações; dispositivos recebem solicitação de limpeza na próxima conexão; cópias/exportações antigas podem persistir fora do controle técnico. Operações pendentes são revalidadas.</w:t>
      </w:r>
    </w:p>
    <w:p>
      <w:pPr>
        <w:pStyle w:val="Heading2"/>
      </w:pPr>
      <w:r>
        <w:t>MB-05 · Transferir propriedade — P0 · D/W/M · C</w:t>
      </w:r>
    </w:p>
    <w:p>
      <w:r>
        <w:t>Somente proprietário. Exige autenticação recente, seleção de membro elegível e aceite do destinatário. Até aceite, a propriedade atual permanece. Registrar auditoria.</w:t>
      </w:r>
    </w:p>
    <w:p>
      <w:pPr>
        <w:pStyle w:val="Heading2"/>
      </w:pPr>
      <w:r>
        <w:t>MB-06 · Permissões insuficientes — P0 · D/W/M</w:t>
      </w:r>
    </w:p>
    <w:p>
      <w:r>
        <w:t>Estado reutilizável em qualquer tela/ação. Explica qual capacidade está ausente sem revelar dados escondidos. Não mostrar detalhes de contas proibidas no próprio erro.</w:t>
      </w:r>
    </w:p>
    <w:p>
      <w:pPr>
        <w:pStyle w:val="Heading1"/>
        <w:pageBreakBefore/>
      </w:pPr>
      <w:r>
        <w:t>12 · Sincronização e conflitos</w:t>
      </w:r>
    </w:p>
    <w:p>
      <w:pPr>
        <w:pStyle w:val="Heading2"/>
      </w:pPr>
      <w:r>
        <w:t>SY-01 · Estado de sincronização — P0 · D/M · C</w:t>
      </w:r>
    </w:p>
    <w:p>
      <w:r>
        <w:t>Indicadores:</w:t>
      </w:r>
    </w:p>
    <w:p>
      <w:pPr>
        <w:pStyle w:val="ListBullet"/>
        <w:spacing w:after="30"/>
        <w:ind w:left="317" w:hanging="173"/>
      </w:pPr>
      <w:r>
        <w:t>Sincronizado;</w:t>
      </w:r>
    </w:p>
    <w:p>
      <w:pPr>
        <w:pStyle w:val="ListBullet"/>
        <w:spacing w:after="30"/>
        <w:ind w:left="317" w:hanging="173"/>
      </w:pPr>
      <w:r>
        <w:t>Salvo neste dispositivo / aguardando envio;</w:t>
      </w:r>
    </w:p>
    <w:p>
      <w:pPr>
        <w:pStyle w:val="ListBullet"/>
        <w:spacing w:after="30"/>
        <w:ind w:left="317" w:hanging="173"/>
      </w:pPr>
      <w:r>
        <w:t>Sincronizando;</w:t>
      </w:r>
    </w:p>
    <w:p>
      <w:pPr>
        <w:pStyle w:val="ListBullet"/>
        <w:spacing w:after="30"/>
        <w:ind w:left="317" w:hanging="173"/>
      </w:pPr>
      <w:r>
        <w:t>Conflito;</w:t>
      </w:r>
    </w:p>
    <w:p>
      <w:pPr>
        <w:pStyle w:val="ListBullet"/>
        <w:spacing w:after="30"/>
        <w:ind w:left="317" w:hanging="173"/>
      </w:pPr>
      <w:r>
        <w:t>Offline;</w:t>
      </w:r>
    </w:p>
    <w:p>
      <w:pPr>
        <w:pStyle w:val="ListBullet"/>
        <w:spacing w:after="30"/>
        <w:ind w:left="317" w:hanging="173"/>
      </w:pPr>
      <w:r>
        <w:t>Acesso precisa ser revalidado;</w:t>
      </w:r>
    </w:p>
    <w:p>
      <w:pPr>
        <w:pStyle w:val="ListBullet"/>
        <w:spacing w:after="30"/>
        <w:ind w:left="317" w:hanging="173"/>
      </w:pPr>
      <w:r>
        <w:t>Acesso revogado.</w:t>
      </w:r>
    </w:p>
    <w:p>
      <w:r>
        <w:t>Web mostra apenas conectividade/estado do servidor, pois não mantém modo offline financeiro no MVP.</w:t>
      </w:r>
    </w:p>
    <w:p>
      <w:pPr>
        <w:pStyle w:val="Heading2"/>
      </w:pPr>
      <w:r>
        <w:t>SY-02 · Central de conflitos — P0 · D/M/W leitura · C</w:t>
      </w:r>
    </w:p>
    <w:p>
      <w:r>
        <w:t>Lista registros com conflitos pendentes, tipo de conflito e impacto. Leitor pode visualizar aviso; resolver exige escrita adequada.</w:t>
      </w:r>
    </w:p>
    <w:p>
      <w:pPr>
        <w:pStyle w:val="Heading2"/>
      </w:pPr>
      <w:r>
        <w:t>SY-03 · Resolver conflito — P0 · D/M/W · C</w:t>
      </w:r>
    </w:p>
    <w:p>
      <w:r>
        <w:t>Comparação de:</w:t>
      </w:r>
    </w:p>
    <w:p>
      <w:pPr>
        <w:pStyle w:val="ListBullet"/>
        <w:spacing w:after="30"/>
        <w:ind w:left="317" w:hanging="173"/>
      </w:pPr>
      <w:r>
        <w:t>versão-base;</w:t>
      </w:r>
    </w:p>
    <w:p>
      <w:pPr>
        <w:pStyle w:val="ListBullet"/>
        <w:spacing w:after="30"/>
        <w:ind w:left="317" w:hanging="173"/>
      </w:pPr>
      <w:r>
        <w:t>versão local;</w:t>
      </w:r>
    </w:p>
    <w:p>
      <w:pPr>
        <w:pStyle w:val="ListBullet"/>
        <w:spacing w:after="30"/>
        <w:ind w:left="317" w:hanging="173"/>
      </w:pPr>
      <w:r>
        <w:t>versão remota confirmada.</w:t>
      </w:r>
    </w:p>
    <w:p>
      <w:r>
        <w:t>Para campos independentes, pode haver merge sugerido. Para valor, data, conta, categoria ou exclusão concorrente, exigir decisão explícita. Resolver cria nova revisão.</w:t>
      </w:r>
    </w:p>
    <w:p>
      <w:pPr>
        <w:pStyle w:val="Heading2"/>
      </w:pPr>
      <w:r>
        <w:t>SY-04 · Dispositivos e acesso offline — P0 · D/W/M · C</w:t>
      </w:r>
    </w:p>
    <w:p>
      <w:r>
        <w:t>Lista dispositivos autorizados, última sincronização, offline habilitado e estado de revalidação. Proprietário controla a permissão de cache offline por membro/dispositivo conforme política do MVP.</w:t>
      </w:r>
    </w:p>
    <w:p>
      <w:pPr>
        <w:pStyle w:val="Heading1"/>
        <w:pageBreakBefore/>
      </w:pPr>
      <w:r>
        <w:t>13 · Backup, migração e ciclo de vida</w:t>
      </w:r>
    </w:p>
    <w:p>
      <w:pPr>
        <w:pStyle w:val="Heading2"/>
      </w:pPr>
      <w:r>
        <w:t>BK-01 · Backup local — P0 · D/L</w:t>
      </w:r>
    </w:p>
    <w:p>
      <w:r>
        <w:t>Explica que o espaço existe apenas naquele computador. Ações:</w:t>
      </w:r>
    </w:p>
    <w:p>
      <w:pPr>
        <w:pStyle w:val="ListBullet"/>
        <w:spacing w:after="30"/>
        <w:ind w:left="317" w:hanging="173"/>
      </w:pPr>
      <w:r>
        <w:t>Criar backup criptografado;</w:t>
      </w:r>
    </w:p>
    <w:p>
      <w:pPr>
        <w:pStyle w:val="ListBullet"/>
        <w:spacing w:after="30"/>
        <w:ind w:left="317" w:hanging="173"/>
      </w:pPr>
      <w:r>
        <w:t>Restaurar backup;</w:t>
      </w:r>
    </w:p>
    <w:p>
      <w:pPr>
        <w:pStyle w:val="ListBullet"/>
        <w:spacing w:after="30"/>
        <w:ind w:left="317" w:hanging="173"/>
      </w:pPr>
      <w:r>
        <w:t>ver última data de backup criada pelo app quando conhecida.</w:t>
      </w:r>
    </w:p>
    <w:p>
      <w:r>
        <w:t>Criação solicita senha/chave de recuperação e destino de arquivo. O aplicativo não guarda a senha do pacote.</w:t>
      </w:r>
    </w:p>
    <w:p>
      <w:pPr>
        <w:pStyle w:val="Heading2"/>
      </w:pPr>
      <w:r>
        <w:t>BK-02 · Restaurar backup — P0 · D/L</w:t>
      </w:r>
    </w:p>
    <w:p>
      <w:r>
        <w:t>Selecionar pacote → informar segredo → validar integridade → apresentar prévia → restaurar como novo espaço por padrão. Erro de senha ou adulteração não modifica espaço existente.</w:t>
      </w:r>
    </w:p>
    <w:p>
      <w:pPr>
        <w:pStyle w:val="Heading2"/>
      </w:pPr>
      <w:r>
        <w:t>BK-03 · Migrar Local → Nuvem — P0 · D</w:t>
      </w:r>
    </w:p>
    <w:p>
      <w:r>
        <w:t>Etapas: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1. </w:t>
      </w:r>
      <w:r>
        <w:t>explicar o que muda e o que será enviado;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2. </w:t>
      </w:r>
      <w:r>
        <w:t>entrar/criar conta se necessário;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3. </w:t>
      </w:r>
      <w:r>
        <w:t>confirmar finalidade/armazenamento;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4. </w:t>
      </w:r>
      <w:r>
        <w:t>revisar contagens, totais e plano aplicável;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5. </w:t>
      </w:r>
      <w:r>
        <w:t>criar snapshot local consistente;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6. </w:t>
      </w:r>
      <w:r>
        <w:t>enviar e validar;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7. </w:t>
      </w:r>
      <w:r>
        <w:t>ativar espaço cloud;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8. </w:t>
      </w:r>
      <w:r>
        <w:t>só então permitir convites.</w:t>
      </w:r>
    </w:p>
    <w:p>
      <w:r>
        <w:t>Falha preserva origem local e oferece retomar/cancelar. Login por si só nunca dispara este fluxo.</w:t>
      </w:r>
    </w:p>
    <w:p>
      <w:pPr>
        <w:pStyle w:val="Heading2"/>
      </w:pPr>
      <w:r>
        <w:t>BK-04 · Migrar Nuvem → Local — P0 · D/C→L</w:t>
      </w:r>
    </w:p>
    <w:p>
      <w:r>
        <w:t>Somente proprietário no Desktop.</w:t>
      </w:r>
    </w:p>
    <w:p>
      <w:r>
        <w:t>Etapas: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1. </w:t>
      </w:r>
      <w:r>
        <w:t>autenticação recente;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2. </w:t>
      </w:r>
      <w:r>
        <w:t>verificar conexão e pendências;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3. </w:t>
      </w:r>
      <w:r>
        <w:t>mostrar última sincronização dos dispositivos conhecidos;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4. </w:t>
      </w:r>
      <w:r>
        <w:t>impedir novas gravações cloud/ponto de corte;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5. </w:t>
      </w:r>
      <w:r>
        <w:t>baixar snapshot;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6. </w:t>
      </w:r>
      <w:r>
        <w:t>verificar contagens e totais;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7. </w:t>
      </w:r>
      <w:r>
        <w:t>disponibilizar cópia local;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8. </w:t>
      </w:r>
      <w:r>
        <w:t>revogar compartilhamento cloud;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9. </w:t>
      </w:r>
      <w:r>
        <w:t>arquivar origem cloud por 30 dias.</w:t>
      </w:r>
    </w:p>
    <w:p>
      <w:r>
        <w:t>Se algum dispositivo tiver pendência não enviada, mostrar risco antes do ponto de corte.</w:t>
      </w:r>
    </w:p>
    <w:p>
      <w:pPr>
        <w:pStyle w:val="Heading2"/>
      </w:pPr>
      <w:r>
        <w:t>BK-05 · Espaços arquivados — P0 · D/W/M · C</w:t>
      </w:r>
    </w:p>
    <w:p>
      <w:r>
        <w:t>Lista nome, data de arquivamento, data prevista de exclusão e motivo/origem. Ações conforme permissão:</w:t>
      </w:r>
    </w:p>
    <w:p>
      <w:pPr>
        <w:pStyle w:val="ListBullet"/>
        <w:spacing w:after="30"/>
        <w:ind w:left="317" w:hanging="173"/>
      </w:pPr>
      <w:r>
        <w:t>restaurar dentro da janela;</w:t>
      </w:r>
    </w:p>
    <w:p>
      <w:pPr>
        <w:pStyle w:val="ListBullet"/>
        <w:spacing w:after="30"/>
        <w:ind w:left="317" w:hanging="173"/>
      </w:pPr>
      <w:r>
        <w:t>solicitar exclusão definitiva.</w:t>
      </w:r>
    </w:p>
    <w:p>
      <w:pPr>
        <w:pStyle w:val="Heading2"/>
      </w:pPr>
      <w:r>
        <w:t>BK-06 · Arquivar espaço — P0 · D/W/M · C</w:t>
      </w:r>
    </w:p>
    <w:p>
      <w:r>
        <w:t>Confirmação de alto impacto nomeia o espaço e explica: interromper escrita/sincronização, retirar acesso operacional e manter recuperação por 30 dias.</w:t>
      </w:r>
    </w:p>
    <w:p>
      <w:pPr>
        <w:pStyle w:val="Heading2"/>
      </w:pPr>
      <w:r>
        <w:t>BK-07 · Excluir definitivamente — P0 · D/W/M · C</w:t>
      </w:r>
    </w:p>
    <w:p>
      <w:r>
        <w:t>Disponível sobre espaço arquivado conforme regras. Mostra datas concretas para remoção operacional e expiração de backups segundo política vigente. Exige autenticação recente e confirmação forte.</w:t>
      </w:r>
    </w:p>
    <w:p>
      <w:pPr>
        <w:pStyle w:val="Heading2"/>
      </w:pPr>
      <w:r>
        <w:t>BK-08 · Falha/retomada de migração — P0 · D</w:t>
      </w:r>
    </w:p>
    <w:p>
      <w:r>
        <w:t>Estado obrigatório com origem preservada, etapa concluída, etapa pendente e ação segura de retomar ou cancelar. Nunca apresentar duas bases como ativas e equivalentes sem definir qual é a fonte de verdade.</w:t>
      </w:r>
    </w:p>
    <w:p>
      <w:pPr>
        <w:pStyle w:val="Heading1"/>
        <w:pageBreakBefore/>
      </w:pPr>
      <w:r>
        <w:t>14 · Exportação, suporte e configurações gerais</w:t>
      </w:r>
    </w:p>
    <w:p>
      <w:pPr>
        <w:pStyle w:val="Heading2"/>
      </w:pPr>
      <w:r>
        <w:t>EX-01 · Exportar dados — P0 · D/W/M</w:t>
      </w:r>
    </w:p>
    <w:p>
      <w:r>
        <w:t>Formatos P0:</w:t>
      </w:r>
    </w:p>
    <w:p>
      <w:pPr>
        <w:pStyle w:val="ListBullet"/>
        <w:spacing w:after="30"/>
        <w:ind w:left="317" w:hanging="173"/>
      </w:pPr>
      <w:r>
        <w:t>CSV para movimentações/itens;</w:t>
      </w:r>
    </w:p>
    <w:p>
      <w:pPr>
        <w:pStyle w:val="ListBullet"/>
        <w:spacing w:after="30"/>
        <w:ind w:left="317" w:hanging="173"/>
      </w:pPr>
      <w:r>
        <w:t>JSON versionado para estrutura completa autorizada.</w:t>
      </w:r>
    </w:p>
    <w:p>
      <w:r>
        <w:t>Fluxo: selecionar conjunto → filtros → campos sensíveis/mascaramento → prévia → gerar. Respeita escopo e permissão de exportação. Não inclui tokens ou outro espaço.</w:t>
      </w:r>
    </w:p>
    <w:p>
      <w:pPr>
        <w:pStyle w:val="Heading2"/>
      </w:pPr>
      <w:r>
        <w:t>EX-02 · Prévia de exportação — P0 · D/W/M</w:t>
      </w:r>
    </w:p>
    <w:p>
      <w:r>
        <w:t>Mostra período, contas, quantidade de registros, moeda/base temporal e campos removidos/mascarados. Permite revisar antes de gerar o arquivo.</w:t>
      </w:r>
    </w:p>
    <w:p>
      <w:pPr>
        <w:pStyle w:val="Heading2"/>
      </w:pPr>
      <w:r>
        <w:t>EX-03 · Autorizar suporte — P0 · D/W/M · C</w:t>
      </w:r>
    </w:p>
    <w:p>
      <w:r>
        <w:t>Somente proprietário. Mostra escopo, motivo e validade. Proposta v1: leitura até 24 h e exportação desligada. Acesso pode ser revogado antecipadamente.</w:t>
      </w:r>
    </w:p>
    <w:p>
      <w:pPr>
        <w:pStyle w:val="Heading2"/>
      </w:pPr>
      <w:r>
        <w:t>EX-04 · Acessos de suporte ativos — P0 · D/W/M · C</w:t>
      </w:r>
    </w:p>
    <w:p>
      <w:r>
        <w:t>Lista quem/qual sessão, escopo, início, expiração e status. Link para auditoria.</w:t>
      </w:r>
    </w:p>
    <w:p>
      <w:pPr>
        <w:pStyle w:val="Heading2"/>
      </w:pPr>
      <w:r>
        <w:t>CF-05 · Configurações gerais do espaço — P0 · D/W/M</w:t>
      </w:r>
    </w:p>
    <w:p>
      <w:r>
        <w:t>Nome, finalidade, dados opcionais de pessoa/organização, moeda padrão/limites do MVP e preferências de apresentação. Indica claramente Local/Nuvem.</w:t>
      </w:r>
    </w:p>
    <w:p>
      <w:pPr>
        <w:pStyle w:val="Heading2"/>
      </w:pPr>
      <w:r>
        <w:t>CF-06 · Configurações da conta — P0 · D/W/M autenticado</w:t>
      </w:r>
    </w:p>
    <w:p>
      <w:r>
        <w:t>Perfil, provedores vinculados, senha quando aplicável, MFA, sessões/dispositivos e encerramento da identidade respeitando propriedades de espaços.</w:t>
      </w:r>
    </w:p>
    <w:p>
      <w:pPr>
        <w:pStyle w:val="Heading1"/>
        <w:pageBreakBefore/>
      </w:pPr>
      <w:r>
        <w:t>15 · Mapa resumido de telas por plataforma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Tela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Web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Mobile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Local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Cloud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EN-01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Entrada Desktop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EN-02/03/04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Login, cadastro, recuperação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WS-01/02/03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Criar/selecionar espaço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 D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VG-01/02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Dashboard/estado vazio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MV-01–05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Movimentações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CT-01–05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Contas/cartões/saldo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IM-01–11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Importações/lotes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CF-01–04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Categorias/tags/regras/contrapartes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DC-01–08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Documentos/itens/conciliação/busca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RP-01–06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Relatórios/drill-down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MB-01–06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Membros/permissões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SY-01–04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Sync/conflitos/dispositivos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 (estado)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BK-01/02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Backup/restauração local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BK-03/04/08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Migração Local ↔ Cloud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acompanha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acompanha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BK-05–07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Arquivar/excluir cloud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EX-01/02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Exportação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EX-03/04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Suporte autorizado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CF-05/06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Configurações espaço/conta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 (espaço)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✓</w:t>
            </w:r>
          </w:p>
        </w:tc>
        <w:tc>
          <w:tcPr>
            <w:tcW w:type="dxa" w:w="1278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</w:tr>
    </w:tbl>
    <w:p>
      <w:pPr>
        <w:spacing w:after="20"/>
      </w:pPr>
    </w:p>
    <w:p>
      <w:r>
        <w:rPr>
          <w:b/>
        </w:rPr>
        <w:t>Observações:</w:t>
      </w:r>
      <w:r>
        <w:t xml:space="preserve"> na Web, sincronização significa visualizar estado do servidor/conflitos; não existe fila financeira offline no MVP. Em modo local, CF-05 existe para o espaço, enquanto CF-06 exige autenticação e portanto não se aplica ao uso anônimo.</w:t>
      </w:r>
    </w:p>
    <w:p>
      <w:pPr>
        <w:pStyle w:val="Heading1"/>
        <w:pageBreakBefore/>
      </w:pPr>
      <w:r>
        <w:t>16 · Fluxos ponta a ponta do MVP</w:t>
      </w:r>
    </w:p>
    <w:p>
      <w:pPr>
        <w:pStyle w:val="Heading2"/>
      </w:pPr>
      <w:r>
        <w:t>FL-01 · Primeiro valor — Desktop local anônimo</w:t>
      </w:r>
    </w:p>
    <w:p>
      <w:r>
        <w:rPr>
          <w:b/>
        </w:rPr>
        <w:t>Objetivo:</w:t>
      </w:r>
      <w:r>
        <w:t xml:space="preserve"> chegar de instalação nova a uma resposta útil sem cadastro.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EN-01 Continuar sem conta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WS-01 Criar espaço Local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CT-02 Criar primeira conta + saldo prévio opcional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VG-02 Estado inicial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IM-02 Selecionar extrato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[IM-03 se CSV/XLSX]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IM-05 Revisar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IM-06 Resolver correspondências quando necessário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IM-07 Confirmar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IM-08 Resultado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VG-01 Dashboard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RP-03 Abrir maiores categorias</w:t>
            </w:r>
          </w:p>
        </w:tc>
      </w:tr>
    </w:tbl>
    <w:p>
      <w:pPr>
        <w:spacing w:after="20"/>
      </w:pPr>
    </w:p>
    <w:p>
      <w:r>
        <w:rPr>
          <w:b/>
        </w:rPr>
        <w:t>Sucesso:</w:t>
      </w:r>
      <w:r>
        <w:t xml:space="preserve"> usuário identifica as três maiores categorias. </w:t>
      </w:r>
      <w:r>
        <w:rPr>
          <w:b/>
        </w:rPr>
        <w:t>Falha segura:</w:t>
      </w:r>
      <w:r>
        <w:t xml:space="preserve"> cancelar qualquer etapa antes de IM-07 não altera saldo. </w:t>
      </w:r>
      <w:r>
        <w:rPr>
          <w:b/>
        </w:rPr>
        <w:t>Referências:</w:t>
      </w:r>
      <w:r>
        <w:t xml:space="preserve"> RF-01–03, RF-05–07, RF-10–13, RF-23–24, CT-01/03/04/16.</w:t>
      </w:r>
    </w:p>
    <w:p>
      <w:pPr>
        <w:pStyle w:val="Heading2"/>
      </w:pPr>
      <w:r>
        <w:t>FL-02 · Primeiro valor — Web/Mobile cloud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EN-03 Criar conta / EN-02 Entrar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WS-01 Criar espaço Nuvem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CT-02 Criar conta financeira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IM-02 Importar ou MV-02 adicionar manualmente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revisão/confirmar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VG-01</w:t>
            </w:r>
          </w:p>
        </w:tc>
      </w:tr>
    </w:tbl>
    <w:p>
      <w:pPr>
        <w:spacing w:after="20"/>
      </w:pPr>
    </w:p>
    <w:p>
      <w:r>
        <w:t>Sem autenticação, Web/Mobile não entram em dados financeiros.</w:t>
      </w:r>
    </w:p>
    <w:p>
      <w:pPr>
        <w:pStyle w:val="Heading2"/>
      </w:pPr>
      <w:r>
        <w:t>FL-03 · Adicionar movimentação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VG-01 ou MV-01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MV-02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escolher Entrada/Gasto/Transferência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preencher conta, data, valor, classificação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validar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salvar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MV-03 / retorno à origem</w:t>
            </w:r>
          </w:p>
        </w:tc>
      </w:tr>
    </w:tbl>
    <w:p>
      <w:pPr>
        <w:spacing w:after="20"/>
      </w:pPr>
    </w:p>
    <w:p>
      <w:r>
        <w:t>Transferência cria os dois lados de forma atômica e não entra como consumo.</w:t>
      </w:r>
    </w:p>
    <w:p>
      <w:pPr>
        <w:pStyle w:val="Heading2"/>
      </w:pPr>
      <w:r>
        <w:t>FL-04 · Importar extrato com duplicidades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IM-01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IM-02 arquivo/conta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parser/mapeamento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IM-05 revisão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├─ novos → incluir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├─ repetidos confirmados → manter atual por padrão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├─ possíveis repetidos → IM-06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└─ inválidos → corrigir ou excluir conscientemente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IM-07 confirmação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IM-08 resultado</w:t>
            </w:r>
          </w:p>
        </w:tc>
      </w:tr>
    </w:tbl>
    <w:p>
      <w:pPr>
        <w:spacing w:after="20"/>
      </w:pPr>
    </w:p>
    <w:p>
      <w:r>
        <w:t>Após correção recorrente, pode seguir para IM-11 e criar regra.</w:t>
      </w:r>
    </w:p>
    <w:p>
      <w:pPr>
        <w:pStyle w:val="Heading2"/>
      </w:pPr>
      <w:r>
        <w:t>FL-05 · Corrigir descrição e criar regra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IM-05 ou MV-03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editar “AE/C centro” para “Supermercado X”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sugerir IM-11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mostrar condição + exemplos + efeito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usuário ativa regra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CF-03 para manutenção futura</w:t>
            </w:r>
          </w:p>
        </w:tc>
      </w:tr>
    </w:tbl>
    <w:p>
      <w:pPr>
        <w:spacing w:after="20"/>
      </w:pPr>
    </w:p>
    <w:p>
      <w:r>
        <w:t>A regra vale somente naquele espaço.</w:t>
      </w:r>
    </w:p>
    <w:p>
      <w:pPr>
        <w:pStyle w:val="Heading2"/>
      </w:pPr>
      <w:r>
        <w:t>FL-06 · Desfazer importação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IM-01 / IM-09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Desfazer lote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IM-10 prévia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├─ sem alterações posteriores → confirmar reversão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└─ com dependências → resolver conflito item a item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registrar novo evento de reversão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recalcular saldos/relatórios</w:t>
            </w:r>
          </w:p>
        </w:tc>
      </w:tr>
    </w:tbl>
    <w:p>
      <w:pPr>
        <w:spacing w:after="20"/>
      </w:pPr>
    </w:p>
    <w:p>
      <w:r>
        <w:t>Nenhuma edição posterior de terceiro é apagada silenciosamente.</w:t>
      </w:r>
    </w:p>
    <w:p>
      <w:pPr>
        <w:pStyle w:val="Heading2"/>
      </w:pPr>
      <w:r>
        <w:t>FL-07 · Ler documento e conciliar compra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DC-01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DC-02 selecionar XML/PDF homologado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extração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DC-03 revisão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confirmar dados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DC-07 conciliação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├─ vincular movimento existente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├─ alocar em vários movimentos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├─ criar novo movimento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└─ manter não conciliado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DC-04 detalhe</w:t>
            </w:r>
          </w:p>
        </w:tc>
      </w:tr>
    </w:tbl>
    <w:p>
      <w:pPr>
        <w:spacing w:after="20"/>
      </w:pPr>
    </w:p>
    <w:p>
      <w:r>
        <w:t>O arquivo original é descartado conforme política do MVP; dados estruturados permanecem.</w:t>
      </w:r>
    </w:p>
    <w:p>
      <w:pPr>
        <w:pStyle w:val="Heading2"/>
      </w:pPr>
      <w:r>
        <w:t>FL-08 · Pesquisar item específico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Busca global / DC-08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digitar “energético”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aplicar período/filtros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resultados em itens de notas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totalizar somente linhas encontradas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abrir DC-04/DC-05 ou MV-03 conciliado</w:t>
            </w:r>
          </w:p>
        </w:tc>
      </w:tr>
    </w:tbl>
    <w:p>
      <w:pPr>
        <w:spacing w:after="20"/>
      </w:pPr>
    </w:p>
    <w:p>
      <w:pPr>
        <w:pStyle w:val="Heading2"/>
      </w:pPr>
      <w:r>
        <w:t>FL-09 · Entender gastos pelo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VG-01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selecionar período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abrir “Despesas”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RP-03 gastos por categoria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selecionar categoria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RP-06 evidências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MV-03 / DC-05</w:t>
            </w:r>
          </w:p>
        </w:tc>
      </w:tr>
    </w:tbl>
    <w:p>
      <w:pPr>
        <w:spacing w:after="20"/>
      </w:pPr>
    </w:p>
    <w:p>
      <w:r>
        <w:t>O usuário sempre consegue chegar do agregado à evidência.</w:t>
      </w:r>
    </w:p>
    <w:p>
      <w:pPr>
        <w:pStyle w:val="Heading2"/>
      </w:pPr>
      <w:r>
        <w:t>FL-10 · Convidar contador/editor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CF/MB-01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MB-02 Convidar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escolher Editor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limitar contas/recursos se necessário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decidir exportação/offline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enviar convite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WS-04 no destinatário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aceitar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acesso conforme escopo</w:t>
            </w:r>
          </w:p>
        </w:tc>
      </w:tr>
    </w:tbl>
    <w:p>
      <w:pPr>
        <w:spacing w:after="20"/>
      </w:pPr>
    </w:p>
    <w:p>
      <w:pPr>
        <w:pStyle w:val="Heading2"/>
      </w:pPr>
      <w:r>
        <w:t>FL-11 · Revogar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MB-01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MB-03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Revogar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MB-04 confirmação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bloquear servidor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invalidar/revalidar filas pendentes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solicitar limpeza de cache na próxima conexão</w:t>
            </w:r>
          </w:p>
        </w:tc>
      </w:tr>
    </w:tbl>
    <w:p>
      <w:pPr>
        <w:spacing w:after="20"/>
      </w:pPr>
    </w:p>
    <w:p>
      <w:r>
        <w:t>A interface explica o limite sobre cópias/exportações já feitas.</w:t>
      </w:r>
    </w:p>
    <w:p>
      <w:pPr>
        <w:pStyle w:val="Heading2"/>
      </w:pPr>
      <w:r>
        <w:t>FL-12 · Edição offline cloud e sincronização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D/M com offline autorizado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editar/criar registro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estado “Salvo neste dispositivo”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fila persistente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reconectar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revalidar identidade/permissões/versão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├─ sem conflito → sincronizar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└─ conflito → SY-02 → SY-03</w:t>
            </w:r>
          </w:p>
        </w:tc>
      </w:tr>
    </w:tbl>
    <w:p>
      <w:pPr>
        <w:spacing w:after="20"/>
      </w:pPr>
    </w:p>
    <w:p>
      <w:pPr>
        <w:pStyle w:val="Heading2"/>
      </w:pPr>
      <w:r>
        <w:t>FL-13 · Resolver conflito financeiro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SY-02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abrir conflito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SY-03 base x local x remoto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escolher/mesclar versão autorizada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validar regra financeira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salvar nova revisão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sincronizar</w:t>
            </w:r>
          </w:p>
        </w:tc>
      </w:tr>
    </w:tbl>
    <w:p>
      <w:pPr>
        <w:spacing w:after="20"/>
      </w:pPr>
    </w:p>
    <w:p>
      <w:r>
        <w:t>Servidor mantém a revisão confirmada anterior até a resolução.</w:t>
      </w:r>
    </w:p>
    <w:p>
      <w:pPr>
        <w:pStyle w:val="Heading2"/>
      </w:pPr>
      <w:r>
        <w:t>FL-14 · Criar backup local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BK-01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Criar backup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escolher segredo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escolher destino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gerar pacote criptografado/versionado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validar pacote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confirmação + orientação para guardar segredo separadamente</w:t>
            </w:r>
          </w:p>
        </w:tc>
      </w:tr>
    </w:tbl>
    <w:p>
      <w:pPr>
        <w:spacing w:after="20"/>
      </w:pPr>
    </w:p>
    <w:p>
      <w:pPr>
        <w:pStyle w:val="Heading2"/>
      </w:pPr>
      <w:r>
        <w:t>FL-15 · Restaurar backup local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BK-01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BK-02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selecionar pacote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informar segredo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validar integridade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prévia de contas/registros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restaurar como novo espaço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VG-01</w:t>
            </w:r>
          </w:p>
        </w:tc>
      </w:tr>
    </w:tbl>
    <w:p>
      <w:pPr>
        <w:spacing w:after="20"/>
      </w:pPr>
    </w:p>
    <w:p>
      <w:r>
        <w:t>Falha não substitui dados existentes.</w:t>
      </w:r>
    </w:p>
    <w:p>
      <w:pPr>
        <w:pStyle w:val="Heading2"/>
      </w:pPr>
      <w:r>
        <w:t>FL-16 · Migrar espaço Local → Nuvem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CF/BK-03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explicar envio e finalidade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login/cadastro se necessário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confirmar snapshot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transferir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validar contagens/totais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├─ falha → BK-08, origem local preservada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└─ sucesso → ativar cloud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espaço aparece como Nuvem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opcionalmente convidar membros</w:t>
            </w:r>
          </w:p>
        </w:tc>
      </w:tr>
    </w:tbl>
    <w:p>
      <w:pPr>
        <w:spacing w:after="20"/>
      </w:pPr>
    </w:p>
    <w:p>
      <w:pPr>
        <w:pStyle w:val="Heading2"/>
      </w:pPr>
      <w:r>
        <w:t>FL-17 · Migrar espaço Nuvem → Local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BK-04 no Desktop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autenticação recente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verificar pendências/dispositivos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ponto de corte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baixar snapshot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validar contagens/totais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├─ falha → BK-08, cloud continua fonte de verdade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└─ sucesso → ativar espaço local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revogar compartilhamento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cloud vai para BK-05 por 30 dias</w:t>
            </w:r>
          </w:p>
        </w:tc>
      </w:tr>
    </w:tbl>
    <w:p>
      <w:pPr>
        <w:spacing w:after="20"/>
      </w:pPr>
    </w:p>
    <w:p>
      <w:pPr>
        <w:pStyle w:val="Heading2"/>
      </w:pPr>
      <w:r>
        <w:t>FL-18 · Arquivar e excluir espaço cloud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Configurações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BK-06 Arquivar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espaço sai da operação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BK-05 Arquivados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├─ Restaurar dentro de 30 dias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└─ BK-07 Excluir definitivamente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      → autenticação recente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      → confirmar datas/retenção residual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      → solicitação de exclusão</w:t>
            </w:r>
          </w:p>
        </w:tc>
      </w:tr>
    </w:tbl>
    <w:p>
      <w:pPr>
        <w:spacing w:after="20"/>
      </w:pPr>
    </w:p>
    <w:p>
      <w:pPr>
        <w:pStyle w:val="Heading2"/>
      </w:pPr>
      <w:r>
        <w:t>FL-19 · Exportar 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EX-01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escolher movimentações/itens/JSON completo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filtros e escopo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mascaramento opcional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EX-02 prévia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gerar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registrar auditoria cloud quando aplicável</w:t>
            </w:r>
          </w:p>
        </w:tc>
      </w:tr>
    </w:tbl>
    <w:p>
      <w:pPr>
        <w:spacing w:after="20"/>
      </w:pPr>
    </w:p>
    <w:p>
      <w:pPr>
        <w:pStyle w:val="Heading2"/>
      </w:pPr>
      <w:r>
        <w:t>FL-20 · Autorizar suporte temporário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Configurações cloud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EX-03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definir motivo/escopo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autenticação recente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ativar acesso temporário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EX-04 acompanhar/revogar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expirar automaticamente</w:t>
            </w:r>
          </w:p>
        </w:tc>
      </w:tr>
    </w:tbl>
    <w:p>
      <w:pPr>
        <w:spacing w:after="20"/>
      </w:pPr>
    </w:p>
    <w:p>
      <w:pPr>
        <w:pStyle w:val="Heading2"/>
      </w:pPr>
      <w:r>
        <w:t>FL-21 · Pagamento de cartão sem duplicar gasto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Importar fatura/cartão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compras entram como consumo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importar extrato bancário com pagamento da fatura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detectar relação conta ↔ cartão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conciliar pagamento como liquidação de dívida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RP-03 não duplica consumo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RP-04 mostra saída de caixa no pagamento</w:t>
            </w:r>
          </w:p>
        </w:tc>
      </w:tr>
    </w:tbl>
    <w:p>
      <w:pPr>
        <w:spacing w:after="20"/>
      </w:pPr>
    </w:p>
    <w:p>
      <w:pPr>
        <w:pStyle w:val="Heading2"/>
      </w:pPr>
      <w:r>
        <w:t>FL-22 · Saldo divergente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7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>VG-01 alerta / CT-03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CT-05 Conferir saldo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comparar referência x calculado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→ revisar registros/período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├─ erro de importação → abrir lote/registro</w:t>
            </w:r>
          </w:p>
          <w:p>
            <w:pPr>
              <w:pStyle w:val="CodeFlow"/>
              <w:spacing w:after="0"/>
            </w:pPr>
            <w:r>
              <w:rPr>
                <w:rFonts w:ascii="Consolas" w:hAnsi="Consolas"/>
                <w:sz w:val="16"/>
              </w:rPr>
              <w:t xml:space="preserve">      └─ ajuste real necessário → confirmar ajuste identificado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17 · Estados transversais obrigatórios</w:t>
      </w:r>
    </w:p>
    <w:p>
      <w:r>
        <w:t>Os estados abaixo devem existir como padrões reutilizáveis, não implementações improvisadas por módulo.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Mensagem/objetivo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Ação principal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Vazio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Explicar por que não há dados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Criar/importar algo relevante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Carregando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Indicar operação sem sugerir conclusão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Cancelar quando seguro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Offline local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Operação normal no Desktop local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Nenhuma barreira artificial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Offline cloud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Dizer o que está apenas no dispositivo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Tentar sincronizar/reconectar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Falha de arquivo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Explicar formato/layout incompatível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Selecionar outro ou cadastrar manualmente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Revisão parcial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Informar que nada foi integrado ainda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Continuar revisão/cancelar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Possível duplicidade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Mostrar evidências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Comparar e decidir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Sem permissão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Não vazar detalhes proibidos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Voltar/solicitar acesso fora do fluxo financeiro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Saldo incompleto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Explicar ausência de referência/histórico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Informar/conferir saldo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Conflito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Mostrar que servidor preserva revisão confirmada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Resolver conflito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Arquivado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Bloquear escrita e mostrar data de expiração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Restaurar ou excluir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Migração interrompida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Explicar fonte de verdade atual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Retomar/cancelar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Exclusão em andamento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Mostrar cronograma conhecido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Sem promessa de remoção instantânea de backup</w:t>
            </w:r>
          </w:p>
        </w:tc>
      </w:tr>
      <w:tr>
        <w:trPr>
          <w:cantSplit/>
        </w:trPr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Visão parcial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Informar que totais cobrem só contas autorizadas</w:t>
            </w:r>
          </w:p>
        </w:tc>
        <w:tc>
          <w:tcPr>
            <w:tcW w:type="dxa" w:w="34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Ver escopo permitido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18 · Regras de navegação e segurança da interface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1. </w:t>
      </w:r>
      <w:r>
        <w:rPr>
          <w:b/>
        </w:rPr>
        <w:t>Contexto de espaço sempre visível.</w:t>
      </w:r>
      <w:r>
        <w:t xml:space="preserve"> Ações destrutivas repetem o nome do espaço.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2. </w:t>
      </w:r>
      <w:r>
        <w:rPr>
          <w:b/>
        </w:rPr>
        <w:t>Permissão é aplicada no backend e refletida na UI.</w:t>
      </w:r>
      <w:r>
        <w:t xml:space="preserve"> Esconder botão não é controle de acesso.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3. </w:t>
      </w:r>
      <w:r>
        <w:rPr>
          <w:b/>
        </w:rPr>
        <w:t>Nenhum valor agregado sem evidência.</w:t>
      </w:r>
      <w:r>
        <w:t xml:space="preserve"> Dashboard/relatório sempre oferece drill-down.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4. </w:t>
      </w:r>
      <w:r>
        <w:rPr>
          <w:b/>
        </w:rPr>
        <w:t>Origem é preservada.</w:t>
      </w:r>
      <w:r>
        <w:t xml:space="preserve"> Renomear não remove descrição original; importar não esconde lote.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5. </w:t>
      </w:r>
      <w:r>
        <w:rPr>
          <w:b/>
        </w:rPr>
        <w:t>Revisar antes de integrar.</w:t>
      </w:r>
      <w:r>
        <w:t xml:space="preserve"> Arquivo selecionado não altera finanças antes da confirmação.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6. </w:t>
      </w:r>
      <w:r>
        <w:rPr>
          <w:b/>
        </w:rPr>
        <w:t>Desfazer é explícito.</w:t>
      </w:r>
      <w:r>
        <w:t xml:space="preserve"> Reversões mostram impacto e conflitos antes de executar.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7. </w:t>
      </w:r>
      <w:r>
        <w:rPr>
          <w:b/>
        </w:rPr>
        <w:t>Local e Cloud têm linguagem constante.</w:t>
      </w:r>
      <w:r>
        <w:t xml:space="preserve"> Não usar “sincronizado” para workspace local.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8. </w:t>
      </w:r>
      <w:r>
        <w:rPr>
          <w:b/>
        </w:rPr>
        <w:t>Login não migra dados.</w:t>
      </w:r>
      <w:r>
        <w:t xml:space="preserve"> Migração é um fluxo separado e consentido.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9. </w:t>
      </w:r>
      <w:r>
        <w:rPr>
          <w:b/>
        </w:rPr>
        <w:t>Offline cloud não é local exclusivo.</w:t>
      </w:r>
      <w:r>
        <w:t xml:space="preserve"> O cliente informa fila, revalidação e estado de servidor.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10. </w:t>
      </w:r>
      <w:r>
        <w:rPr>
          <w:b/>
        </w:rPr>
        <w:t>Ação irreversível exige contexto e autenticação recente quando cloud.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11. </w:t>
      </w:r>
      <w:r>
        <w:rPr>
          <w:b/>
        </w:rPr>
        <w:t>Ausência de dados ≠ zero.</w:t>
      </w:r>
      <w:r>
        <w:t xml:space="preserve"> Indicadores incompletos devem dizer por quê.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12. </w:t>
      </w:r>
      <w:r>
        <w:rPr>
          <w:b/>
        </w:rPr>
        <w:t>Moedas incompatíveis não são somadas silenciosamente.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13. </w:t>
      </w:r>
      <w:r>
        <w:rPr>
          <w:b/>
        </w:rPr>
        <w:t>Gráficos nunca são a única representação.</w:t>
      </w:r>
      <w:r>
        <w:t xml:space="preserve"> Sempre oferecer tabela/texto equivalente.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14. </w:t>
      </w:r>
      <w:r>
        <w:rPr>
          <w:b/>
        </w:rPr>
        <w:t>Descrições/documentos são conteúdo, nunca comandos.</w:t>
      </w:r>
      <w:r>
        <w:t xml:space="preserve"> Não executar links/scripts/macros recebidos.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15. </w:t>
      </w:r>
      <w:r>
        <w:rPr>
          <w:b/>
        </w:rPr>
        <w:t>Busca respeita o mesmo escopo que listas, relatórios e exportação.</w:t>
      </w:r>
    </w:p>
    <w:p>
      <w:pPr>
        <w:pStyle w:val="Heading1"/>
        <w:pageBreakBefore/>
      </w:pPr>
      <w:r>
        <w:t>19 · Priorização para wireframes/protótipos</w:t>
      </w:r>
    </w:p>
    <w:p>
      <w:pPr>
        <w:pStyle w:val="Heading2"/>
      </w:pPr>
      <w:r>
        <w:t>Pacote A — caminho crítico de valor local</w:t>
      </w:r>
    </w:p>
    <w:p>
      <w:r>
        <w:t>Desenhar primeiro:</w:t>
      </w:r>
    </w:p>
    <w:p>
      <w:pPr>
        <w:pStyle w:val="ListBullet"/>
        <w:spacing w:after="30"/>
        <w:ind w:left="317" w:hanging="173"/>
      </w:pPr>
      <w:r>
        <w:t>EN-01;</w:t>
      </w:r>
    </w:p>
    <w:p>
      <w:pPr>
        <w:pStyle w:val="ListBullet"/>
        <w:spacing w:after="30"/>
        <w:ind w:left="317" w:hanging="173"/>
      </w:pPr>
      <w:r>
        <w:t>WS-01/03;</w:t>
      </w:r>
    </w:p>
    <w:p>
      <w:pPr>
        <w:pStyle w:val="ListBullet"/>
        <w:spacing w:after="30"/>
        <w:ind w:left="317" w:hanging="173"/>
      </w:pPr>
      <w:r>
        <w:t>VG-01/02;</w:t>
      </w:r>
    </w:p>
    <w:p>
      <w:pPr>
        <w:pStyle w:val="ListBullet"/>
        <w:spacing w:after="30"/>
        <w:ind w:left="317" w:hanging="173"/>
      </w:pPr>
      <w:r>
        <w:t>CT-01/02/03;</w:t>
      </w:r>
    </w:p>
    <w:p>
      <w:pPr>
        <w:pStyle w:val="ListBullet"/>
        <w:spacing w:after="30"/>
        <w:ind w:left="317" w:hanging="173"/>
      </w:pPr>
      <w:r>
        <w:t>IM-02/03/05/06/07/08;</w:t>
      </w:r>
    </w:p>
    <w:p>
      <w:pPr>
        <w:pStyle w:val="ListBullet"/>
        <w:spacing w:after="30"/>
        <w:ind w:left="317" w:hanging="173"/>
      </w:pPr>
      <w:r>
        <w:t>MV-01/03;</w:t>
      </w:r>
    </w:p>
    <w:p>
      <w:pPr>
        <w:pStyle w:val="ListBullet"/>
        <w:spacing w:after="30"/>
        <w:ind w:left="317" w:hanging="173"/>
      </w:pPr>
      <w:r>
        <w:t>RP-03/06;</w:t>
      </w:r>
    </w:p>
    <w:p>
      <w:pPr>
        <w:pStyle w:val="ListBullet"/>
        <w:spacing w:after="30"/>
        <w:ind w:left="317" w:hanging="173"/>
      </w:pPr>
      <w:r>
        <w:t>BK-01/02.</w:t>
      </w:r>
    </w:p>
    <w:p>
      <w:r>
        <w:t>Essas telas validam o diferencial “anônimo/local + entender gastos”.</w:t>
      </w:r>
    </w:p>
    <w:p>
      <w:pPr>
        <w:pStyle w:val="Heading2"/>
      </w:pPr>
      <w:r>
        <w:t>Pacote B — qualidade dos dados</w:t>
      </w:r>
    </w:p>
    <w:p>
      <w:pPr>
        <w:pStyle w:val="ListBullet"/>
        <w:spacing w:after="30"/>
        <w:ind w:left="317" w:hanging="173"/>
      </w:pPr>
      <w:r>
        <w:t>IM-09/10/11;</w:t>
      </w:r>
    </w:p>
    <w:p>
      <w:pPr>
        <w:pStyle w:val="ListBullet"/>
        <w:spacing w:after="30"/>
        <w:ind w:left="317" w:hanging="173"/>
      </w:pPr>
      <w:r>
        <w:t>CF-01/02/03;</w:t>
      </w:r>
    </w:p>
    <w:p>
      <w:pPr>
        <w:pStyle w:val="ListBullet"/>
        <w:spacing w:after="30"/>
        <w:ind w:left="317" w:hanging="173"/>
      </w:pPr>
      <w:r>
        <w:t>DC-01/02/03/04/05/06/07/08;</w:t>
      </w:r>
    </w:p>
    <w:p>
      <w:pPr>
        <w:pStyle w:val="ListBullet"/>
        <w:spacing w:after="30"/>
        <w:ind w:left="317" w:hanging="173"/>
      </w:pPr>
      <w:r>
        <w:t>CT-04/05;</w:t>
      </w:r>
    </w:p>
    <w:p>
      <w:pPr>
        <w:pStyle w:val="ListBullet"/>
        <w:spacing w:after="30"/>
        <w:ind w:left="317" w:hanging="173"/>
      </w:pPr>
      <w:r>
        <w:t>RP-01/04/05.</w:t>
      </w:r>
    </w:p>
    <w:p>
      <w:pPr>
        <w:pStyle w:val="Heading2"/>
      </w:pPr>
      <w:r>
        <w:t>Pacote C — cloud e colaboração</w:t>
      </w:r>
    </w:p>
    <w:p>
      <w:pPr>
        <w:pStyle w:val="ListBullet"/>
        <w:spacing w:after="30"/>
        <w:ind w:left="317" w:hanging="173"/>
      </w:pPr>
      <w:r>
        <w:t>EN-02/03/04/05;</w:t>
      </w:r>
    </w:p>
    <w:p>
      <w:pPr>
        <w:pStyle w:val="ListBullet"/>
        <w:spacing w:after="30"/>
        <w:ind w:left="317" w:hanging="173"/>
      </w:pPr>
      <w:r>
        <w:t>MB-01–06;</w:t>
      </w:r>
    </w:p>
    <w:p>
      <w:pPr>
        <w:pStyle w:val="ListBullet"/>
        <w:spacing w:after="30"/>
        <w:ind w:left="317" w:hanging="173"/>
      </w:pPr>
      <w:r>
        <w:t>SY-01–04;</w:t>
      </w:r>
    </w:p>
    <w:p>
      <w:pPr>
        <w:pStyle w:val="ListBullet"/>
        <w:spacing w:after="30"/>
        <w:ind w:left="317" w:hanging="173"/>
      </w:pPr>
      <w:r>
        <w:t>BK-03/04/05/06/07/08;</w:t>
      </w:r>
    </w:p>
    <w:p>
      <w:pPr>
        <w:pStyle w:val="ListBullet"/>
        <w:spacing w:after="30"/>
        <w:ind w:left="317" w:hanging="173"/>
      </w:pPr>
      <w:r>
        <w:t>EX-01–04;</w:t>
      </w:r>
    </w:p>
    <w:p>
      <w:pPr>
        <w:pStyle w:val="ListBullet"/>
        <w:spacing w:after="30"/>
        <w:ind w:left="317" w:hanging="173"/>
      </w:pPr>
      <w:r>
        <w:t>CF-06.</w:t>
      </w:r>
    </w:p>
    <w:p>
      <w:pPr>
        <w:pStyle w:val="Heading2"/>
      </w:pPr>
      <w:r>
        <w:t>Pacote D — Mobile adaptation</w:t>
      </w:r>
    </w:p>
    <w:p>
      <w:r>
        <w:t>Depois que os fluxos críticos estiverem aprovados em comportamento, desenhar versões Mobile que preservem as mesmas decisões e critérios, reorganizando densidade em etapas.</w:t>
      </w:r>
    </w:p>
    <w:p>
      <w:pPr>
        <w:pStyle w:val="Heading1"/>
        <w:pageBreakBefore/>
      </w:pPr>
      <w:r>
        <w:t>20 · Cobertura do PRD pelo mapa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Requisito do PRD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8324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Telas/fluxos principais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RF-01 Entrada/cadastro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EN-01–05, FL-01/02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RF-02 Primeiro espaço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WS-01, FL-01/02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RF-03 Múltiplos espaços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WS-02/03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RF-04 Titularidade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MB-05, BK-06/07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RF-05–07 Contas/saldo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CT-01–05, MV-02, FL-03/22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RF-08 Cartão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CT-04, FL-21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RF-09 Compromissos P1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extensão futura de VG/RP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RF-10–13 Importação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IM-02–08, FL-04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RF-14 Histórico/reversão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IM-09/10, FL-06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RF-15 Categorias/tags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CF-01/02, MV-04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RF-16 Regras/contrapartes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IM-11, CF-03/04, FL-05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RF-17–19 Documentos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DC-02/03/04, FL-07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RF-20–22 Itens/conciliação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DC-05–08, FL-07/08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RF-23–24 Painel/relatórios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VG-01/02, RP-01–06, FL-09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RF-25–28 Permissões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MB-01–06, EN-05, FL-10/11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RF-29–31 Sync/conflitos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SY-01–04, FL-12/13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RF-32 Backup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BK-01/02, FL-14/15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RF-33–34 Migração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BK-03/04/08, FL-16/17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RF-35–37 Privacidade/ciclo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EN-01, BK-05–07, FL-18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RF-38 Exportação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EX-01/02, FL-19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RF-39 Conta/direitos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CF-06 e fluxo jurídico/operacional associado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RF-40 Suporte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EX-03/04, FL-20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RF-41 Auditoria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detalhes de lote, membros, exportação e suporte</w:t>
            </w:r>
          </w:p>
        </w:tc>
      </w:tr>
      <w:tr>
        <w:trPr>
          <w:cantSplit/>
        </w:trPr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RNF-12 UX/acessibilidade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4F7F9"/>
          </w:tcPr>
          <w:p>
            <w:pPr>
              <w:spacing w:after="0" w:line="240" w:lineRule="auto"/>
            </w:pPr>
            <w:r>
              <w:rPr>
                <w:sz w:val="17"/>
              </w:rPr>
              <w:t>estados transversais + todas as telas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21 · Telas explicitamente fora do MVP</w:t>
      </w:r>
    </w:p>
    <w:p>
      <w:r>
        <w:t>Não desenhar como telas funcionais de produto no primeiro ciclo, para evitar escopo fantasma:</w:t>
      </w:r>
    </w:p>
    <w:p>
      <w:pPr>
        <w:pStyle w:val="ListBullet"/>
        <w:spacing w:after="30"/>
        <w:ind w:left="317" w:hanging="173"/>
      </w:pPr>
      <w:r>
        <w:t>conexão Open Finance/bancos em tempo real;</w:t>
      </w:r>
    </w:p>
    <w:p>
      <w:pPr>
        <w:pStyle w:val="ListBullet"/>
        <w:spacing w:after="30"/>
        <w:ind w:left="317" w:hanging="173"/>
      </w:pPr>
      <w:r>
        <w:t>assistente/chat financeiro com IA;</w:t>
      </w:r>
    </w:p>
    <w:p>
      <w:pPr>
        <w:pStyle w:val="ListBullet"/>
        <w:spacing w:after="30"/>
        <w:ind w:left="317" w:hanging="173"/>
      </w:pPr>
      <w:r>
        <w:t>configuração de IA externa;</w:t>
      </w:r>
    </w:p>
    <w:p>
      <w:pPr>
        <w:pStyle w:val="ListBullet"/>
        <w:spacing w:after="30"/>
        <w:ind w:left="317" w:hanging="173"/>
      </w:pPr>
      <w:r>
        <w:t>DRE contábil;</w:t>
      </w:r>
    </w:p>
    <w:p>
      <w:pPr>
        <w:pStyle w:val="ListBullet"/>
        <w:spacing w:after="30"/>
        <w:ind w:left="317" w:hanging="173"/>
      </w:pPr>
      <w:r>
        <w:t>contas a pagar/receber completas;</w:t>
      </w:r>
    </w:p>
    <w:p>
      <w:pPr>
        <w:pStyle w:val="ListBullet"/>
        <w:spacing w:after="30"/>
        <w:ind w:left="317" w:hanging="173"/>
      </w:pPr>
      <w:r>
        <w:t>centros de custo e projetos;</w:t>
      </w:r>
    </w:p>
    <w:p>
      <w:pPr>
        <w:pStyle w:val="ListBullet"/>
        <w:spacing w:after="30"/>
        <w:ind w:left="317" w:hanging="173"/>
      </w:pPr>
      <w:r>
        <w:t>previsão de caixa automatizada;</w:t>
      </w:r>
    </w:p>
    <w:p>
      <w:pPr>
        <w:pStyle w:val="ListBullet"/>
        <w:spacing w:after="30"/>
        <w:ind w:left="317" w:hanging="173"/>
      </w:pPr>
      <w:r>
        <w:t>aprovação em dois níveis;</w:t>
      </w:r>
    </w:p>
    <w:p>
      <w:pPr>
        <w:pStyle w:val="ListBullet"/>
        <w:spacing w:after="30"/>
        <w:ind w:left="317" w:hanging="173"/>
      </w:pPr>
      <w:r>
        <w:t>emissão fiscal;</w:t>
      </w:r>
    </w:p>
    <w:p>
      <w:pPr>
        <w:pStyle w:val="ListBullet"/>
        <w:spacing w:after="30"/>
        <w:ind w:left="317" w:hanging="173"/>
      </w:pPr>
      <w:r>
        <w:t>pagamento de contas;</w:t>
      </w:r>
    </w:p>
    <w:p>
      <w:pPr>
        <w:pStyle w:val="ListBullet"/>
        <w:spacing w:after="30"/>
        <w:ind w:left="317" w:hanging="173"/>
      </w:pPr>
      <w:r>
        <w:t>cálculo tributário;</w:t>
      </w:r>
    </w:p>
    <w:p>
      <w:pPr>
        <w:pStyle w:val="ListBullet"/>
        <w:spacing w:after="30"/>
        <w:ind w:left="317" w:hanging="173"/>
      </w:pPr>
      <w:r>
        <w:t>rentabilidade/cotação de investimentos;</w:t>
      </w:r>
    </w:p>
    <w:p>
      <w:pPr>
        <w:pStyle w:val="ListBullet"/>
        <w:spacing w:after="30"/>
        <w:ind w:left="317" w:hanging="173"/>
      </w:pPr>
      <w:r>
        <w:t>self-host/console empresarial de instalação;</w:t>
      </w:r>
    </w:p>
    <w:p>
      <w:pPr>
        <w:pStyle w:val="ListBullet"/>
        <w:spacing w:after="30"/>
        <w:ind w:left="317" w:hanging="173"/>
      </w:pPr>
      <w:r>
        <w:t>cobrança automática do beta.</w:t>
      </w:r>
    </w:p>
    <w:p>
      <w:r>
        <w:t>Pontos de extensão podem existir no modelo e arquitetura, mas não devem aparecer como navegação vazia.</w:t>
      </w:r>
    </w:p>
    <w:p>
      <w:pPr>
        <w:pStyle w:val="Heading1"/>
        <w:pageBreakBefore/>
      </w:pPr>
      <w:r>
        <w:t>22 · Casos de teste de navegação prioritários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1. </w:t>
      </w:r>
      <w:r>
        <w:t>Uma instalação Desktop offline consegue EN-01 → WS-01 → CT-02 → MV/IM → VG sem login.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2. </w:t>
      </w:r>
      <w:r>
        <w:t>Login no Desktop não altera nem envia um espaço local existente.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3. </w:t>
      </w:r>
      <w:r>
        <w:t>Trocar de Empresa A para Pessoal limpa resultados e nunca mantém dados da empresa na tela.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4. </w:t>
      </w:r>
      <w:r>
        <w:t>Cancelar IM-05 deixa saldo/totais inalterados.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5. </w:t>
      </w:r>
      <w:r>
        <w:t>Confirmar IM-07 duas vezes não duplica transações.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6. </w:t>
      </w:r>
      <w:r>
        <w:t>IM-06 permite manter duas compras legítimas de mesmo valor/data.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7. </w:t>
      </w:r>
      <w:r>
        <w:t>Desfazer em IM-10 preserva uma edição posterior feita por outro usuário.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8. </w:t>
      </w:r>
      <w:r>
        <w:t>CT-04 + FL-21 não contam compra e pagamento da fatura como duas despesas.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9. </w:t>
      </w:r>
      <w:r>
        <w:t>DC-08 soma somente itens encontrados, não notas inteiras.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10. </w:t>
      </w:r>
      <w:r>
        <w:t>Leitor sem exportação não alcança EX-01 por deep link/ação indireta.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11. </w:t>
      </w:r>
      <w:r>
        <w:t>Um membro com duas contas permitidas vê VG/RP apenas sobre essas duas e recebe indicação de visão parcial.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12. </w:t>
      </w:r>
      <w:r>
        <w:t>D/M offline mostra “salvo neste dispositivo” e não “sincronizado”.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13. </w:t>
      </w:r>
      <w:r>
        <w:t>SY-03 preserva versão-base/local/remota até resolução.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14. </w:t>
      </w:r>
      <w:r>
        <w:t>BK-02 com senha errada não substitui workspace existente.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15. </w:t>
      </w:r>
      <w:r>
        <w:t>BK-03 falho preserva o local como fonte de verdade.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16. </w:t>
      </w:r>
      <w:r>
        <w:t>BK-04 só arquiva cloud depois de validar cópia local.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17. </w:t>
      </w:r>
      <w:r>
        <w:t>BK-06/07 exibem o nome correto do espaço e datas de retenção.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18. </w:t>
      </w:r>
      <w:r>
        <w:t>EX-02 não contém campo de conta fora do escopo do membro.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19. </w:t>
      </w:r>
      <w:r>
        <w:t>EX-03 expira e aparece no histórico de auditoria.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20. </w:t>
      </w:r>
      <w:r>
        <w:t>Navegação por teclado/leitor de tela alcança ações principais e alternativas textuais dos gráficos.</w:t>
      </w:r>
    </w:p>
    <w:p>
      <w:pPr>
        <w:pStyle w:val="Heading1"/>
        <w:pageBreakBefore/>
      </w:pPr>
      <w:r>
        <w:t>23 · Decisões para o próximo artefato visual</w:t>
      </w:r>
    </w:p>
    <w:p>
      <w:r>
        <w:t xml:space="preserve">O presente mapa fecha </w:t>
      </w:r>
      <w:r>
        <w:rPr>
          <w:b/>
        </w:rPr>
        <w:t>o que existe e como se conecta</w:t>
      </w:r>
      <w:r>
        <w:t>, mas deixa deliberadamente para wireframes/UI:</w:t>
      </w:r>
    </w:p>
    <w:p>
      <w:pPr>
        <w:pStyle w:val="ListBullet"/>
        <w:spacing w:after="30"/>
        <w:ind w:left="317" w:hanging="173"/>
      </w:pPr>
      <w:r>
        <w:t>densidade exata do sidebar e da barra inferior;</w:t>
      </w:r>
    </w:p>
    <w:p>
      <w:pPr>
        <w:pStyle w:val="ListBullet"/>
        <w:spacing w:after="30"/>
        <w:ind w:left="317" w:hanging="173"/>
      </w:pPr>
      <w:r>
        <w:t>aparência de cards e gráficos;</w:t>
      </w:r>
    </w:p>
    <w:p>
      <w:pPr>
        <w:pStyle w:val="ListBullet"/>
        <w:spacing w:after="30"/>
        <w:ind w:left="317" w:hanging="173"/>
      </w:pPr>
      <w:r>
        <w:t>sistema visual, tipografia, cores e iconografia;</w:t>
      </w:r>
    </w:p>
    <w:p>
      <w:pPr>
        <w:pStyle w:val="ListBullet"/>
        <w:spacing w:after="30"/>
        <w:ind w:left="317" w:hanging="173"/>
      </w:pPr>
      <w:r>
        <w:t>modais versus páginas dedicadas em telas grandes;</w:t>
      </w:r>
    </w:p>
    <w:p>
      <w:pPr>
        <w:pStyle w:val="ListBullet"/>
        <w:spacing w:after="30"/>
        <w:ind w:left="317" w:hanging="173"/>
      </w:pPr>
      <w:r>
        <w:t>gestos Mobile;</w:t>
      </w:r>
    </w:p>
    <w:p>
      <w:pPr>
        <w:pStyle w:val="ListBullet"/>
        <w:spacing w:after="30"/>
        <w:ind w:left="317" w:hanging="173"/>
      </w:pPr>
      <w:r>
        <w:t>padrões específicos de tabela virtualizada;</w:t>
      </w:r>
    </w:p>
    <w:p>
      <w:pPr>
        <w:pStyle w:val="ListBullet"/>
        <w:spacing w:after="30"/>
        <w:ind w:left="317" w:hanging="173"/>
      </w:pPr>
      <w:r>
        <w:t>animações e microinterações.</w:t>
      </w:r>
    </w:p>
    <w:p>
      <w:r>
        <w:t>Recomendações para a próxima etapa: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1. </w:t>
      </w:r>
      <w:r>
        <w:t>validar primeiro o fluxo FL-01 com um wireframe de baixa fidelidade;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2. </w:t>
      </w:r>
      <w:r>
        <w:t>testar IM-05/IM-06 cedo, pois é a maior superfície de complexidade cognitiva;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3. </w:t>
      </w:r>
      <w:r>
        <w:t xml:space="preserve">validar a compreensão visual de </w:t>
      </w:r>
      <w:r>
        <w:rPr>
          <w:b/>
        </w:rPr>
        <w:t>Local x Nuvem</w:t>
      </w:r>
      <w:r>
        <w:t xml:space="preserve"> antes de investir em identidade final;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4. </w:t>
      </w:r>
      <w:r>
        <w:t>testar RP-03/RP-06 para garantir que o usuário realmente entende “para onde o dinheiro foi”;</w:t>
      </w:r>
    </w:p>
    <w:p>
      <w:pPr>
        <w:spacing w:after="30"/>
        <w:ind w:left="403" w:hanging="259"/>
      </w:pPr>
      <w:r>
        <w:rPr>
          <w:b/>
          <w:color w:val="2F5D8A"/>
        </w:rPr>
        <w:t xml:space="preserve">5. </w:t>
      </w:r>
      <w:r>
        <w:t>só depois consolidar um design system compartilhado entre Web/Desktop e adaptação Mobile.</w:t>
      </w:r>
    </w:p>
    <w:p>
      <w:pPr>
        <w:pStyle w:val="Heading1"/>
        <w:pageBreakBefore/>
      </w:pPr>
      <w:r>
        <w:t>24 · Controle do documento</w:t>
      </w:r>
    </w:p>
    <w:p>
      <w:r>
        <w:rPr>
          <w:b/>
        </w:rPr>
        <w:t>Versão:</w:t>
      </w:r>
      <w:r>
        <w:t xml:space="preserve"> 1.0 </w:t>
      </w:r>
      <w:r>
        <w:rPr>
          <w:b/>
        </w:rPr>
        <w:t>Data:</w:t>
      </w:r>
      <w:r>
        <w:t xml:space="preserve"> 05/10/2026 </w:t>
      </w:r>
      <w:r>
        <w:rPr>
          <w:b/>
        </w:rPr>
        <w:t>Fonte de verdade funcional:</w:t>
      </w:r>
      <w:r>
        <w:t xml:space="preserve"> PRD Financial Manager v1.0 </w:t>
      </w:r>
      <w:r>
        <w:rPr>
          <w:b/>
        </w:rPr>
        <w:t>Próximo artefato recomendado:</w:t>
      </w:r>
      <w:r>
        <w:t xml:space="preserve"> modelo de dados/ERD ou wireframes de baixa fidelidade. Pelo plano original do projeto, o próximo documento formal é o </w:t>
      </w:r>
      <w:r>
        <w:rPr>
          <w:b/>
        </w:rPr>
        <w:t>Modelo de Dados/ERD</w:t>
      </w:r>
      <w:r>
        <w:t xml:space="preserve">, seguido pela </w:t>
      </w:r>
      <w:r>
        <w:rPr>
          <w:b/>
        </w:rPr>
        <w:t>Arquitetura Técnica do MVP</w:t>
      </w:r>
      <w:r>
        <w:t>.</w:t>
      </w:r>
    </w:p>
    <w:p>
      <w:r>
        <w:t>Alterações futuras que mudem o escopo funcional devem atualizar primeiro o PRD ou registrar explicitamente a decisão e, em seguida, revisar os IDs de telas/fluxos afetados neste documento.</w:t>
      </w:r>
    </w:p>
    <w:p>
      <w:pPr>
        <w:spacing w:before="360"/>
        <w:jc w:val="center"/>
      </w:pPr>
      <w:r>
        <w:rPr>
          <w:i/>
          <w:color w:val="657681"/>
          <w:sz w:val="16"/>
        </w:rPr>
        <w:t>— fim do documento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681"/>
        <w:sz w:val="15"/>
      </w:rPr>
      <w:t xml:space="preserve">05/10/2026   ·   </w:t>
    </w:r>
    <w:r>
      <w:rPr>
        <w:color w:val="657681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57681"/>
        <w:sz w:val="15"/>
      </w:rPr>
      <w:t>FINANCIAL MANAGER  ·  MAPA DE TELAS E FLUXOS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131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D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0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E7A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pageBreakBefore w:val="0"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/>
      <w:i/>
      <w:iCs/>
      <w:color w:val="1E7A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Meta">
    <w:name w:val="Doc Meta"/>
    <w:pPr>
      <w:spacing w:after="40"/>
    </w:pPr>
    <w:rPr>
      <w:rFonts w:ascii="Aptos" w:hAnsi="Aptos"/>
      <w:color w:val="657681"/>
      <w:sz w:val="18"/>
    </w:rPr>
  </w:style>
  <w:style w:type="paragraph" w:customStyle="1" w:styleId="CodeFlow">
    <w:name w:val="Code Flow"/>
    <w:pPr>
      <w:spacing w:before="40" w:after="40"/>
      <w:ind w:left="173" w:right="173"/>
    </w:pPr>
    <w:rPr>
      <w:rFonts w:ascii="Consolas" w:hAnsi="Consolas"/>
      <w:color w:val="21313C"/>
      <w:sz w:val="16"/>
    </w:rPr>
  </w:style>
  <w:style w:type="paragraph" w:customStyle="1" w:styleId="SmallNote">
    <w:name w:val="Small Note"/>
    <w:pPr>
      <w:spacing w:after="60"/>
    </w:pPr>
    <w:rPr>
      <w:rFonts w:ascii="Aptos" w:hAnsi="Aptos"/>
      <w:color w:val="65768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Manager — Mapa de Telas e Fluxos v1.0</dc:title>
  <dc:subject>Arquitetura de informação e fluxos do MVP</dc:subject>
  <dc:creator>Financial Manager</dc:creator>
  <cp:keywords>Financial Manager, UX, mapa de telas, fluxos, MVP,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