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FAFF" w14:textId="6C1501B8" w:rsidR="009D2EBB" w:rsidRPr="000F62E5" w:rsidRDefault="000F62E5" w:rsidP="009D2EBB">
      <w:pPr>
        <w:ind w:firstLineChars="0" w:firstLine="0"/>
        <w:jc w:val="center"/>
        <w:rPr>
          <w:rFonts w:ascii="宋体" w:eastAsia="宋体" w:hAnsi="宋体"/>
          <w:b/>
          <w:bCs/>
          <w:sz w:val="28"/>
          <w:szCs w:val="28"/>
        </w:rPr>
      </w:pPr>
      <w:r w:rsidRPr="000F62E5">
        <w:rPr>
          <w:rFonts w:ascii="宋体" w:eastAsia="宋体" w:hAnsi="宋体" w:hint="eastAsia"/>
          <w:b/>
          <w:bCs/>
          <w:sz w:val="28"/>
          <w:szCs w:val="28"/>
        </w:rPr>
        <w:t>河北省8月群众留言分析</w:t>
      </w:r>
    </w:p>
    <w:p w14:paraId="7954BFAA" w14:textId="45EADC7D" w:rsidR="000F62E5" w:rsidRDefault="009D2EBB" w:rsidP="000F62E5">
      <w:pPr>
        <w:spacing w:line="240" w:lineRule="auto"/>
        <w:ind w:firstLine="360"/>
        <w:rPr>
          <w:rFonts w:ascii="宋体" w:eastAsia="宋体" w:hAnsi="宋体" w:cs="Segoe UI"/>
          <w:color w:val="1C1917"/>
          <w:sz w:val="18"/>
          <w:szCs w:val="18"/>
          <w:shd w:val="clear" w:color="auto" w:fill="FFFFFF"/>
        </w:rPr>
      </w:pPr>
      <w:r>
        <w:rPr>
          <w:rFonts w:ascii="宋体" w:eastAsia="宋体" w:hAnsi="宋体" w:cs="Segoe UI" w:hint="eastAsia"/>
          <w:color w:val="1C1917"/>
          <w:sz w:val="18"/>
          <w:szCs w:val="18"/>
          <w:shd w:val="clear" w:color="auto" w:fill="FFFFFF"/>
        </w:rPr>
        <w:t>图1</w:t>
      </w:r>
      <w:r>
        <w:rPr>
          <w:rFonts w:ascii="宋体" w:eastAsia="宋体" w:hAnsi="宋体" w:cs="Segoe UI"/>
          <w:color w:val="1C1917"/>
          <w:sz w:val="18"/>
          <w:szCs w:val="18"/>
          <w:shd w:val="clear" w:color="auto" w:fill="FFFFFF"/>
        </w:rPr>
        <w:t xml:space="preserve">.1 </w:t>
      </w:r>
      <w:r>
        <w:rPr>
          <w:rFonts w:ascii="宋体" w:eastAsia="宋体" w:hAnsi="宋体" w:cs="Segoe UI" w:hint="eastAsia"/>
          <w:color w:val="1C1917"/>
          <w:sz w:val="18"/>
          <w:szCs w:val="18"/>
          <w:shd w:val="clear" w:color="auto" w:fill="FFFFFF"/>
        </w:rPr>
        <w:t>统计了不同类型留言的数量占比其中</w:t>
      </w:r>
      <w:proofErr w:type="gramStart"/>
      <w:r>
        <w:rPr>
          <w:rFonts w:ascii="宋体" w:eastAsia="宋体" w:hAnsi="宋体" w:cs="Segoe UI" w:hint="eastAsia"/>
          <w:color w:val="1C1917"/>
          <w:sz w:val="18"/>
          <w:szCs w:val="18"/>
          <w:shd w:val="clear" w:color="auto" w:fill="FFFFFF"/>
        </w:rPr>
        <w:t>城建占</w:t>
      </w:r>
      <w:proofErr w:type="gramEnd"/>
      <w:r>
        <w:rPr>
          <w:rFonts w:ascii="宋体" w:eastAsia="宋体" w:hAnsi="宋体" w:cs="Segoe UI" w:hint="eastAsia"/>
          <w:color w:val="1C1917"/>
          <w:sz w:val="18"/>
          <w:szCs w:val="18"/>
          <w:shd w:val="clear" w:color="auto" w:fill="FFFFFF"/>
        </w:rPr>
        <w:t>比最高总数为1</w:t>
      </w:r>
      <w:r>
        <w:rPr>
          <w:rFonts w:ascii="宋体" w:eastAsia="宋体" w:hAnsi="宋体" w:cs="Segoe UI"/>
          <w:color w:val="1C1917"/>
          <w:sz w:val="18"/>
          <w:szCs w:val="18"/>
          <w:shd w:val="clear" w:color="auto" w:fill="FFFFFF"/>
        </w:rPr>
        <w:t>410</w:t>
      </w:r>
      <w:r>
        <w:rPr>
          <w:rFonts w:ascii="宋体" w:eastAsia="宋体" w:hAnsi="宋体" w:cs="Segoe UI" w:hint="eastAsia"/>
          <w:color w:val="1C1917"/>
          <w:sz w:val="18"/>
          <w:szCs w:val="18"/>
          <w:shd w:val="clear" w:color="auto" w:fill="FFFFFF"/>
        </w:rPr>
        <w:t>条，其次是交通2</w:t>
      </w:r>
      <w:r>
        <w:rPr>
          <w:rFonts w:ascii="宋体" w:eastAsia="宋体" w:hAnsi="宋体" w:cs="Segoe UI"/>
          <w:color w:val="1C1917"/>
          <w:sz w:val="18"/>
          <w:szCs w:val="18"/>
          <w:shd w:val="clear" w:color="auto" w:fill="FFFFFF"/>
        </w:rPr>
        <w:t>83</w:t>
      </w:r>
      <w:r>
        <w:rPr>
          <w:rFonts w:ascii="宋体" w:eastAsia="宋体" w:hAnsi="宋体" w:cs="Segoe UI" w:hint="eastAsia"/>
          <w:color w:val="1C1917"/>
          <w:sz w:val="18"/>
          <w:szCs w:val="18"/>
          <w:shd w:val="clear" w:color="auto" w:fill="FFFFFF"/>
        </w:rPr>
        <w:t>条、政务1</w:t>
      </w:r>
      <w:r>
        <w:rPr>
          <w:rFonts w:ascii="宋体" w:eastAsia="宋体" w:hAnsi="宋体" w:cs="Segoe UI"/>
          <w:color w:val="1C1917"/>
          <w:sz w:val="18"/>
          <w:szCs w:val="18"/>
          <w:shd w:val="clear" w:color="auto" w:fill="FFFFFF"/>
        </w:rPr>
        <w:t>84</w:t>
      </w:r>
      <w:r>
        <w:rPr>
          <w:rFonts w:ascii="宋体" w:eastAsia="宋体" w:hAnsi="宋体" w:cs="Segoe UI" w:hint="eastAsia"/>
          <w:color w:val="1C1917"/>
          <w:sz w:val="18"/>
          <w:szCs w:val="18"/>
          <w:shd w:val="clear" w:color="auto" w:fill="FFFFFF"/>
        </w:rPr>
        <w:t>条、教育1</w:t>
      </w:r>
      <w:r>
        <w:rPr>
          <w:rFonts w:ascii="宋体" w:eastAsia="宋体" w:hAnsi="宋体" w:cs="Segoe UI"/>
          <w:color w:val="1C1917"/>
          <w:sz w:val="18"/>
          <w:szCs w:val="18"/>
          <w:shd w:val="clear" w:color="auto" w:fill="FFFFFF"/>
        </w:rPr>
        <w:t>82</w:t>
      </w:r>
      <w:r>
        <w:rPr>
          <w:rFonts w:ascii="宋体" w:eastAsia="宋体" w:hAnsi="宋体" w:cs="Segoe UI" w:hint="eastAsia"/>
          <w:color w:val="1C1917"/>
          <w:sz w:val="18"/>
          <w:szCs w:val="18"/>
          <w:shd w:val="clear" w:color="auto" w:fill="FFFFFF"/>
        </w:rPr>
        <w:t>条、企业1</w:t>
      </w:r>
      <w:r>
        <w:rPr>
          <w:rFonts w:ascii="宋体" w:eastAsia="宋体" w:hAnsi="宋体" w:cs="Segoe UI"/>
          <w:color w:val="1C1917"/>
          <w:sz w:val="18"/>
          <w:szCs w:val="18"/>
          <w:shd w:val="clear" w:color="auto" w:fill="FFFFFF"/>
        </w:rPr>
        <w:t>12</w:t>
      </w:r>
      <w:r>
        <w:rPr>
          <w:rFonts w:ascii="宋体" w:eastAsia="宋体" w:hAnsi="宋体" w:cs="Segoe UI" w:hint="eastAsia"/>
          <w:color w:val="1C1917"/>
          <w:sz w:val="18"/>
          <w:szCs w:val="18"/>
          <w:shd w:val="clear" w:color="auto" w:fill="FFFFFF"/>
        </w:rPr>
        <w:t>条、三农1</w:t>
      </w:r>
      <w:r>
        <w:rPr>
          <w:rFonts w:ascii="宋体" w:eastAsia="宋体" w:hAnsi="宋体" w:cs="Segoe UI"/>
          <w:color w:val="1C1917"/>
          <w:sz w:val="18"/>
          <w:szCs w:val="18"/>
          <w:shd w:val="clear" w:color="auto" w:fill="FFFFFF"/>
        </w:rPr>
        <w:t>06</w:t>
      </w:r>
      <w:r>
        <w:rPr>
          <w:rFonts w:ascii="宋体" w:eastAsia="宋体" w:hAnsi="宋体" w:cs="Segoe UI" w:hint="eastAsia"/>
          <w:color w:val="1C1917"/>
          <w:sz w:val="18"/>
          <w:szCs w:val="18"/>
          <w:shd w:val="clear" w:color="auto" w:fill="FFFFFF"/>
        </w:rPr>
        <w:t>条、就业1</w:t>
      </w:r>
      <w:r>
        <w:rPr>
          <w:rFonts w:ascii="宋体" w:eastAsia="宋体" w:hAnsi="宋体" w:cs="Segoe UI"/>
          <w:color w:val="1C1917"/>
          <w:sz w:val="18"/>
          <w:szCs w:val="18"/>
          <w:shd w:val="clear" w:color="auto" w:fill="FFFFFF"/>
        </w:rPr>
        <w:t>03</w:t>
      </w:r>
      <w:r>
        <w:rPr>
          <w:rFonts w:ascii="宋体" w:eastAsia="宋体" w:hAnsi="宋体" w:cs="Segoe UI" w:hint="eastAsia"/>
          <w:color w:val="1C1917"/>
          <w:sz w:val="18"/>
          <w:szCs w:val="18"/>
          <w:shd w:val="clear" w:color="auto" w:fill="FFFFFF"/>
        </w:rPr>
        <w:t>等类型的占比。</w:t>
      </w:r>
      <w:r w:rsidRPr="009D2EBB">
        <w:rPr>
          <w:rFonts w:ascii="宋体" w:eastAsia="宋体" w:hAnsi="宋体" w:cs="Segoe UI" w:hint="eastAsia"/>
          <w:color w:val="1C1917"/>
          <w:sz w:val="18"/>
          <w:szCs w:val="18"/>
          <w:shd w:val="clear" w:color="auto" w:fill="FFFFFF"/>
        </w:rPr>
        <w:t>根据提供的统计数据，河北省的群众留言分布显示出了一系列关注领域和社会关切。城建类留言数量最高，这可能表明城市基础设施建设、城市规划等方面的问题备受瞩目。其次是交通类留言，这反映出交通拥堵、道路安全等问题的普遍关切。政务、教育、企业、三农和就业类留言也占有一定比例，这表明政府效能、教育质量、经济发展、农村问题和就业机会等多个领域都引发了群众的担忧和留言反馈。这些数据为政府决策者提供了宝贵的信息，可用于优化政策、改进公共服务，以满足人民的需求，同时也凸显了社会各界对这些领域的重要关切，需要持续的政策和资源支持来解决相关问题。</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F62E5" w14:paraId="6CE8CCFA" w14:textId="77777777" w:rsidTr="000F62E5">
        <w:tc>
          <w:tcPr>
            <w:tcW w:w="8296" w:type="dxa"/>
          </w:tcPr>
          <w:p w14:paraId="5650981F" w14:textId="25631C88" w:rsidR="000F62E5" w:rsidRDefault="000F62E5" w:rsidP="000F62E5">
            <w:pPr>
              <w:spacing w:line="240" w:lineRule="auto"/>
              <w:ind w:firstLineChars="0" w:firstLine="0"/>
              <w:jc w:val="center"/>
              <w:rPr>
                <w:rFonts w:ascii="宋体" w:eastAsia="宋体" w:hAnsi="宋体"/>
                <w:sz w:val="18"/>
                <w:szCs w:val="18"/>
              </w:rPr>
            </w:pPr>
            <w:r>
              <w:rPr>
                <w:noProof/>
              </w:rPr>
              <w:drawing>
                <wp:inline distT="0" distB="0" distL="0" distR="0" wp14:anchorId="664A4F57" wp14:editId="4BD2B6D0">
                  <wp:extent cx="5274310" cy="3164840"/>
                  <wp:effectExtent l="0" t="0" r="2540" b="0"/>
                  <wp:docPr id="1609710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tc>
      </w:tr>
      <w:tr w:rsidR="000F62E5" w14:paraId="0E714A84" w14:textId="77777777" w:rsidTr="000F62E5">
        <w:tc>
          <w:tcPr>
            <w:tcW w:w="8296" w:type="dxa"/>
          </w:tcPr>
          <w:p w14:paraId="3A0C8C5B" w14:textId="4A24D850" w:rsidR="000F62E5" w:rsidRPr="000F62E5" w:rsidRDefault="000F62E5" w:rsidP="000F62E5">
            <w:pPr>
              <w:spacing w:line="240" w:lineRule="auto"/>
              <w:ind w:firstLineChars="0" w:firstLine="0"/>
              <w:jc w:val="center"/>
              <w:rPr>
                <w:rFonts w:ascii="黑体" w:eastAsia="黑体" w:hAnsi="黑体"/>
                <w:sz w:val="15"/>
                <w:szCs w:val="15"/>
              </w:rPr>
            </w:pPr>
            <w:r w:rsidRPr="000F62E5">
              <w:rPr>
                <w:rFonts w:ascii="黑体" w:eastAsia="黑体" w:hAnsi="黑体" w:hint="eastAsia"/>
                <w:sz w:val="15"/>
                <w:szCs w:val="15"/>
              </w:rPr>
              <w:t>图1</w:t>
            </w:r>
            <w:r w:rsidRPr="000F62E5">
              <w:rPr>
                <w:rFonts w:ascii="黑体" w:eastAsia="黑体" w:hAnsi="黑体"/>
                <w:sz w:val="15"/>
                <w:szCs w:val="15"/>
              </w:rPr>
              <w:t xml:space="preserve">.1 </w:t>
            </w:r>
            <w:r w:rsidRPr="000F62E5">
              <w:rPr>
                <w:rFonts w:ascii="黑体" w:eastAsia="黑体" w:hAnsi="黑体" w:hint="eastAsia"/>
                <w:sz w:val="15"/>
                <w:szCs w:val="15"/>
              </w:rPr>
              <w:t>河北省不同种类留言统计</w:t>
            </w:r>
          </w:p>
        </w:tc>
      </w:tr>
    </w:tbl>
    <w:p w14:paraId="3A972ED3" w14:textId="77777777" w:rsidR="00AA12DD" w:rsidRDefault="00AA12DD" w:rsidP="00AA12DD">
      <w:pPr>
        <w:spacing w:line="240" w:lineRule="auto"/>
        <w:ind w:firstLine="360"/>
        <w:rPr>
          <w:rFonts w:ascii="宋体" w:eastAsia="宋体" w:hAnsi="宋体"/>
          <w:sz w:val="18"/>
          <w:szCs w:val="18"/>
        </w:rPr>
      </w:pPr>
      <w:r w:rsidRPr="00AA12DD">
        <w:rPr>
          <w:rFonts w:ascii="宋体" w:eastAsia="宋体" w:hAnsi="宋体" w:hint="eastAsia"/>
          <w:sz w:val="18"/>
          <w:szCs w:val="18"/>
        </w:rPr>
        <w:t>根据图1.2的统计数据，不同季节下不同类型的留言数量占比呈现出明显的季节性趋势。在夏季，城建、环保、治安、教育、政务、就业、旅游等类别的</w:t>
      </w:r>
      <w:proofErr w:type="gramStart"/>
      <w:r w:rsidRPr="00AA12DD">
        <w:rPr>
          <w:rFonts w:ascii="宋体" w:eastAsia="宋体" w:hAnsi="宋体" w:hint="eastAsia"/>
          <w:sz w:val="18"/>
          <w:szCs w:val="18"/>
        </w:rPr>
        <w:t>留言占比较</w:t>
      </w:r>
      <w:proofErr w:type="gramEnd"/>
      <w:r w:rsidRPr="00AA12DD">
        <w:rPr>
          <w:rFonts w:ascii="宋体" w:eastAsia="宋体" w:hAnsi="宋体" w:hint="eastAsia"/>
          <w:sz w:val="18"/>
          <w:szCs w:val="18"/>
        </w:rPr>
        <w:t>大，这可能反映了夏季季节性的社会关切。</w:t>
      </w:r>
    </w:p>
    <w:p w14:paraId="572D64FE" w14:textId="0402867A" w:rsidR="00AA12DD" w:rsidRPr="00AA12DD" w:rsidRDefault="00AA12DD" w:rsidP="00AA12DD">
      <w:pPr>
        <w:spacing w:line="240" w:lineRule="auto"/>
        <w:ind w:firstLine="360"/>
        <w:rPr>
          <w:rFonts w:ascii="宋体" w:eastAsia="宋体" w:hAnsi="宋体"/>
          <w:sz w:val="18"/>
          <w:szCs w:val="18"/>
        </w:rPr>
      </w:pPr>
      <w:r w:rsidRPr="00AA12DD">
        <w:rPr>
          <w:rFonts w:ascii="宋体" w:eastAsia="宋体" w:hAnsi="宋体" w:hint="eastAsia"/>
          <w:sz w:val="18"/>
          <w:szCs w:val="18"/>
        </w:rPr>
        <w:t>夏季是城市基础设施建设和环境保护等方面的重要时段，同时也是旅游旺季，因此人们更加关心城市发展、环保问题以及治安和旅游服务等方面。此外，夏季也与学校放假、招聘季节有关，因此教育和就业问题也备受关注。</w:t>
      </w:r>
    </w:p>
    <w:p w14:paraId="1D228BF1" w14:textId="3868728D" w:rsidR="00AA12DD" w:rsidRPr="00AA12DD" w:rsidRDefault="00AA12DD" w:rsidP="00AA12DD">
      <w:pPr>
        <w:spacing w:line="240" w:lineRule="auto"/>
        <w:ind w:firstLine="360"/>
        <w:rPr>
          <w:rFonts w:ascii="宋体" w:eastAsia="宋体" w:hAnsi="宋体"/>
          <w:sz w:val="18"/>
          <w:szCs w:val="18"/>
        </w:rPr>
      </w:pPr>
      <w:r w:rsidRPr="00AA12DD">
        <w:rPr>
          <w:rFonts w:ascii="宋体" w:eastAsia="宋体" w:hAnsi="宋体" w:hint="eastAsia"/>
          <w:sz w:val="18"/>
          <w:szCs w:val="18"/>
        </w:rPr>
        <w:t>而在秋季，城建和教育类</w:t>
      </w:r>
      <w:proofErr w:type="gramStart"/>
      <w:r w:rsidRPr="00AA12DD">
        <w:rPr>
          <w:rFonts w:ascii="宋体" w:eastAsia="宋体" w:hAnsi="宋体" w:hint="eastAsia"/>
          <w:sz w:val="18"/>
          <w:szCs w:val="18"/>
        </w:rPr>
        <w:t>留言占比较</w:t>
      </w:r>
      <w:proofErr w:type="gramEnd"/>
      <w:r w:rsidRPr="00AA12DD">
        <w:rPr>
          <w:rFonts w:ascii="宋体" w:eastAsia="宋体" w:hAnsi="宋体" w:hint="eastAsia"/>
          <w:sz w:val="18"/>
          <w:szCs w:val="18"/>
        </w:rPr>
        <w:t>大，这可能与新学年的开始以及城市规划项目的实施有关。新学年意味着学校和教育机构可能需要应对新的挑战和需求，同时城市可能推进建设项目，这两个因素可能导致城建和教育问题在秋季更为突出。</w:t>
      </w:r>
    </w:p>
    <w:p w14:paraId="3E98E76B" w14:textId="515F6109" w:rsidR="000F62E5" w:rsidRDefault="00AA12DD" w:rsidP="00AA12DD">
      <w:pPr>
        <w:spacing w:line="240" w:lineRule="auto"/>
        <w:ind w:firstLine="360"/>
        <w:rPr>
          <w:rFonts w:ascii="宋体" w:eastAsia="宋体" w:hAnsi="宋体"/>
          <w:sz w:val="18"/>
          <w:szCs w:val="18"/>
        </w:rPr>
      </w:pPr>
      <w:r w:rsidRPr="00AA12DD">
        <w:rPr>
          <w:rFonts w:ascii="宋体" w:eastAsia="宋体" w:hAnsi="宋体" w:hint="eastAsia"/>
          <w:sz w:val="18"/>
          <w:szCs w:val="18"/>
        </w:rPr>
        <w:t>这些季节性趋势提供了有关公众关切和需求如何随季节而变化的有用见解。政府和相关机构可以利用这些信息来调整政策重点和资源分配，以更好地满足不同季节的公众需求，提高政府的响应能力。同时，也强调了季节因素在社会和政策议程中的重要性，需要考虑季节性变化来更有效地管理各种社会问题。</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A12DD" w14:paraId="50FD4C7C" w14:textId="77777777" w:rsidTr="00AA12DD">
        <w:tc>
          <w:tcPr>
            <w:tcW w:w="8296" w:type="dxa"/>
          </w:tcPr>
          <w:p w14:paraId="727A1826" w14:textId="66C80AE6" w:rsidR="00AA12DD" w:rsidRDefault="00AA12DD" w:rsidP="00AA12DD">
            <w:pPr>
              <w:spacing w:line="240" w:lineRule="auto"/>
              <w:ind w:firstLineChars="0" w:firstLine="0"/>
              <w:jc w:val="center"/>
              <w:rPr>
                <w:rFonts w:ascii="宋体" w:eastAsia="宋体" w:hAnsi="宋体"/>
                <w:sz w:val="18"/>
                <w:szCs w:val="18"/>
              </w:rPr>
            </w:pPr>
            <w:r>
              <w:rPr>
                <w:noProof/>
              </w:rPr>
              <w:drawing>
                <wp:inline distT="0" distB="0" distL="0" distR="0" wp14:anchorId="23571710" wp14:editId="5A606935">
                  <wp:extent cx="4293704" cy="2146852"/>
                  <wp:effectExtent l="0" t="0" r="0" b="6350"/>
                  <wp:docPr id="1350304058" name="图片 1350304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7948" cy="2153974"/>
                          </a:xfrm>
                          <a:prstGeom prst="rect">
                            <a:avLst/>
                          </a:prstGeom>
                          <a:noFill/>
                          <a:ln>
                            <a:noFill/>
                          </a:ln>
                        </pic:spPr>
                      </pic:pic>
                    </a:graphicData>
                  </a:graphic>
                </wp:inline>
              </w:drawing>
            </w:r>
          </w:p>
        </w:tc>
      </w:tr>
      <w:tr w:rsidR="00AA12DD" w14:paraId="6D322964" w14:textId="77777777" w:rsidTr="00AA12DD">
        <w:tc>
          <w:tcPr>
            <w:tcW w:w="8296" w:type="dxa"/>
          </w:tcPr>
          <w:p w14:paraId="206C136E" w14:textId="10A116AA" w:rsidR="00AA12DD" w:rsidRPr="00AA12DD" w:rsidRDefault="00AA12DD" w:rsidP="00AA12DD">
            <w:pPr>
              <w:spacing w:line="240" w:lineRule="auto"/>
              <w:ind w:firstLineChars="0" w:firstLine="0"/>
              <w:jc w:val="center"/>
              <w:rPr>
                <w:rFonts w:ascii="黑体" w:eastAsia="黑体" w:hAnsi="黑体"/>
                <w:sz w:val="15"/>
                <w:szCs w:val="15"/>
              </w:rPr>
            </w:pPr>
            <w:r w:rsidRPr="00AA12DD">
              <w:rPr>
                <w:rFonts w:ascii="黑体" w:eastAsia="黑体" w:hAnsi="黑体" w:hint="eastAsia"/>
                <w:sz w:val="15"/>
                <w:szCs w:val="15"/>
              </w:rPr>
              <w:t>图1</w:t>
            </w:r>
            <w:r w:rsidRPr="00AA12DD">
              <w:rPr>
                <w:rFonts w:ascii="黑体" w:eastAsia="黑体" w:hAnsi="黑体"/>
                <w:sz w:val="15"/>
                <w:szCs w:val="15"/>
              </w:rPr>
              <w:t xml:space="preserve">.2 </w:t>
            </w:r>
            <w:r w:rsidRPr="00AA12DD">
              <w:rPr>
                <w:rFonts w:ascii="黑体" w:eastAsia="黑体" w:hAnsi="黑体" w:hint="eastAsia"/>
                <w:sz w:val="15"/>
                <w:szCs w:val="15"/>
              </w:rPr>
              <w:t>不同季节不同类型留言数量占比图</w:t>
            </w:r>
          </w:p>
        </w:tc>
      </w:tr>
    </w:tbl>
    <w:p w14:paraId="7C8C6D02" w14:textId="0DDD354F" w:rsidR="00AA12DD" w:rsidRPr="00AA12DD" w:rsidRDefault="00AA12DD" w:rsidP="00AA12DD">
      <w:pPr>
        <w:spacing w:line="240" w:lineRule="auto"/>
        <w:ind w:firstLine="360"/>
        <w:rPr>
          <w:rFonts w:ascii="宋体" w:eastAsia="宋体" w:hAnsi="宋体"/>
          <w:sz w:val="18"/>
          <w:szCs w:val="18"/>
        </w:rPr>
      </w:pPr>
      <w:r>
        <w:rPr>
          <w:rFonts w:ascii="宋体" w:eastAsia="宋体" w:hAnsi="宋体" w:hint="eastAsia"/>
          <w:sz w:val="18"/>
          <w:szCs w:val="18"/>
        </w:rPr>
        <w:lastRenderedPageBreak/>
        <w:t>如图1</w:t>
      </w:r>
      <w:r>
        <w:rPr>
          <w:rFonts w:ascii="宋体" w:eastAsia="宋体" w:hAnsi="宋体"/>
          <w:sz w:val="18"/>
          <w:szCs w:val="18"/>
        </w:rPr>
        <w:t>.</w:t>
      </w:r>
      <w:proofErr w:type="gramStart"/>
      <w:r>
        <w:rPr>
          <w:rFonts w:ascii="宋体" w:eastAsia="宋体" w:hAnsi="宋体"/>
          <w:sz w:val="18"/>
          <w:szCs w:val="18"/>
        </w:rPr>
        <w:t>3</w:t>
      </w:r>
      <w:r>
        <w:rPr>
          <w:rFonts w:ascii="宋体" w:eastAsia="宋体" w:hAnsi="宋体" w:hint="eastAsia"/>
          <w:sz w:val="18"/>
          <w:szCs w:val="18"/>
        </w:rPr>
        <w:t>所示</w:t>
      </w:r>
      <w:r w:rsidRPr="00AA12DD">
        <w:rPr>
          <w:rFonts w:ascii="宋体" w:eastAsia="宋体" w:hAnsi="宋体" w:hint="eastAsia"/>
          <w:sz w:val="18"/>
          <w:szCs w:val="18"/>
        </w:rPr>
        <w:t>各城市</w:t>
      </w:r>
      <w:proofErr w:type="gramEnd"/>
      <w:r w:rsidRPr="00AA12DD">
        <w:rPr>
          <w:rFonts w:ascii="宋体" w:eastAsia="宋体" w:hAnsi="宋体" w:hint="eastAsia"/>
          <w:sz w:val="18"/>
          <w:szCs w:val="18"/>
        </w:rPr>
        <w:t>的群众留言回复率呈现了多种不同的情况，可以从多维度进行分析</w:t>
      </w:r>
      <w:r>
        <w:rPr>
          <w:rFonts w:ascii="宋体" w:eastAsia="宋体" w:hAnsi="宋体" w:hint="eastAsia"/>
          <w:sz w:val="18"/>
          <w:szCs w:val="18"/>
        </w:rPr>
        <w:t>。</w:t>
      </w:r>
    </w:p>
    <w:p w14:paraId="01D2A9BD" w14:textId="7A52C3AE" w:rsidR="00AA12DD" w:rsidRPr="00AA12DD" w:rsidRDefault="00AA12DD" w:rsidP="00AA12DD">
      <w:pPr>
        <w:spacing w:line="240" w:lineRule="auto"/>
        <w:ind w:firstLine="360"/>
        <w:rPr>
          <w:rFonts w:ascii="宋体" w:eastAsia="宋体" w:hAnsi="宋体"/>
          <w:sz w:val="18"/>
          <w:szCs w:val="18"/>
        </w:rPr>
      </w:pPr>
      <w:r w:rsidRPr="00AA12DD">
        <w:rPr>
          <w:rFonts w:ascii="宋体" w:eastAsia="宋体" w:hAnsi="宋体" w:hint="eastAsia"/>
          <w:sz w:val="18"/>
          <w:szCs w:val="18"/>
        </w:rPr>
        <w:t>政府关注程度：</w:t>
      </w:r>
      <w:proofErr w:type="gramStart"/>
      <w:r w:rsidRPr="00AA12DD">
        <w:rPr>
          <w:rFonts w:ascii="宋体" w:eastAsia="宋体" w:hAnsi="宋体" w:hint="eastAsia"/>
          <w:sz w:val="18"/>
          <w:szCs w:val="18"/>
        </w:rPr>
        <w:t>雄安新区</w:t>
      </w:r>
      <w:proofErr w:type="gramEnd"/>
      <w:r w:rsidRPr="00AA12DD">
        <w:rPr>
          <w:rFonts w:ascii="宋体" w:eastAsia="宋体" w:hAnsi="宋体" w:hint="eastAsia"/>
          <w:sz w:val="18"/>
          <w:szCs w:val="18"/>
        </w:rPr>
        <w:t>、张家口、邢台和河北省整体回复率较高，显示政府对群众留言有较高的关注程度，积极回应市民需求，而唐山和承德的回复率较低，可能需要政府进一步关注市民的反馈。</w:t>
      </w:r>
    </w:p>
    <w:p w14:paraId="1AB5BEA7" w14:textId="5429DBF4" w:rsidR="00AA12DD" w:rsidRPr="00AA12DD" w:rsidRDefault="00AA12DD" w:rsidP="00AA12DD">
      <w:pPr>
        <w:spacing w:line="240" w:lineRule="auto"/>
        <w:ind w:firstLine="360"/>
        <w:rPr>
          <w:rFonts w:ascii="宋体" w:eastAsia="宋体" w:hAnsi="宋体"/>
          <w:sz w:val="18"/>
          <w:szCs w:val="18"/>
        </w:rPr>
      </w:pPr>
      <w:r w:rsidRPr="00AA12DD">
        <w:rPr>
          <w:rFonts w:ascii="宋体" w:eastAsia="宋体" w:hAnsi="宋体" w:hint="eastAsia"/>
          <w:sz w:val="18"/>
          <w:szCs w:val="18"/>
        </w:rPr>
        <w:t>地区差异：不同城市的回复</w:t>
      </w:r>
      <w:proofErr w:type="gramStart"/>
      <w:r w:rsidRPr="00AA12DD">
        <w:rPr>
          <w:rFonts w:ascii="宋体" w:eastAsia="宋体" w:hAnsi="宋体" w:hint="eastAsia"/>
          <w:sz w:val="18"/>
          <w:szCs w:val="18"/>
        </w:rPr>
        <w:t>率存在</w:t>
      </w:r>
      <w:proofErr w:type="gramEnd"/>
      <w:r w:rsidRPr="00AA12DD">
        <w:rPr>
          <w:rFonts w:ascii="宋体" w:eastAsia="宋体" w:hAnsi="宋体" w:hint="eastAsia"/>
          <w:sz w:val="18"/>
          <w:szCs w:val="18"/>
        </w:rPr>
        <w:t>明显的地区差异，这可能受到地区发展水平、政府资源分配等因素的影响。一些较大的城市如石家庄、保定和廊坊，在回复率方面表现中等，而一些小型城市</w:t>
      </w:r>
      <w:proofErr w:type="gramStart"/>
      <w:r w:rsidRPr="00AA12DD">
        <w:rPr>
          <w:rFonts w:ascii="宋体" w:eastAsia="宋体" w:hAnsi="宋体" w:hint="eastAsia"/>
          <w:sz w:val="18"/>
          <w:szCs w:val="18"/>
        </w:rPr>
        <w:t>如雄安</w:t>
      </w:r>
      <w:proofErr w:type="gramEnd"/>
      <w:r w:rsidRPr="00AA12DD">
        <w:rPr>
          <w:rFonts w:ascii="宋体" w:eastAsia="宋体" w:hAnsi="宋体" w:hint="eastAsia"/>
          <w:sz w:val="18"/>
          <w:szCs w:val="18"/>
        </w:rPr>
        <w:t>新区、张家口和邢台则取得了较高的回复率。</w:t>
      </w:r>
    </w:p>
    <w:p w14:paraId="7ADECFAD" w14:textId="64E7EF4A" w:rsidR="00AA12DD" w:rsidRPr="00AA12DD" w:rsidRDefault="00AA12DD" w:rsidP="00AA12DD">
      <w:pPr>
        <w:spacing w:line="240" w:lineRule="auto"/>
        <w:ind w:firstLine="360"/>
        <w:rPr>
          <w:rFonts w:ascii="宋体" w:eastAsia="宋体" w:hAnsi="宋体"/>
          <w:sz w:val="18"/>
          <w:szCs w:val="18"/>
        </w:rPr>
      </w:pPr>
      <w:r w:rsidRPr="00AA12DD">
        <w:rPr>
          <w:rFonts w:ascii="宋体" w:eastAsia="宋体" w:hAnsi="宋体" w:hint="eastAsia"/>
          <w:sz w:val="18"/>
          <w:szCs w:val="18"/>
        </w:rPr>
        <w:t>透明度和信任：高回复率的城市可能在市民中建立了更高的透明度和信任度，市民更愿意与政府进行互动和反馈。这有助于促进政府与市民之间的良好关系。</w:t>
      </w:r>
    </w:p>
    <w:p w14:paraId="08D1C8BA" w14:textId="50D220E0" w:rsidR="00AA12DD" w:rsidRDefault="00AA12DD" w:rsidP="00AA12DD">
      <w:pPr>
        <w:spacing w:line="240" w:lineRule="auto"/>
        <w:ind w:firstLine="360"/>
        <w:rPr>
          <w:rFonts w:ascii="宋体" w:eastAsia="宋体" w:hAnsi="宋体"/>
          <w:sz w:val="18"/>
          <w:szCs w:val="18"/>
        </w:rPr>
      </w:pPr>
      <w:r w:rsidRPr="00AA12DD">
        <w:rPr>
          <w:rFonts w:ascii="宋体" w:eastAsia="宋体" w:hAnsi="宋体" w:hint="eastAsia"/>
          <w:sz w:val="18"/>
          <w:szCs w:val="18"/>
        </w:rPr>
        <w:t>政策改进：回复率低的城市有机会通过改进政府的留言回应机制来提高公共服务质量和政策制定的准确性。市民的反馈可以为政府提供改进政策和服务的有用信息。</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A12DD" w14:paraId="7745C892" w14:textId="77777777" w:rsidTr="00AA12DD">
        <w:tc>
          <w:tcPr>
            <w:tcW w:w="8296" w:type="dxa"/>
          </w:tcPr>
          <w:p w14:paraId="029DB56D" w14:textId="752F77DA" w:rsidR="00AA12DD" w:rsidRDefault="00AA12DD" w:rsidP="00AA12DD">
            <w:pPr>
              <w:spacing w:line="240" w:lineRule="auto"/>
              <w:ind w:firstLineChars="0" w:firstLine="0"/>
              <w:jc w:val="center"/>
              <w:rPr>
                <w:rFonts w:ascii="宋体" w:eastAsia="宋体" w:hAnsi="宋体"/>
                <w:sz w:val="18"/>
                <w:szCs w:val="18"/>
              </w:rPr>
            </w:pPr>
            <w:r>
              <w:rPr>
                <w:noProof/>
              </w:rPr>
              <w:drawing>
                <wp:inline distT="0" distB="0" distL="0" distR="0" wp14:anchorId="3915CE45" wp14:editId="14971273">
                  <wp:extent cx="5274310" cy="2637155"/>
                  <wp:effectExtent l="0" t="0" r="2540" b="0"/>
                  <wp:docPr id="11746441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tc>
      </w:tr>
      <w:tr w:rsidR="00AA12DD" w14:paraId="077D0E0F" w14:textId="77777777" w:rsidTr="00AA12DD">
        <w:tc>
          <w:tcPr>
            <w:tcW w:w="8296" w:type="dxa"/>
          </w:tcPr>
          <w:p w14:paraId="4B2C8F2A" w14:textId="233150AD" w:rsidR="00AA12DD" w:rsidRDefault="00AA12DD" w:rsidP="00AA12DD">
            <w:pPr>
              <w:spacing w:line="240" w:lineRule="auto"/>
              <w:ind w:firstLineChars="0" w:firstLine="0"/>
              <w:jc w:val="center"/>
              <w:rPr>
                <w:rFonts w:ascii="宋体" w:eastAsia="宋体" w:hAnsi="宋体"/>
                <w:sz w:val="18"/>
                <w:szCs w:val="18"/>
              </w:rPr>
            </w:pPr>
            <w:r w:rsidRPr="00AA12DD">
              <w:rPr>
                <w:rFonts w:ascii="黑体" w:eastAsia="黑体" w:hAnsi="黑体" w:hint="eastAsia"/>
                <w:sz w:val="15"/>
                <w:szCs w:val="15"/>
              </w:rPr>
              <w:t>图1</w:t>
            </w:r>
            <w:r w:rsidRPr="00AA12DD">
              <w:rPr>
                <w:rFonts w:ascii="黑体" w:eastAsia="黑体" w:hAnsi="黑体"/>
                <w:sz w:val="15"/>
                <w:szCs w:val="15"/>
              </w:rPr>
              <w:t xml:space="preserve">.3 </w:t>
            </w:r>
            <w:r w:rsidRPr="00AA12DD">
              <w:rPr>
                <w:rFonts w:ascii="黑体" w:eastAsia="黑体" w:hAnsi="黑体" w:hint="eastAsia"/>
                <w:sz w:val="15"/>
                <w:szCs w:val="15"/>
              </w:rPr>
              <w:t>各城市回复率</w:t>
            </w:r>
          </w:p>
        </w:tc>
      </w:tr>
    </w:tbl>
    <w:p w14:paraId="4783FC51" w14:textId="714B7F2F" w:rsidR="00AA12DD" w:rsidRDefault="004E6463" w:rsidP="004E6463">
      <w:pPr>
        <w:spacing w:line="240" w:lineRule="auto"/>
        <w:ind w:firstLine="360"/>
        <w:rPr>
          <w:rFonts w:ascii="宋体" w:eastAsia="宋体" w:hAnsi="宋体"/>
          <w:sz w:val="18"/>
          <w:szCs w:val="18"/>
        </w:rPr>
      </w:pPr>
      <w:r>
        <w:rPr>
          <w:rFonts w:ascii="宋体" w:eastAsia="宋体" w:hAnsi="宋体" w:hint="eastAsia"/>
          <w:sz w:val="18"/>
          <w:szCs w:val="18"/>
        </w:rPr>
        <w:t>如图</w:t>
      </w:r>
      <w:r>
        <w:rPr>
          <w:rFonts w:ascii="宋体" w:eastAsia="宋体" w:hAnsi="宋体"/>
          <w:sz w:val="18"/>
          <w:szCs w:val="18"/>
        </w:rPr>
        <w:t>1.4</w:t>
      </w:r>
      <w:r>
        <w:rPr>
          <w:rFonts w:ascii="宋体" w:eastAsia="宋体" w:hAnsi="宋体" w:hint="eastAsia"/>
          <w:sz w:val="18"/>
          <w:szCs w:val="18"/>
        </w:rPr>
        <w:t>所示，</w:t>
      </w:r>
      <w:r w:rsidRPr="004E6463">
        <w:rPr>
          <w:rFonts w:ascii="宋体" w:eastAsia="宋体" w:hAnsi="宋体" w:hint="eastAsia"/>
          <w:sz w:val="18"/>
          <w:szCs w:val="18"/>
        </w:rPr>
        <w:t>河北省各城市在回应市民反馈方面呈现出明显的差异。一些城市如邯郸和承德表现出较快的回复速度，这显示出政府对市民留言的高度敏感和积极回应，有助于建立良好的政府市民互动关系。然而，另一些城市如唐山、张家口和廊坊的回复速度明显较慢，这可能导致市民感到不满，需要政府加强回复机制以改善市民体验。在整个省份层面上，平均回复用时为157.51小时，显示政府整体回复效率有待提高。因此，政府应认真倾听市民的声音，加强对留言的及时回应，提高政府的透明度和效率，以更好地满足市民需求、改善治理质量，并建立互信关系，这对于实现可持续的地方发展和社会稳定至关重要。</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E6463" w14:paraId="0AAAE0EF" w14:textId="77777777" w:rsidTr="004E6463">
        <w:tc>
          <w:tcPr>
            <w:tcW w:w="8296" w:type="dxa"/>
          </w:tcPr>
          <w:p w14:paraId="375673F2" w14:textId="36FC8E54" w:rsidR="004E6463" w:rsidRDefault="004E6463" w:rsidP="004E6463">
            <w:pPr>
              <w:spacing w:line="240" w:lineRule="auto"/>
              <w:ind w:firstLineChars="0" w:firstLine="0"/>
              <w:jc w:val="center"/>
              <w:rPr>
                <w:rFonts w:ascii="宋体" w:eastAsia="宋体" w:hAnsi="宋体"/>
                <w:sz w:val="18"/>
                <w:szCs w:val="18"/>
              </w:rPr>
            </w:pPr>
            <w:r>
              <w:rPr>
                <w:noProof/>
              </w:rPr>
              <w:drawing>
                <wp:inline distT="0" distB="0" distL="0" distR="0" wp14:anchorId="11ECF80C" wp14:editId="4AF49B6E">
                  <wp:extent cx="5274310" cy="2637155"/>
                  <wp:effectExtent l="0" t="0" r="2540" b="0"/>
                  <wp:docPr id="7352995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tc>
      </w:tr>
      <w:tr w:rsidR="004E6463" w14:paraId="59DC8CFC" w14:textId="77777777" w:rsidTr="004E6463">
        <w:tc>
          <w:tcPr>
            <w:tcW w:w="8296" w:type="dxa"/>
          </w:tcPr>
          <w:p w14:paraId="5883F861" w14:textId="3FAB1EB8" w:rsidR="004E6463" w:rsidRDefault="004E6463" w:rsidP="004E6463">
            <w:pPr>
              <w:spacing w:line="240" w:lineRule="auto"/>
              <w:ind w:firstLineChars="0" w:firstLine="0"/>
              <w:jc w:val="center"/>
              <w:rPr>
                <w:rFonts w:ascii="宋体" w:eastAsia="宋体" w:hAnsi="宋体"/>
                <w:sz w:val="18"/>
                <w:szCs w:val="18"/>
              </w:rPr>
            </w:pPr>
            <w:r w:rsidRPr="004E6463">
              <w:rPr>
                <w:rFonts w:ascii="黑体" w:eastAsia="黑体" w:hAnsi="黑体" w:hint="eastAsia"/>
                <w:sz w:val="15"/>
                <w:szCs w:val="15"/>
              </w:rPr>
              <w:t>图1</w:t>
            </w:r>
            <w:r w:rsidRPr="004E6463">
              <w:rPr>
                <w:rFonts w:ascii="黑体" w:eastAsia="黑体" w:hAnsi="黑体"/>
                <w:sz w:val="15"/>
                <w:szCs w:val="15"/>
              </w:rPr>
              <w:t xml:space="preserve">.4 </w:t>
            </w:r>
            <w:r w:rsidRPr="004E6463">
              <w:rPr>
                <w:rFonts w:ascii="黑体" w:eastAsia="黑体" w:hAnsi="黑体" w:hint="eastAsia"/>
                <w:sz w:val="15"/>
                <w:szCs w:val="15"/>
              </w:rPr>
              <w:t>各地区留言平均办理用时</w:t>
            </w:r>
          </w:p>
        </w:tc>
      </w:tr>
    </w:tbl>
    <w:p w14:paraId="5D3649AC" w14:textId="6C0C86F7" w:rsidR="004E6463" w:rsidRDefault="004E6463" w:rsidP="004E6463">
      <w:pPr>
        <w:spacing w:line="240" w:lineRule="auto"/>
        <w:ind w:firstLineChars="0" w:firstLine="0"/>
        <w:rPr>
          <w:rFonts w:ascii="宋体" w:eastAsia="宋体" w:hAnsi="宋体"/>
          <w:sz w:val="18"/>
          <w:szCs w:val="18"/>
        </w:rPr>
      </w:pPr>
      <w:r>
        <w:rPr>
          <w:rFonts w:ascii="宋体" w:eastAsia="宋体" w:hAnsi="宋体" w:hint="eastAsia"/>
          <w:sz w:val="18"/>
          <w:szCs w:val="18"/>
        </w:rPr>
        <w:t xml:space="preserve"> </w:t>
      </w:r>
      <w:r>
        <w:rPr>
          <w:rFonts w:ascii="宋体" w:eastAsia="宋体" w:hAnsi="宋体"/>
          <w:sz w:val="18"/>
          <w:szCs w:val="18"/>
        </w:rPr>
        <w:t xml:space="preserve"> </w:t>
      </w:r>
      <w:r w:rsidRPr="004E6463">
        <w:rPr>
          <w:rFonts w:ascii="宋体" w:eastAsia="宋体" w:hAnsi="宋体" w:hint="eastAsia"/>
          <w:sz w:val="18"/>
          <w:szCs w:val="18"/>
        </w:rPr>
        <w:t>根据</w:t>
      </w:r>
      <w:r>
        <w:rPr>
          <w:rFonts w:ascii="宋体" w:eastAsia="宋体" w:hAnsi="宋体" w:hint="eastAsia"/>
          <w:sz w:val="18"/>
          <w:szCs w:val="18"/>
        </w:rPr>
        <w:t>图1</w:t>
      </w:r>
      <w:r>
        <w:rPr>
          <w:rFonts w:ascii="宋体" w:eastAsia="宋体" w:hAnsi="宋体"/>
          <w:sz w:val="18"/>
          <w:szCs w:val="18"/>
        </w:rPr>
        <w:t>.5</w:t>
      </w:r>
      <w:r>
        <w:rPr>
          <w:rFonts w:ascii="宋体" w:eastAsia="宋体" w:hAnsi="宋体" w:hint="eastAsia"/>
          <w:sz w:val="18"/>
          <w:szCs w:val="18"/>
        </w:rPr>
        <w:t>所展示的数据可知</w:t>
      </w:r>
      <w:r w:rsidRPr="004E6463">
        <w:rPr>
          <w:rFonts w:ascii="宋体" w:eastAsia="宋体" w:hAnsi="宋体" w:hint="eastAsia"/>
          <w:sz w:val="18"/>
          <w:szCs w:val="18"/>
        </w:rPr>
        <w:t>，群众留言可分为三类：建言、投诉和咨询，它们分别占据不同的比例。投诉</w:t>
      </w:r>
      <w:proofErr w:type="gramStart"/>
      <w:r w:rsidRPr="004E6463">
        <w:rPr>
          <w:rFonts w:ascii="宋体" w:eastAsia="宋体" w:hAnsi="宋体" w:hint="eastAsia"/>
          <w:sz w:val="18"/>
          <w:szCs w:val="18"/>
        </w:rPr>
        <w:t>占比较</w:t>
      </w:r>
      <w:proofErr w:type="gramEnd"/>
      <w:r w:rsidRPr="004E6463">
        <w:rPr>
          <w:rFonts w:ascii="宋体" w:eastAsia="宋体" w:hAnsi="宋体" w:hint="eastAsia"/>
          <w:sz w:val="18"/>
          <w:szCs w:val="18"/>
        </w:rPr>
        <w:t>高，达到了68.3%，这反映出了一定数量的市民对各种问题和不满情况的反馈。建言占比为14.9%，表明一部分市民愿意积极参与社会事务，提出建议和意见。咨询占比为16.8%，这可能代表市民对政府政策、服务等方面有一定疑问或需求。综合来看，这些数据反映了市民的积极参与和对政府关注的问题的反馈，政府可以根据这些反馈更好地改进政策、提高服务质量，以满足市民需求并建立更紧密的政府与市民关系。</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E6463" w14:paraId="435A5077" w14:textId="77777777" w:rsidTr="004E6463">
        <w:tc>
          <w:tcPr>
            <w:tcW w:w="8296" w:type="dxa"/>
          </w:tcPr>
          <w:p w14:paraId="08C687F4" w14:textId="5C335FD2" w:rsidR="004E6463" w:rsidRDefault="004E6463" w:rsidP="004E6463">
            <w:pPr>
              <w:spacing w:line="240" w:lineRule="auto"/>
              <w:ind w:firstLineChars="0" w:firstLine="0"/>
              <w:jc w:val="center"/>
              <w:rPr>
                <w:rFonts w:ascii="宋体" w:eastAsia="宋体" w:hAnsi="宋体"/>
                <w:sz w:val="18"/>
                <w:szCs w:val="18"/>
              </w:rPr>
            </w:pPr>
            <w:r>
              <w:rPr>
                <w:noProof/>
              </w:rPr>
              <w:lastRenderedPageBreak/>
              <w:drawing>
                <wp:inline distT="0" distB="0" distL="0" distR="0" wp14:anchorId="39EFF0B4" wp14:editId="6BDF4BA8">
                  <wp:extent cx="3502550" cy="3502550"/>
                  <wp:effectExtent l="0" t="0" r="3175" b="3175"/>
                  <wp:docPr id="687333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323" cy="3505323"/>
                          </a:xfrm>
                          <a:prstGeom prst="rect">
                            <a:avLst/>
                          </a:prstGeom>
                          <a:noFill/>
                          <a:ln>
                            <a:noFill/>
                          </a:ln>
                        </pic:spPr>
                      </pic:pic>
                    </a:graphicData>
                  </a:graphic>
                </wp:inline>
              </w:drawing>
            </w:r>
          </w:p>
        </w:tc>
      </w:tr>
      <w:tr w:rsidR="004E6463" w14:paraId="427B4376" w14:textId="77777777" w:rsidTr="004E6463">
        <w:tc>
          <w:tcPr>
            <w:tcW w:w="8296" w:type="dxa"/>
          </w:tcPr>
          <w:p w14:paraId="7ACDC13D" w14:textId="50A3D8F5" w:rsidR="004E6463" w:rsidRDefault="004E6463" w:rsidP="004E6463">
            <w:pPr>
              <w:spacing w:line="240" w:lineRule="auto"/>
              <w:ind w:firstLineChars="0" w:firstLine="0"/>
              <w:jc w:val="center"/>
              <w:rPr>
                <w:rFonts w:ascii="宋体" w:eastAsia="宋体" w:hAnsi="宋体"/>
                <w:sz w:val="18"/>
                <w:szCs w:val="18"/>
              </w:rPr>
            </w:pPr>
            <w:r w:rsidRPr="004E6463">
              <w:rPr>
                <w:rFonts w:ascii="黑体" w:eastAsia="黑体" w:hAnsi="黑体" w:hint="eastAsia"/>
                <w:sz w:val="15"/>
                <w:szCs w:val="15"/>
              </w:rPr>
              <w:t>图1</w:t>
            </w:r>
            <w:r w:rsidRPr="004E6463">
              <w:rPr>
                <w:rFonts w:ascii="黑体" w:eastAsia="黑体" w:hAnsi="黑体"/>
                <w:sz w:val="15"/>
                <w:szCs w:val="15"/>
              </w:rPr>
              <w:t>.</w:t>
            </w:r>
            <w:r>
              <w:rPr>
                <w:rFonts w:ascii="黑体" w:eastAsia="黑体" w:hAnsi="黑体"/>
                <w:sz w:val="15"/>
                <w:szCs w:val="15"/>
              </w:rPr>
              <w:t>5</w:t>
            </w:r>
            <w:r w:rsidRPr="004E6463">
              <w:rPr>
                <w:rFonts w:ascii="黑体" w:eastAsia="黑体" w:hAnsi="黑体"/>
                <w:sz w:val="15"/>
                <w:szCs w:val="15"/>
              </w:rPr>
              <w:t xml:space="preserve"> </w:t>
            </w:r>
            <w:r>
              <w:rPr>
                <w:rFonts w:ascii="黑体" w:eastAsia="黑体" w:hAnsi="黑体" w:hint="eastAsia"/>
                <w:sz w:val="15"/>
                <w:szCs w:val="15"/>
              </w:rPr>
              <w:t>不同种类</w:t>
            </w:r>
            <w:proofErr w:type="gramStart"/>
            <w:r>
              <w:rPr>
                <w:rFonts w:ascii="黑体" w:eastAsia="黑体" w:hAnsi="黑体" w:hint="eastAsia"/>
                <w:sz w:val="15"/>
                <w:szCs w:val="15"/>
              </w:rPr>
              <w:t>留言占</w:t>
            </w:r>
            <w:proofErr w:type="gramEnd"/>
            <w:r>
              <w:rPr>
                <w:rFonts w:ascii="黑体" w:eastAsia="黑体" w:hAnsi="黑体" w:hint="eastAsia"/>
                <w:sz w:val="15"/>
                <w:szCs w:val="15"/>
              </w:rPr>
              <w:t>比</w:t>
            </w:r>
          </w:p>
        </w:tc>
      </w:tr>
    </w:tbl>
    <w:p w14:paraId="5CB7F772" w14:textId="286852A1" w:rsidR="004E6463" w:rsidRPr="00AA12DD" w:rsidRDefault="004E6463" w:rsidP="004E6463">
      <w:pPr>
        <w:spacing w:line="240" w:lineRule="auto"/>
        <w:ind w:firstLine="360"/>
        <w:rPr>
          <w:rFonts w:ascii="宋体" w:eastAsia="宋体" w:hAnsi="宋体"/>
          <w:sz w:val="18"/>
          <w:szCs w:val="18"/>
        </w:rPr>
      </w:pPr>
      <w:r w:rsidRPr="004E6463">
        <w:rPr>
          <w:rFonts w:ascii="宋体" w:eastAsia="宋体" w:hAnsi="宋体" w:hint="eastAsia"/>
          <w:sz w:val="18"/>
          <w:szCs w:val="18"/>
        </w:rPr>
        <w:t>综合以上数据和分析，河北省8月份的群众留言反映了多个关注领域和季节性趋势。城建、交通、政务、教育、企业、三农和就业等领域的留言反映了市民的担忧和需求，为政府提供了宝贵的信息，有助于政策改进和公共服务提升。不同季节下，不同类型的</w:t>
      </w:r>
      <w:proofErr w:type="gramStart"/>
      <w:r w:rsidRPr="004E6463">
        <w:rPr>
          <w:rFonts w:ascii="宋体" w:eastAsia="宋体" w:hAnsi="宋体" w:hint="eastAsia"/>
          <w:sz w:val="18"/>
          <w:szCs w:val="18"/>
        </w:rPr>
        <w:t>留言占</w:t>
      </w:r>
      <w:proofErr w:type="gramEnd"/>
      <w:r w:rsidRPr="004E6463">
        <w:rPr>
          <w:rFonts w:ascii="宋体" w:eastAsia="宋体" w:hAnsi="宋体" w:hint="eastAsia"/>
          <w:sz w:val="18"/>
          <w:szCs w:val="18"/>
        </w:rPr>
        <w:t>比也呈现出明显变化，反映了社会</w:t>
      </w:r>
      <w:proofErr w:type="gramStart"/>
      <w:r w:rsidRPr="004E6463">
        <w:rPr>
          <w:rFonts w:ascii="宋体" w:eastAsia="宋体" w:hAnsi="宋体" w:hint="eastAsia"/>
          <w:sz w:val="18"/>
          <w:szCs w:val="18"/>
        </w:rPr>
        <w:t>关切随</w:t>
      </w:r>
      <w:proofErr w:type="gramEnd"/>
      <w:r w:rsidRPr="004E6463">
        <w:rPr>
          <w:rFonts w:ascii="宋体" w:eastAsia="宋体" w:hAnsi="宋体" w:hint="eastAsia"/>
          <w:sz w:val="18"/>
          <w:szCs w:val="18"/>
        </w:rPr>
        <w:t>季节而变。此外，各城市的留言回复率和回复速度存在差异，这反映了政府对待市民留言的效率和关注程度不同。投诉在留言中占据较大比例，显示出市民对问题的关切和对政府的期望，政府应当认真倾听市民声音，改进政策和服务，以提高治理质量和市民满意度，同时建言和咨询也需要得到重视。这些数据和分析为政府决策者提供了重要参考，帮助他们更好地满足市民需求，改善政府与市民的互动关系，实现可持续的地方发展和社会稳定。</w:t>
      </w:r>
    </w:p>
    <w:p w14:paraId="4D2E165C" w14:textId="651127CF" w:rsidR="000F62E5" w:rsidRDefault="000F62E5" w:rsidP="000F62E5">
      <w:pPr>
        <w:ind w:firstLine="480"/>
      </w:pPr>
    </w:p>
    <w:sectPr w:rsidR="000F62E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59383" w14:textId="77777777" w:rsidR="00D31BAB" w:rsidRDefault="00D31BAB" w:rsidP="004F5D24">
      <w:pPr>
        <w:spacing w:line="240" w:lineRule="auto"/>
        <w:ind w:firstLine="480"/>
      </w:pPr>
      <w:r>
        <w:separator/>
      </w:r>
    </w:p>
  </w:endnote>
  <w:endnote w:type="continuationSeparator" w:id="0">
    <w:p w14:paraId="6B94BBA9" w14:textId="77777777" w:rsidR="00D31BAB" w:rsidRDefault="00D31BAB" w:rsidP="004F5D2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3D18" w14:textId="77777777" w:rsidR="004F5D24" w:rsidRDefault="004F5D24">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38A3" w14:textId="77777777" w:rsidR="004F5D24" w:rsidRDefault="004F5D24">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6A7D" w14:textId="77777777" w:rsidR="004F5D24" w:rsidRDefault="004F5D2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551B" w14:textId="77777777" w:rsidR="00D31BAB" w:rsidRDefault="00D31BAB" w:rsidP="004F5D24">
      <w:pPr>
        <w:spacing w:line="240" w:lineRule="auto"/>
        <w:ind w:firstLine="480"/>
      </w:pPr>
      <w:r>
        <w:separator/>
      </w:r>
    </w:p>
  </w:footnote>
  <w:footnote w:type="continuationSeparator" w:id="0">
    <w:p w14:paraId="4F06EEAA" w14:textId="77777777" w:rsidR="00D31BAB" w:rsidRDefault="00D31BAB" w:rsidP="004F5D2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6321" w14:textId="77777777" w:rsidR="004F5D24" w:rsidRDefault="004F5D24">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8193" w14:textId="77777777" w:rsidR="004F5D24" w:rsidRDefault="004F5D24">
    <w:pPr>
      <w:pStyle w:val="af1"/>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3FDD" w14:textId="77777777" w:rsidR="004F5D24" w:rsidRDefault="004F5D24">
    <w:pPr>
      <w:pStyle w:val="a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D7259"/>
    <w:multiLevelType w:val="multilevel"/>
    <w:tmpl w:val="4F085AC2"/>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104304066">
    <w:abstractNumId w:val="0"/>
  </w:num>
  <w:num w:numId="2" w16cid:durableId="1854369284">
    <w:abstractNumId w:val="0"/>
  </w:num>
  <w:num w:numId="3" w16cid:durableId="20035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E5"/>
    <w:rsid w:val="000F62E5"/>
    <w:rsid w:val="00167145"/>
    <w:rsid w:val="001A52F2"/>
    <w:rsid w:val="00320202"/>
    <w:rsid w:val="004E6463"/>
    <w:rsid w:val="004F41B8"/>
    <w:rsid w:val="004F5D24"/>
    <w:rsid w:val="006954E4"/>
    <w:rsid w:val="007A2380"/>
    <w:rsid w:val="009B5FA6"/>
    <w:rsid w:val="009D2EBB"/>
    <w:rsid w:val="00AA12DD"/>
    <w:rsid w:val="00AA228B"/>
    <w:rsid w:val="00B837F6"/>
    <w:rsid w:val="00D31BAB"/>
    <w:rsid w:val="00D95481"/>
    <w:rsid w:val="00DF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3CD1C"/>
  <w15:chartTrackingRefBased/>
  <w15:docId w15:val="{93861D4D-D4D5-4401-B8C4-07CAA6CB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4E4"/>
    <w:pPr>
      <w:widowControl w:val="0"/>
      <w:adjustRightInd w:val="0"/>
      <w:snapToGrid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6954E4"/>
    <w:pPr>
      <w:numPr>
        <w:numId w:val="3"/>
      </w:numPr>
      <w:adjustRightInd/>
      <w:spacing w:beforeLines="100" w:before="100" w:afterLines="100" w:after="100" w:line="240" w:lineRule="auto"/>
      <w:ind w:firstLineChars="0"/>
      <w:jc w:val="center"/>
      <w:outlineLvl w:val="0"/>
    </w:pPr>
    <w:rPr>
      <w:rFonts w:eastAsia="黑体"/>
      <w:b/>
      <w:bCs/>
      <w:kern w:val="44"/>
      <w:sz w:val="32"/>
      <w:szCs w:val="44"/>
    </w:rPr>
  </w:style>
  <w:style w:type="paragraph" w:styleId="2">
    <w:name w:val="heading 2"/>
    <w:basedOn w:val="a"/>
    <w:next w:val="a"/>
    <w:link w:val="20"/>
    <w:uiPriority w:val="9"/>
    <w:unhideWhenUsed/>
    <w:qFormat/>
    <w:rsid w:val="006954E4"/>
    <w:pPr>
      <w:keepLines/>
      <w:numPr>
        <w:ilvl w:val="1"/>
        <w:numId w:val="3"/>
      </w:numPr>
      <w:spacing w:beforeLines="150" w:before="150" w:afterLines="150" w:after="150" w:line="240" w:lineRule="auto"/>
      <w:ind w:firstLineChars="0"/>
      <w:jc w:val="left"/>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6954E4"/>
    <w:pPr>
      <w:keepNext/>
      <w:keepLines/>
      <w:numPr>
        <w:ilvl w:val="2"/>
        <w:numId w:val="3"/>
      </w:numPr>
      <w:spacing w:beforeLines="150" w:before="150" w:afterLines="150" w:after="150"/>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qFormat/>
    <w:rsid w:val="006954E4"/>
    <w:rPr>
      <w:rFonts w:cs="Times New Roman"/>
    </w:rPr>
  </w:style>
  <w:style w:type="character" w:customStyle="1" w:styleId="EndNoteBibliography0">
    <w:name w:val="EndNote Bibliography 字符"/>
    <w:basedOn w:val="a0"/>
    <w:link w:val="EndNoteBibliography"/>
    <w:qFormat/>
    <w:rsid w:val="006954E4"/>
    <w:rPr>
      <w:rFonts w:ascii="Times New Roman" w:hAnsi="Times New Roman" w:cs="Times New Roman"/>
      <w:sz w:val="24"/>
    </w:rPr>
  </w:style>
  <w:style w:type="paragraph" w:customStyle="1" w:styleId="EndNoteBibliographyTitle">
    <w:name w:val="EndNote Bibliography Title"/>
    <w:basedOn w:val="a"/>
    <w:link w:val="EndNoteBibliographyTitle0"/>
    <w:qFormat/>
    <w:rsid w:val="006954E4"/>
    <w:pPr>
      <w:jc w:val="center"/>
    </w:pPr>
    <w:rPr>
      <w:rFonts w:cs="Times New Roman"/>
    </w:rPr>
  </w:style>
  <w:style w:type="character" w:customStyle="1" w:styleId="EndNoteBibliographyTitle0">
    <w:name w:val="EndNote Bibliography Title 字符"/>
    <w:basedOn w:val="a0"/>
    <w:link w:val="EndNoteBibliographyTitle"/>
    <w:qFormat/>
    <w:rsid w:val="006954E4"/>
    <w:rPr>
      <w:rFonts w:ascii="Times New Roman" w:hAnsi="Times New Roman" w:cs="Times New Roman"/>
      <w:sz w:val="24"/>
    </w:rPr>
  </w:style>
  <w:style w:type="paragraph" w:styleId="TOC1">
    <w:name w:val="toc 1"/>
    <w:basedOn w:val="a"/>
    <w:next w:val="a"/>
    <w:uiPriority w:val="39"/>
    <w:unhideWhenUsed/>
    <w:qFormat/>
    <w:rsid w:val="006954E4"/>
    <w:pPr>
      <w:ind w:firstLineChars="0" w:firstLine="0"/>
      <w:jc w:val="left"/>
    </w:pPr>
    <w:rPr>
      <w:rFonts w:asciiTheme="minorHAnsi" w:eastAsia="黑体" w:hAnsiTheme="minorHAnsi" w:cstheme="minorHAnsi"/>
      <w:b/>
      <w:bCs/>
      <w:caps/>
      <w:szCs w:val="20"/>
    </w:rPr>
  </w:style>
  <w:style w:type="paragraph" w:styleId="TOC2">
    <w:name w:val="toc 2"/>
    <w:basedOn w:val="a"/>
    <w:next w:val="a"/>
    <w:uiPriority w:val="39"/>
    <w:unhideWhenUsed/>
    <w:qFormat/>
    <w:rsid w:val="006954E4"/>
    <w:pPr>
      <w:ind w:leftChars="200" w:left="200" w:firstLineChars="0" w:firstLine="0"/>
      <w:jc w:val="left"/>
    </w:pPr>
    <w:rPr>
      <w:rFonts w:asciiTheme="minorHAnsi" w:hAnsiTheme="minorHAnsi" w:cstheme="minorHAnsi"/>
      <w:smallCaps/>
      <w:szCs w:val="20"/>
    </w:rPr>
  </w:style>
  <w:style w:type="paragraph" w:styleId="TOC3">
    <w:name w:val="toc 3"/>
    <w:basedOn w:val="a"/>
    <w:next w:val="a"/>
    <w:uiPriority w:val="39"/>
    <w:unhideWhenUsed/>
    <w:qFormat/>
    <w:rsid w:val="006954E4"/>
    <w:pPr>
      <w:ind w:left="480"/>
      <w:jc w:val="left"/>
    </w:pPr>
    <w:rPr>
      <w:rFonts w:asciiTheme="minorHAnsi" w:hAnsiTheme="minorHAnsi" w:cstheme="minorHAnsi"/>
      <w:iCs/>
      <w:szCs w:val="20"/>
    </w:rPr>
  </w:style>
  <w:style w:type="paragraph" w:styleId="TOC4">
    <w:name w:val="toc 4"/>
    <w:basedOn w:val="a"/>
    <w:next w:val="a"/>
    <w:uiPriority w:val="39"/>
    <w:unhideWhenUsed/>
    <w:qFormat/>
    <w:rsid w:val="006954E4"/>
    <w:pPr>
      <w:ind w:left="720"/>
      <w:jc w:val="left"/>
    </w:pPr>
    <w:rPr>
      <w:rFonts w:asciiTheme="minorHAnsi" w:hAnsiTheme="minorHAnsi" w:cstheme="minorHAnsi"/>
      <w:sz w:val="18"/>
      <w:szCs w:val="18"/>
    </w:rPr>
  </w:style>
  <w:style w:type="paragraph" w:styleId="TOC5">
    <w:name w:val="toc 5"/>
    <w:basedOn w:val="a"/>
    <w:next w:val="a"/>
    <w:uiPriority w:val="39"/>
    <w:unhideWhenUsed/>
    <w:qFormat/>
    <w:rsid w:val="006954E4"/>
    <w:pPr>
      <w:ind w:left="960"/>
      <w:jc w:val="left"/>
    </w:pPr>
    <w:rPr>
      <w:rFonts w:asciiTheme="minorHAnsi" w:hAnsiTheme="minorHAnsi" w:cstheme="minorHAnsi"/>
      <w:sz w:val="18"/>
      <w:szCs w:val="18"/>
    </w:rPr>
  </w:style>
  <w:style w:type="paragraph" w:styleId="TOC6">
    <w:name w:val="toc 6"/>
    <w:basedOn w:val="a"/>
    <w:next w:val="a"/>
    <w:uiPriority w:val="39"/>
    <w:unhideWhenUsed/>
    <w:qFormat/>
    <w:rsid w:val="006954E4"/>
    <w:pPr>
      <w:ind w:left="1200"/>
      <w:jc w:val="left"/>
    </w:pPr>
    <w:rPr>
      <w:rFonts w:asciiTheme="minorHAnsi" w:hAnsiTheme="minorHAnsi" w:cstheme="minorHAnsi"/>
      <w:sz w:val="18"/>
      <w:szCs w:val="18"/>
    </w:rPr>
  </w:style>
  <w:style w:type="paragraph" w:styleId="TOC7">
    <w:name w:val="toc 7"/>
    <w:basedOn w:val="a"/>
    <w:next w:val="a"/>
    <w:uiPriority w:val="39"/>
    <w:unhideWhenUsed/>
    <w:qFormat/>
    <w:rsid w:val="006954E4"/>
    <w:pPr>
      <w:ind w:left="1440"/>
      <w:jc w:val="left"/>
    </w:pPr>
    <w:rPr>
      <w:rFonts w:asciiTheme="minorHAnsi" w:hAnsiTheme="minorHAnsi" w:cstheme="minorHAnsi"/>
      <w:sz w:val="18"/>
      <w:szCs w:val="18"/>
    </w:rPr>
  </w:style>
  <w:style w:type="paragraph" w:styleId="TOC8">
    <w:name w:val="toc 8"/>
    <w:basedOn w:val="a"/>
    <w:next w:val="a"/>
    <w:uiPriority w:val="39"/>
    <w:unhideWhenUsed/>
    <w:qFormat/>
    <w:rsid w:val="006954E4"/>
    <w:pPr>
      <w:ind w:left="1680"/>
      <w:jc w:val="left"/>
    </w:pPr>
    <w:rPr>
      <w:rFonts w:asciiTheme="minorHAnsi" w:hAnsiTheme="minorHAnsi" w:cstheme="minorHAnsi"/>
      <w:sz w:val="18"/>
      <w:szCs w:val="18"/>
    </w:rPr>
  </w:style>
  <w:style w:type="paragraph" w:styleId="TOC9">
    <w:name w:val="toc 9"/>
    <w:basedOn w:val="a"/>
    <w:next w:val="a"/>
    <w:uiPriority w:val="39"/>
    <w:unhideWhenUsed/>
    <w:qFormat/>
    <w:rsid w:val="006954E4"/>
    <w:pPr>
      <w:ind w:left="1920"/>
      <w:jc w:val="left"/>
    </w:pPr>
    <w:rPr>
      <w:rFonts w:asciiTheme="minorHAnsi" w:hAnsiTheme="minorHAnsi" w:cstheme="minorHAnsi"/>
      <w:sz w:val="18"/>
      <w:szCs w:val="18"/>
    </w:rPr>
  </w:style>
  <w:style w:type="character" w:customStyle="1" w:styleId="10">
    <w:name w:val="标题 1 字符"/>
    <w:basedOn w:val="a0"/>
    <w:link w:val="1"/>
    <w:uiPriority w:val="9"/>
    <w:qFormat/>
    <w:rsid w:val="006954E4"/>
    <w:rPr>
      <w:rFonts w:ascii="Times New Roman" w:eastAsia="黑体" w:hAnsi="Times New Roman"/>
      <w:b/>
      <w:bCs/>
      <w:kern w:val="44"/>
      <w:sz w:val="32"/>
      <w:szCs w:val="44"/>
    </w:rPr>
  </w:style>
  <w:style w:type="paragraph" w:customStyle="1" w:styleId="TOC10">
    <w:name w:val="TOC 标题1"/>
    <w:basedOn w:val="1"/>
    <w:next w:val="a"/>
    <w:uiPriority w:val="39"/>
    <w:unhideWhenUsed/>
    <w:qFormat/>
    <w:rsid w:val="006954E4"/>
    <w:pPr>
      <w:widowControl/>
      <w:numPr>
        <w:numId w:val="0"/>
      </w:numPr>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3">
    <w:name w:val="Title"/>
    <w:basedOn w:val="a"/>
    <w:next w:val="a"/>
    <w:link w:val="a4"/>
    <w:uiPriority w:val="10"/>
    <w:qFormat/>
    <w:rsid w:val="006954E4"/>
    <w:pPr>
      <w:keepNext/>
      <w:ind w:firstLineChars="0" w:firstLine="0"/>
      <w:jc w:val="center"/>
    </w:pPr>
    <w:rPr>
      <w:rFonts w:asciiTheme="majorHAnsi" w:eastAsia="黑体" w:hAnsiTheme="majorHAnsi" w:cstheme="majorBidi"/>
      <w:b/>
      <w:bCs/>
      <w:sz w:val="21"/>
      <w:szCs w:val="32"/>
    </w:rPr>
  </w:style>
  <w:style w:type="character" w:customStyle="1" w:styleId="a4">
    <w:name w:val="标题 字符"/>
    <w:basedOn w:val="a0"/>
    <w:link w:val="a3"/>
    <w:uiPriority w:val="10"/>
    <w:qFormat/>
    <w:rsid w:val="006954E4"/>
    <w:rPr>
      <w:rFonts w:asciiTheme="majorHAnsi" w:eastAsia="黑体" w:hAnsiTheme="majorHAnsi" w:cstheme="majorBidi"/>
      <w:b/>
      <w:bCs/>
      <w:szCs w:val="32"/>
    </w:rPr>
  </w:style>
  <w:style w:type="character" w:customStyle="1" w:styleId="20">
    <w:name w:val="标题 2 字符"/>
    <w:basedOn w:val="a0"/>
    <w:link w:val="2"/>
    <w:uiPriority w:val="9"/>
    <w:qFormat/>
    <w:rsid w:val="006954E4"/>
    <w:rPr>
      <w:rFonts w:asciiTheme="majorHAnsi" w:eastAsia="黑体" w:hAnsiTheme="majorHAnsi" w:cstheme="majorBidi"/>
      <w:b/>
      <w:bCs/>
      <w:sz w:val="30"/>
      <w:szCs w:val="32"/>
    </w:rPr>
  </w:style>
  <w:style w:type="character" w:customStyle="1" w:styleId="30">
    <w:name w:val="标题 3 字符"/>
    <w:basedOn w:val="a0"/>
    <w:link w:val="3"/>
    <w:uiPriority w:val="9"/>
    <w:qFormat/>
    <w:rsid w:val="006954E4"/>
    <w:rPr>
      <w:rFonts w:ascii="Times New Roman" w:hAnsi="Times New Roman"/>
      <w:b/>
      <w:bCs/>
      <w:sz w:val="32"/>
      <w:szCs w:val="32"/>
    </w:rPr>
  </w:style>
  <w:style w:type="character" w:styleId="a5">
    <w:name w:val="Hyperlink"/>
    <w:basedOn w:val="a0"/>
    <w:uiPriority w:val="99"/>
    <w:unhideWhenUsed/>
    <w:qFormat/>
    <w:rsid w:val="006954E4"/>
    <w:rPr>
      <w:color w:val="0563C1" w:themeColor="hyperlink"/>
      <w:u w:val="single"/>
    </w:rPr>
  </w:style>
  <w:style w:type="paragraph" w:styleId="a6">
    <w:name w:val="Subtitle"/>
    <w:basedOn w:val="a"/>
    <w:next w:val="a"/>
    <w:link w:val="a7"/>
    <w:uiPriority w:val="11"/>
    <w:qFormat/>
    <w:rsid w:val="006954E4"/>
    <w:pPr>
      <w:spacing w:line="240" w:lineRule="auto"/>
      <w:jc w:val="center"/>
    </w:pPr>
    <w:rPr>
      <w:rFonts w:ascii="黑体"/>
      <w:bCs/>
      <w:sz w:val="21"/>
    </w:rPr>
  </w:style>
  <w:style w:type="character" w:customStyle="1" w:styleId="a7">
    <w:name w:val="副标题 字符"/>
    <w:basedOn w:val="a0"/>
    <w:link w:val="a6"/>
    <w:uiPriority w:val="11"/>
    <w:qFormat/>
    <w:rsid w:val="006954E4"/>
    <w:rPr>
      <w:rFonts w:ascii="黑体" w:hAnsi="Times New Roman"/>
      <w:bCs/>
    </w:rPr>
  </w:style>
  <w:style w:type="paragraph" w:customStyle="1" w:styleId="a8">
    <w:name w:val="公式"/>
    <w:basedOn w:val="a"/>
    <w:next w:val="a"/>
    <w:link w:val="a9"/>
    <w:qFormat/>
    <w:rsid w:val="006954E4"/>
    <w:pPr>
      <w:tabs>
        <w:tab w:val="center" w:pos="4253"/>
        <w:tab w:val="right" w:pos="10206"/>
      </w:tabs>
    </w:pPr>
  </w:style>
  <w:style w:type="character" w:customStyle="1" w:styleId="a9">
    <w:name w:val="公式 字符"/>
    <w:basedOn w:val="a0"/>
    <w:link w:val="a8"/>
    <w:qFormat/>
    <w:rsid w:val="006954E4"/>
    <w:rPr>
      <w:rFonts w:ascii="Times New Roman" w:hAnsi="Times New Roman"/>
      <w:sz w:val="24"/>
    </w:rPr>
  </w:style>
  <w:style w:type="paragraph" w:styleId="aa">
    <w:name w:val="List Paragraph"/>
    <w:basedOn w:val="a"/>
    <w:uiPriority w:val="34"/>
    <w:qFormat/>
    <w:rsid w:val="006954E4"/>
    <w:pPr>
      <w:ind w:firstLine="420"/>
    </w:pPr>
  </w:style>
  <w:style w:type="paragraph" w:styleId="ab">
    <w:name w:val="Normal (Web)"/>
    <w:basedOn w:val="a"/>
    <w:uiPriority w:val="99"/>
    <w:semiHidden/>
    <w:unhideWhenUsed/>
    <w:rsid w:val="006954E4"/>
    <w:pPr>
      <w:widowControl/>
      <w:adjustRightInd/>
      <w:snapToGrid/>
      <w:spacing w:before="100" w:beforeAutospacing="1" w:after="100" w:afterAutospacing="1" w:line="240" w:lineRule="auto"/>
      <w:ind w:firstLineChars="0" w:firstLine="0"/>
      <w:jc w:val="left"/>
    </w:pPr>
    <w:rPr>
      <w:rFonts w:ascii="宋体" w:eastAsia="宋体" w:hAnsi="宋体" w:cs="宋体"/>
      <w:kern w:val="0"/>
      <w:szCs w:val="24"/>
    </w:rPr>
  </w:style>
  <w:style w:type="paragraph" w:styleId="ac">
    <w:name w:val="caption"/>
    <w:basedOn w:val="a"/>
    <w:next w:val="a"/>
    <w:uiPriority w:val="35"/>
    <w:unhideWhenUsed/>
    <w:qFormat/>
    <w:rsid w:val="006954E4"/>
    <w:rPr>
      <w:rFonts w:asciiTheme="majorHAnsi" w:eastAsia="黑体" w:hAnsiTheme="majorHAnsi" w:cstheme="majorBidi"/>
      <w:sz w:val="20"/>
      <w:szCs w:val="20"/>
    </w:rPr>
  </w:style>
  <w:style w:type="table" w:styleId="ad">
    <w:name w:val="Table Grid"/>
    <w:basedOn w:val="a1"/>
    <w:uiPriority w:val="39"/>
    <w:qFormat/>
    <w:rsid w:val="006954E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6954E4"/>
    <w:rPr>
      <w:b/>
      <w:bCs/>
    </w:rPr>
  </w:style>
  <w:style w:type="paragraph" w:styleId="af">
    <w:name w:val="footer"/>
    <w:basedOn w:val="a"/>
    <w:link w:val="af0"/>
    <w:uiPriority w:val="99"/>
    <w:unhideWhenUsed/>
    <w:qFormat/>
    <w:rsid w:val="006954E4"/>
    <w:pPr>
      <w:tabs>
        <w:tab w:val="center" w:pos="4153"/>
        <w:tab w:val="right" w:pos="8306"/>
      </w:tabs>
      <w:jc w:val="left"/>
    </w:pPr>
    <w:rPr>
      <w:sz w:val="18"/>
      <w:szCs w:val="18"/>
    </w:rPr>
  </w:style>
  <w:style w:type="character" w:customStyle="1" w:styleId="af0">
    <w:name w:val="页脚 字符"/>
    <w:basedOn w:val="a0"/>
    <w:link w:val="af"/>
    <w:uiPriority w:val="99"/>
    <w:qFormat/>
    <w:rsid w:val="006954E4"/>
    <w:rPr>
      <w:rFonts w:ascii="Times New Roman" w:hAnsi="Times New Roman"/>
      <w:sz w:val="18"/>
      <w:szCs w:val="18"/>
    </w:rPr>
  </w:style>
  <w:style w:type="paragraph" w:styleId="af1">
    <w:name w:val="header"/>
    <w:basedOn w:val="a"/>
    <w:link w:val="af2"/>
    <w:uiPriority w:val="99"/>
    <w:unhideWhenUsed/>
    <w:qFormat/>
    <w:rsid w:val="006954E4"/>
    <w:pPr>
      <w:pBdr>
        <w:bottom w:val="single" w:sz="6" w:space="1" w:color="auto"/>
      </w:pBdr>
      <w:tabs>
        <w:tab w:val="center" w:pos="4153"/>
        <w:tab w:val="right" w:pos="8306"/>
      </w:tabs>
      <w:jc w:val="center"/>
    </w:pPr>
    <w:rPr>
      <w:sz w:val="18"/>
      <w:szCs w:val="18"/>
    </w:rPr>
  </w:style>
  <w:style w:type="character" w:customStyle="1" w:styleId="af2">
    <w:name w:val="页眉 字符"/>
    <w:basedOn w:val="a0"/>
    <w:link w:val="af1"/>
    <w:uiPriority w:val="99"/>
    <w:qFormat/>
    <w:rsid w:val="006954E4"/>
    <w:rPr>
      <w:rFonts w:ascii="Times New Roman" w:hAnsi="Times New Roman"/>
      <w:sz w:val="18"/>
      <w:szCs w:val="18"/>
    </w:rPr>
  </w:style>
  <w:style w:type="character" w:styleId="af3">
    <w:name w:val="Placeholder Text"/>
    <w:basedOn w:val="a0"/>
    <w:uiPriority w:val="99"/>
    <w:semiHidden/>
    <w:qFormat/>
    <w:rsid w:val="006954E4"/>
    <w:rPr>
      <w:color w:val="808080"/>
    </w:rPr>
  </w:style>
  <w:style w:type="paragraph" w:styleId="af4">
    <w:name w:val="Body Text Indent"/>
    <w:basedOn w:val="a"/>
    <w:link w:val="af5"/>
    <w:rsid w:val="006954E4"/>
    <w:pPr>
      <w:adjustRightInd/>
      <w:snapToGrid/>
      <w:ind w:firstLine="480"/>
    </w:pPr>
    <w:rPr>
      <w:rFonts w:ascii="宋体" w:eastAsia="宋体" w:cs="Times New Roman"/>
      <w:szCs w:val="24"/>
    </w:rPr>
  </w:style>
  <w:style w:type="character" w:customStyle="1" w:styleId="af5">
    <w:name w:val="正文文本缩进 字符"/>
    <w:basedOn w:val="a0"/>
    <w:link w:val="af4"/>
    <w:rsid w:val="006954E4"/>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5718">
      <w:bodyDiv w:val="1"/>
      <w:marLeft w:val="0"/>
      <w:marRight w:val="0"/>
      <w:marTop w:val="0"/>
      <w:marBottom w:val="0"/>
      <w:divBdr>
        <w:top w:val="none" w:sz="0" w:space="0" w:color="auto"/>
        <w:left w:val="none" w:sz="0" w:space="0" w:color="auto"/>
        <w:bottom w:val="none" w:sz="0" w:space="0" w:color="auto"/>
        <w:right w:val="none" w:sz="0" w:space="0" w:color="auto"/>
      </w:divBdr>
    </w:div>
    <w:div w:id="159589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2D641-905E-4B57-AD09-61697F355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 SHE</dc:creator>
  <cp:keywords/>
  <dc:description/>
  <cp:lastModifiedBy>yihan SHE</cp:lastModifiedBy>
  <cp:revision>2</cp:revision>
  <cp:lastPrinted>2023-09-07T09:36:00Z</cp:lastPrinted>
  <dcterms:created xsi:type="dcterms:W3CDTF">2023-09-08T15:54:00Z</dcterms:created>
  <dcterms:modified xsi:type="dcterms:W3CDTF">2023-09-08T15:54:00Z</dcterms:modified>
</cp:coreProperties>
</file>