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787878"/>
          <w:sz w:val="17"/>
        </w:rPr>
        <w:t>CONFIDENTIAL | FOR ACCREDITED &amp; INSTITUTIONAL INVESTORS ONLY</w:t>
      </w:r>
    </w:p>
    <w:p>
      <w:r>
        <w:rPr>
          <w:b/>
          <w:color w:val="0F2A4A"/>
          <w:sz w:val="52"/>
        </w:rPr>
        <w:t>PAYFREIGHT.IO</w:t>
      </w:r>
    </w:p>
    <w:p>
      <w:r>
        <w:rPr>
          <w:b/>
          <w:color w:val="007882"/>
          <w:sz w:val="28"/>
        </w:rPr>
        <w:t>EXECUTIVE SUMMARY &amp; TERM SHEET</w:t>
      </w:r>
    </w:p>
    <w:p/>
    <w:p>
      <w:pPr>
        <w:pStyle w:val="Heading1"/>
      </w:pPr>
      <w:r>
        <w:rPr>
          <w:b/>
          <w:color w:val="0F2A4A"/>
          <w:sz w:val="28"/>
        </w:rPr>
        <w:t>1. EXECUTIVE SUMMARY</w:t>
      </w:r>
    </w:p>
    <w:p>
      <w:r>
        <w:rPr>
          <w:b/>
        </w:rPr>
        <w:t xml:space="preserve">Protocol Name: </w:t>
      </w:r>
      <w:r>
        <w:t>Payfreight.io</w:t>
        <w:br/>
      </w:r>
      <w:r>
        <w:rPr>
          <w:b/>
        </w:rPr>
        <w:t xml:space="preserve">Industry: </w:t>
      </w:r>
      <w:r>
        <w:t>Logistics Tech, Real-World Assets (RWA), Decentralized Finance (DeFi)</w:t>
        <w:br/>
      </w:r>
      <w:r>
        <w:rPr>
          <w:b/>
        </w:rPr>
        <w:t xml:space="preserve">Target Market (TAM): </w:t>
      </w:r>
      <w:r>
        <w:t>$2.1 Trillion Global Freight Invoicing Market</w:t>
      </w:r>
    </w:p>
    <w:p>
      <w:r>
        <w:t>Payfreight.io is a decentralized freight settlement and RWA liquidity protocol designed to solve the global logistics cash-flow bottleneck. Freight carriers routinely wait 30-90 days for invoice payment. Payfreight tokenizes these real-world freight invoices and leverages automated smart contract escrows to provide instant liquidity for carriers and reliable, real-world asset exposure for institutional investors.</w:t>
      </w:r>
    </w:p>
    <w:p>
      <w:pPr>
        <w:pStyle w:val="Heading1"/>
      </w:pPr>
      <w:r>
        <w:rPr>
          <w:b/>
          <w:color w:val="0F2A4A"/>
          <w:sz w:val="28"/>
        </w:rPr>
        <w:t>2. CONDITIONAL TERM SHEET (SEED ROUND - LOT 1)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F2F4F7"/>
          </w:tcPr>
          <w:p>
            <w:r>
              <w:rPr>
                <w:b/>
                <w:sz w:val="20"/>
              </w:rPr>
              <w:t>Issuer / Entity</w:t>
            </w:r>
          </w:p>
        </w:tc>
        <w:tc>
          <w:tcPr>
            <w:tcW w:type="dxa" w:w="6192"/>
            <w:shd w:val="clear" w:color="auto" w:fill="F2F4F7"/>
          </w:tcPr>
          <w:p>
            <w:r>
              <w:rPr>
                <w:sz w:val="20"/>
              </w:rPr>
              <w:t>Payfreight.io Protocol Foundation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20"/>
              </w:rPr>
              <w:t>Round Structure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Seed Round (Private Placement)</w:t>
            </w:r>
          </w:p>
        </w:tc>
      </w:tr>
      <w:tr>
        <w:tc>
          <w:tcPr>
            <w:tcW w:type="dxa" w:w="3168"/>
            <w:shd w:val="clear" w:color="auto" w:fill="F2F4F7"/>
          </w:tcPr>
          <w:p>
            <w:r>
              <w:rPr>
                <w:b/>
                <w:sz w:val="20"/>
              </w:rPr>
              <w:t>Agreement Framework</w:t>
            </w:r>
          </w:p>
        </w:tc>
        <w:tc>
          <w:tcPr>
            <w:tcW w:type="dxa" w:w="6192"/>
            <w:shd w:val="clear" w:color="auto" w:fill="F2F4F7"/>
          </w:tcPr>
          <w:p>
            <w:r>
              <w:rPr>
                <w:sz w:val="20"/>
              </w:rPr>
              <w:t>SAFE (Simple Agreement for Future Equity) / SAFT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20"/>
              </w:rPr>
              <w:t>Target Raise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$500,000 USD</w:t>
            </w:r>
          </w:p>
        </w:tc>
      </w:tr>
      <w:tr>
        <w:tc>
          <w:tcPr>
            <w:tcW w:type="dxa" w:w="3168"/>
            <w:shd w:val="clear" w:color="auto" w:fill="F2F4F7"/>
          </w:tcPr>
          <w:p>
            <w:r>
              <w:rPr>
                <w:b/>
                <w:sz w:val="20"/>
              </w:rPr>
              <w:t>Valuation Unit Price</w:t>
            </w:r>
          </w:p>
        </w:tc>
        <w:tc>
          <w:tcPr>
            <w:tcW w:type="dxa" w:w="6192"/>
            <w:shd w:val="clear" w:color="auto" w:fill="F2F4F7"/>
          </w:tcPr>
          <w:p>
            <w:r>
              <w:rPr>
                <w:sz w:val="20"/>
              </w:rPr>
              <w:t>$0.02 USD per unit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20"/>
              </w:rPr>
              <w:t>Minimum Ticket Size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$5,000 USD (Angel Tranche) / $25,000+ USD (Institutional)</w:t>
            </w:r>
          </w:p>
        </w:tc>
      </w:tr>
      <w:tr>
        <w:tc>
          <w:tcPr>
            <w:tcW w:type="dxa" w:w="3168"/>
            <w:shd w:val="clear" w:color="auto" w:fill="F2F4F7"/>
          </w:tcPr>
          <w:p>
            <w:r>
              <w:rPr>
                <w:b/>
                <w:sz w:val="20"/>
              </w:rPr>
              <w:t>Vesting Schedule</w:t>
            </w:r>
          </w:p>
        </w:tc>
        <w:tc>
          <w:tcPr>
            <w:tcW w:type="dxa" w:w="6192"/>
            <w:shd w:val="clear" w:color="auto" w:fill="F2F4F7"/>
          </w:tcPr>
          <w:p>
            <w:r>
              <w:rPr>
                <w:sz w:val="20"/>
              </w:rPr>
              <w:t>6-Month Cliff, followed by 12-Month Linear Vesting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20"/>
              </w:rPr>
              <w:t>Use of Funds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Smart Contract Audits (60%), Liquidity Pool Setup (25%), Legal &amp; Institutional Compliance (15%)</w:t>
            </w:r>
          </w:p>
        </w:tc>
      </w:tr>
    </w:tbl>
    <w:p/>
    <w:p>
      <w:pPr>
        <w:pStyle w:val="Heading1"/>
      </w:pPr>
      <w:r>
        <w:rPr>
          <w:b/>
          <w:color w:val="0F2A4A"/>
          <w:sz w:val="28"/>
        </w:rPr>
        <w:t>3. CAPITAL ALLOCATION &amp; TRANCHE PROGRESSION</w:t>
      </w:r>
    </w:p>
    <w:p>
      <w:pPr>
        <w:pStyle w:val="ListBullet"/>
      </w:pPr>
      <w:r>
        <w:rPr>
          <w:b/>
        </w:rPr>
        <w:t xml:space="preserve">LOT 1 (Seed): </w:t>
      </w:r>
      <w:r>
        <w:t>Target $500K | Price: $0.02 (Active)</w:t>
      </w:r>
    </w:p>
    <w:p>
      <w:pPr>
        <w:pStyle w:val="ListBullet"/>
      </w:pPr>
      <w:r>
        <w:rPr>
          <w:b/>
        </w:rPr>
        <w:t xml:space="preserve">LOT 2 (Strategic): </w:t>
      </w:r>
      <w:r>
        <w:t>Target $2.0M | Price: $0.05 (Upcoming)</w:t>
      </w:r>
    </w:p>
    <w:p>
      <w:pPr>
        <w:pStyle w:val="ListBullet"/>
      </w:pPr>
      <w:r>
        <w:rPr>
          <w:b/>
        </w:rPr>
        <w:t xml:space="preserve">LOT 3 (Growth): </w:t>
      </w:r>
      <w:r>
        <w:t>Target $4.5M | Price: $0.08 (Mainnet Alignment)</w:t>
      </w:r>
    </w:p>
    <w:p/>
    <w:p>
      <w:pPr>
        <w:pStyle w:val="Heading1"/>
      </w:pPr>
      <w:r>
        <w:rPr>
          <w:b/>
          <w:color w:val="0F2A4A"/>
          <w:sz w:val="28"/>
        </w:rPr>
        <w:t>4. CONTACT &amp; FOUNDER INFORMATION</w:t>
      </w:r>
    </w:p>
    <w:p>
      <w:r>
        <w:rPr>
          <w:b/>
        </w:rPr>
        <w:t xml:space="preserve">Founder / Lead: </w:t>
      </w:r>
      <w:r>
        <w:t>Dejan Luzar</w:t>
        <w:br/>
      </w:r>
      <w:r>
        <w:rPr>
          <w:b/>
        </w:rPr>
        <w:t xml:space="preserve">Company Address: </w:t>
      </w:r>
      <w:r>
        <w:t>Nad Mlini 58, 8000 Novo mesto, Slovenia</w:t>
        <w:br/>
      </w:r>
      <w:r>
        <w:rPr>
          <w:b/>
        </w:rPr>
        <w:t xml:space="preserve">Website: </w:t>
      </w:r>
      <w:r>
        <w:t>https://www.cargotrans.net / https://payfreight.io</w:t>
        <w:br/>
      </w:r>
      <w:r>
        <w:rPr>
          <w:b/>
        </w:rPr>
        <w:t xml:space="preserve">Phone: </w:t>
      </w:r>
      <w:r>
        <w:t>+386 31 697 102</w:t>
        <w:br/>
      </w:r>
      <w:r>
        <w:rPr>
          <w:b/>
        </w:rPr>
        <w:t xml:space="preserve">Email: </w:t>
      </w:r>
      <w:r>
        <w:t>dejan.luzar@cargotrans.net</w:t>
        <w:br/>
      </w:r>
      <w:r>
        <w:rPr>
          <w:b/>
        </w:rPr>
        <w:t xml:space="preserve">LinkedIn: </w:t>
      </w:r>
      <w:r>
        <w:t>https://www.linkedin.com/in/dejan-luzar-b037361a/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