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9D13" w14:textId="77777777" w:rsidR="008B4447" w:rsidRDefault="008B4447" w:rsidP="008B4447">
      <w:pPr>
        <w:jc w:val="center"/>
        <w:rPr>
          <w:rFonts w:ascii="Helvetica Neue" w:eastAsia="Helvetica Neue" w:hAnsi="Helvetica Neue" w:cs="Helvetica Neue"/>
          <w:b/>
          <w:color w:val="246890"/>
          <w:sz w:val="32"/>
          <w:szCs w:val="32"/>
        </w:rPr>
      </w:pPr>
    </w:p>
    <w:p w14:paraId="00000001" w14:textId="67A42BA9" w:rsidR="006A1079" w:rsidRPr="00F20F1D" w:rsidRDefault="00E939EB" w:rsidP="008B4447">
      <w:pPr>
        <w:jc w:val="center"/>
        <w:rPr>
          <w:rFonts w:ascii="Helvetica Neue" w:eastAsia="Helvetica Neue" w:hAnsi="Helvetica Neue" w:cs="Helvetica Neue"/>
          <w:b/>
          <w:color w:val="246890"/>
          <w:sz w:val="32"/>
          <w:szCs w:val="32"/>
          <w:lang w:val="es-ES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32"/>
          <w:szCs w:val="32"/>
        </w:rPr>
        <w:t>¡</w:t>
      </w:r>
      <w:r w:rsidR="005956CA" w:rsidRPr="00F20F1D">
        <w:rPr>
          <w:rFonts w:ascii="Helvetica Neue" w:eastAsia="Helvetica Neue" w:hAnsi="Helvetica Neue" w:cs="Helvetica Neue"/>
          <w:b/>
          <w:bCs/>
          <w:color w:val="246890"/>
          <w:sz w:val="32"/>
          <w:szCs w:val="32"/>
        </w:rPr>
        <w:t>Profe!</w:t>
      </w:r>
    </w:p>
    <w:p w14:paraId="76FD7298" w14:textId="66D8BF92" w:rsidR="5211119B" w:rsidRPr="00F20F1D" w:rsidRDefault="5211119B" w:rsidP="00F20F1D">
      <w:pPr>
        <w:rPr>
          <w:rFonts w:ascii="Helvetica Neue" w:eastAsia="Helvetica Neue" w:hAnsi="Helvetica Neue" w:cs="Helvetica Neue"/>
          <w:b/>
          <w:bCs/>
          <w:color w:val="246890"/>
          <w:sz w:val="32"/>
          <w:szCs w:val="32"/>
        </w:rPr>
      </w:pPr>
    </w:p>
    <w:p w14:paraId="00000002" w14:textId="512367F6" w:rsidR="006A1079" w:rsidRPr="00F20F1D" w:rsidRDefault="00E939EB" w:rsidP="008B4447">
      <w:pPr>
        <w:jc w:val="center"/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color w:val="246890"/>
          <w:sz w:val="32"/>
          <w:szCs w:val="32"/>
        </w:rPr>
        <w:t>T</w:t>
      </w:r>
      <w:r w:rsidR="005956CA" w:rsidRPr="00F20F1D">
        <w:rPr>
          <w:rFonts w:ascii="Helvetica Neue" w:eastAsia="Helvetica Neue" w:hAnsi="Helvetica Neue" w:cs="Helvetica Neue"/>
          <w:b/>
          <w:color w:val="246890"/>
          <w:sz w:val="32"/>
          <w:szCs w:val="32"/>
        </w:rPr>
        <w:t>en en cuenta esta información, consejos y recomendaciones para desarrollar tu propuesta</w:t>
      </w:r>
    </w:p>
    <w:p w14:paraId="00000003" w14:textId="77777777" w:rsidR="006A1079" w:rsidRPr="00F20F1D" w:rsidRDefault="006A1079">
      <w:pPr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04" w14:textId="77777777" w:rsidR="006A1079" w:rsidRPr="00F20F1D" w:rsidRDefault="006A1079">
      <w:pPr>
        <w:jc w:val="right"/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05" w14:textId="77777777" w:rsidR="006A1079" w:rsidRPr="00F20F1D" w:rsidRDefault="005956CA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t>Sabías que:</w:t>
      </w:r>
    </w:p>
    <w:p w14:paraId="62780F59" w14:textId="2AE2329F" w:rsidR="5211119B" w:rsidRPr="00F20F1D" w:rsidRDefault="5211119B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</w:p>
    <w:p w14:paraId="00000006" w14:textId="75B60D40" w:rsidR="006A1079" w:rsidRPr="00F20F1D" w:rsidRDefault="005956CA">
      <w:pPr>
        <w:numPr>
          <w:ilvl w:val="0"/>
          <w:numId w:val="3"/>
        </w:numPr>
        <w:spacing w:after="160"/>
        <w:jc w:val="both"/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7 de cada 10 niños utilizan YouTube, convirtiéndose </w:t>
      </w:r>
      <w:r w:rsidR="00F20F1D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-después de </w:t>
      </w:r>
      <w:proofErr w:type="spellStart"/>
      <w:r w:rsidR="00F20F1D" w:rsidRPr="00F20F1D">
        <w:rPr>
          <w:rFonts w:ascii="Work Sans" w:eastAsia="Work Sans" w:hAnsi="Work Sans" w:cs="Work Sans"/>
          <w:color w:val="434343"/>
          <w:sz w:val="24"/>
          <w:szCs w:val="24"/>
        </w:rPr>
        <w:t>Netflix</w:t>
      </w:r>
      <w:proofErr w:type="spellEnd"/>
      <w:r w:rsidR="00F20F1D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-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en la segunda plataforma preferida para ver vídeos en TV. </w:t>
      </w:r>
    </w:p>
    <w:p w14:paraId="00000007" w14:textId="77777777" w:rsidR="006A1079" w:rsidRPr="00F20F1D" w:rsidRDefault="006A1079">
      <w:pPr>
        <w:spacing w:after="160"/>
        <w:ind w:left="7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</w:p>
    <w:p w14:paraId="00000008" w14:textId="0F3ED2A5" w:rsidR="006A1079" w:rsidRPr="00F20F1D" w:rsidRDefault="005956CA" w:rsidP="5211119B">
      <w:pPr>
        <w:numPr>
          <w:ilvl w:val="0"/>
          <w:numId w:val="3"/>
        </w:numPr>
        <w:spacing w:after="160"/>
        <w:jc w:val="both"/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El consumo de vídeos en YouTube entre los menores ha aumentado </w:t>
      </w:r>
      <w:r w:rsidR="2AE7EE04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en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un 50% desde mayo de 2019, siendo los niños los que más tiempo pasan en esta plataforma, alrededor de un 20 % más que las niñas. </w:t>
      </w:r>
    </w:p>
    <w:p w14:paraId="00000009" w14:textId="77777777" w:rsidR="006A1079" w:rsidRPr="00F20F1D" w:rsidRDefault="006A1079">
      <w:pPr>
        <w:spacing w:after="160"/>
        <w:ind w:left="7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</w:p>
    <w:p w14:paraId="0000000A" w14:textId="41A41B0D" w:rsidR="006A1079" w:rsidRPr="00F20F1D" w:rsidRDefault="005956CA">
      <w:pPr>
        <w:numPr>
          <w:ilvl w:val="0"/>
          <w:numId w:val="3"/>
        </w:numPr>
        <w:spacing w:after="160"/>
        <w:jc w:val="both"/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En países de la OCDE (especialmente en </w:t>
      </w:r>
      <w:proofErr w:type="gramStart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EE.UU.</w:t>
      </w:r>
      <w:proofErr w:type="gram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, Reino Unido y España) un estudio del Observatorio de la Infancia de España (2019) señaló que</w:t>
      </w:r>
      <w:r w:rsidR="00602DF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la actividad online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se ha disparado en</w:t>
      </w:r>
      <w:r w:rsidR="3FD0B2E7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menores entre </w:t>
      </w:r>
      <w:r w:rsidR="18846A5F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los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7 y 12 años, aumentando un 180% en la primera semana después del cierre de los colegios.</w:t>
      </w:r>
    </w:p>
    <w:p w14:paraId="0000000B" w14:textId="77777777" w:rsidR="006A1079" w:rsidRPr="00F20F1D" w:rsidRDefault="006A1079">
      <w:pPr>
        <w:spacing w:after="160"/>
        <w:ind w:left="7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</w:p>
    <w:p w14:paraId="0000000C" w14:textId="57376D42" w:rsidR="006A1079" w:rsidRPr="00F20F1D" w:rsidRDefault="005956CA">
      <w:pPr>
        <w:numPr>
          <w:ilvl w:val="0"/>
          <w:numId w:val="3"/>
        </w:numPr>
        <w:spacing w:after="160"/>
        <w:jc w:val="both"/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Los niños pasan al menos 85 minutos al día en YouTube. </w:t>
      </w:r>
      <w:r w:rsidR="6395057B" w:rsidRPr="00F20F1D">
        <w:rPr>
          <w:rFonts w:ascii="Work Sans" w:eastAsia="Work Sans" w:hAnsi="Work Sans" w:cs="Work Sans"/>
          <w:color w:val="434343"/>
          <w:sz w:val="24"/>
          <w:szCs w:val="24"/>
        </w:rPr>
        <w:t>Por ejemplo, e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n Estados Unidos</w:t>
      </w:r>
      <w:r w:rsidR="27C2EFBD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la media es de 100 minutos al día.</w:t>
      </w:r>
    </w:p>
    <w:p w14:paraId="0000000D" w14:textId="77777777" w:rsidR="006A1079" w:rsidRPr="00F20F1D" w:rsidRDefault="006A1079">
      <w:pPr>
        <w:spacing w:after="160"/>
        <w:ind w:left="7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</w:p>
    <w:p w14:paraId="0000000E" w14:textId="707E07FB" w:rsidR="006A1079" w:rsidRPr="00F20F1D" w:rsidRDefault="005956CA">
      <w:pPr>
        <w:numPr>
          <w:ilvl w:val="0"/>
          <w:numId w:val="3"/>
        </w:numPr>
        <w:spacing w:after="160"/>
        <w:jc w:val="both"/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YouTube es la plataforma de video favorita de los niños entre 4 y 12 años, a pesar de que la edad mínima para utilizarla es de 13.</w:t>
      </w:r>
    </w:p>
    <w:p w14:paraId="0000000F" w14:textId="77777777" w:rsidR="006A1079" w:rsidRPr="00F20F1D" w:rsidRDefault="006A1079">
      <w:pPr>
        <w:widowControl w:val="0"/>
        <w:rPr>
          <w:rFonts w:ascii="Work Sans" w:eastAsia="Work Sans" w:hAnsi="Work Sans" w:cs="Work Sans"/>
          <w:color w:val="434343"/>
          <w:sz w:val="18"/>
          <w:szCs w:val="18"/>
        </w:rPr>
      </w:pPr>
    </w:p>
    <w:p w14:paraId="00000010" w14:textId="77777777" w:rsidR="006A1079" w:rsidRPr="00F20F1D" w:rsidRDefault="005956CA">
      <w:pPr>
        <w:widowControl w:val="0"/>
        <w:rPr>
          <w:rFonts w:ascii="Work Sans" w:eastAsia="Work Sans" w:hAnsi="Work Sans" w:cs="Work Sans"/>
          <w:color w:val="434343"/>
          <w:sz w:val="18"/>
          <w:szCs w:val="18"/>
        </w:rPr>
      </w:pPr>
      <w:r w:rsidRPr="00F20F1D">
        <w:rPr>
          <w:rFonts w:ascii="Work Sans" w:eastAsia="Work Sans" w:hAnsi="Work Sans" w:cs="Work Sans"/>
          <w:color w:val="434343"/>
          <w:sz w:val="18"/>
          <w:szCs w:val="18"/>
        </w:rPr>
        <w:t xml:space="preserve">Fuente: </w:t>
      </w:r>
      <w:hyperlink r:id="rId8">
        <w:r w:rsidRPr="00F20F1D">
          <w:rPr>
            <w:rFonts w:ascii="Work Sans" w:eastAsia="Work Sans" w:hAnsi="Work Sans" w:cs="Work Sans"/>
            <w:color w:val="434343"/>
            <w:sz w:val="18"/>
            <w:szCs w:val="18"/>
          </w:rPr>
          <w:t>Observatorio de la infancia</w:t>
        </w:r>
      </w:hyperlink>
      <w:r w:rsidRPr="00F20F1D">
        <w:rPr>
          <w:rFonts w:ascii="Work Sans" w:eastAsia="Work Sans" w:hAnsi="Work Sans" w:cs="Work Sans"/>
          <w:color w:val="434343"/>
          <w:sz w:val="18"/>
          <w:szCs w:val="18"/>
        </w:rPr>
        <w:t xml:space="preserve"> 2019. Estudio realizado en países de la OCDE (principal foco en </w:t>
      </w:r>
      <w:proofErr w:type="gramStart"/>
      <w:r w:rsidRPr="00F20F1D">
        <w:rPr>
          <w:rFonts w:ascii="Work Sans" w:eastAsia="Work Sans" w:hAnsi="Work Sans" w:cs="Work Sans"/>
          <w:color w:val="434343"/>
          <w:sz w:val="18"/>
          <w:szCs w:val="18"/>
        </w:rPr>
        <w:t>EE.UU.</w:t>
      </w:r>
      <w:proofErr w:type="gramEnd"/>
      <w:r w:rsidRPr="00F20F1D">
        <w:rPr>
          <w:rFonts w:ascii="Work Sans" w:eastAsia="Work Sans" w:hAnsi="Work Sans" w:cs="Work Sans"/>
          <w:color w:val="434343"/>
          <w:sz w:val="18"/>
          <w:szCs w:val="18"/>
        </w:rPr>
        <w:t>, Reino Unido y España).</w:t>
      </w:r>
    </w:p>
    <w:p w14:paraId="00000011" w14:textId="77777777" w:rsidR="006A1079" w:rsidRPr="00F20F1D" w:rsidRDefault="006A1079">
      <w:pPr>
        <w:widowControl w:val="0"/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12" w14:textId="77777777" w:rsidR="006A1079" w:rsidRPr="00F20F1D" w:rsidRDefault="006A1079">
      <w:pPr>
        <w:widowControl w:val="0"/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13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14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15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16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17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18" w14:textId="306BBE4A" w:rsidR="006A1079" w:rsidRPr="00F20F1D" w:rsidRDefault="005956CA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t>¿Qué es STEM+A?</w:t>
      </w:r>
    </w:p>
    <w:p w14:paraId="494EC3C7" w14:textId="35FE4F1C" w:rsidR="5211119B" w:rsidRPr="00F20F1D" w:rsidRDefault="5211119B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</w:p>
    <w:p w14:paraId="00000019" w14:textId="3902AE27" w:rsidR="006A1079" w:rsidRPr="00F20F1D" w:rsidRDefault="005956CA" w:rsidP="5211119B">
      <w:pPr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El término STEM apareció por primera vez en 1990 en Estados Unidos. Fue creado por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The</w:t>
      </w:r>
      <w:proofErr w:type="spellEnd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National</w:t>
      </w:r>
      <w:proofErr w:type="spellEnd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Science</w:t>
      </w:r>
      <w:proofErr w:type="spellEnd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Fundation</w:t>
      </w:r>
      <w:proofErr w:type="spell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como un acrónimo de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Science</w:t>
      </w:r>
      <w:proofErr w:type="spellEnd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,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Technology</w:t>
      </w:r>
      <w:proofErr w:type="spellEnd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,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Engineering</w:t>
      </w:r>
      <w:proofErr w:type="spellEnd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 y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Mathematics</w:t>
      </w:r>
      <w:proofErr w:type="spellEnd"/>
      <w:r w:rsidR="517F100B"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, con él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se hacía referencia de forma general a eventos, políticas, proyectos o programas alusivos a estas áreas (</w:t>
      </w:r>
      <w:proofErr w:type="spellStart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Bybee</w:t>
      </w:r>
      <w:proofErr w:type="spell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, 2013). Para ese entonces, el énfasis se centró en</w:t>
      </w:r>
      <w:r w:rsidR="4B9CABC9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cada área individualmente, pues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aún no se vislumbraba su integración.</w:t>
      </w:r>
    </w:p>
    <w:p w14:paraId="0000001A" w14:textId="0EB12C7D" w:rsidR="006A1079" w:rsidRPr="00F20F1D" w:rsidRDefault="45BA4787">
      <w:pPr>
        <w:spacing w:before="320" w:after="46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Para el año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2008, Georgette </w:t>
      </w:r>
      <w:proofErr w:type="spellStart"/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Yakman</w:t>
      </w:r>
      <w:proofErr w:type="spellEnd"/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propuso en los Estados Unidos un nuevo marco de comprensión del enfoque, invitando a pasar de STEM a STEAM</w:t>
      </w:r>
      <w:r w:rsidR="241FE045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. La idea era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adoptar un </w:t>
      </w:r>
      <w:r w:rsidR="5D4B08ED" w:rsidRPr="00F20F1D">
        <w:rPr>
          <w:rFonts w:ascii="Work Sans" w:eastAsia="Work Sans" w:hAnsi="Work Sans" w:cs="Work Sans"/>
          <w:color w:val="434343"/>
          <w:sz w:val="24"/>
          <w:szCs w:val="24"/>
        </w:rPr>
        <w:t>enfoque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humanístico en el que la “A” h</w:t>
      </w:r>
      <w:r w:rsidR="60773792" w:rsidRPr="00F20F1D">
        <w:rPr>
          <w:rFonts w:ascii="Work Sans" w:eastAsia="Work Sans" w:hAnsi="Work Sans" w:cs="Work Sans"/>
          <w:color w:val="434343"/>
          <w:sz w:val="24"/>
          <w:szCs w:val="24"/>
        </w:rPr>
        <w:t>iciera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alusión a las artes físicas, plásticas,</w:t>
      </w:r>
      <w:r w:rsidR="5768A4AB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manuales y </w:t>
      </w:r>
      <w:r w:rsidR="2F333095" w:rsidRPr="00F20F1D">
        <w:rPr>
          <w:rFonts w:ascii="Work Sans" w:eastAsia="Work Sans" w:hAnsi="Work Sans" w:cs="Work Sans"/>
          <w:color w:val="434343"/>
          <w:sz w:val="24"/>
          <w:szCs w:val="24"/>
        </w:rPr>
        <w:t>al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lenguaje (Ruíz, 2017). Este nuevo abordaje buscaba</w:t>
      </w:r>
      <w:r w:rsidR="6613CFB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-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además</w:t>
      </w:r>
      <w:r w:rsidR="5E235902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-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promover una reflexión sobre las prácticas docentes que debían desarrollarse para cumplir con los objetivos de</w:t>
      </w:r>
      <w:r w:rsidR="0E7229E8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dicho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enfoque.</w:t>
      </w:r>
    </w:p>
    <w:p w14:paraId="7F6B9C5B" w14:textId="47011E58" w:rsidR="006A1079" w:rsidRPr="00F20F1D" w:rsidRDefault="3D907652" w:rsidP="5211119B">
      <w:pPr>
        <w:spacing w:before="320" w:after="460"/>
        <w:jc w:val="both"/>
        <w:rPr>
          <w:rFonts w:ascii="Work Sans" w:eastAsia="Work Sans" w:hAnsi="Work Sans" w:cs="Work Sans"/>
          <w:b/>
          <w:bCs/>
          <w:color w:val="434343"/>
          <w:sz w:val="24"/>
          <w:szCs w:val="24"/>
        </w:rPr>
      </w:pPr>
      <w:proofErr w:type="gramStart"/>
      <w:r w:rsidRPr="00F20F1D">
        <w:rPr>
          <w:rFonts w:ascii="Work Sans" w:eastAsia="Work Sans" w:hAnsi="Work Sans" w:cs="Work Sans"/>
          <w:b/>
          <w:bCs/>
          <w:color w:val="434343"/>
          <w:sz w:val="24"/>
          <w:szCs w:val="24"/>
        </w:rPr>
        <w:t>¿ Por</w:t>
      </w:r>
      <w:proofErr w:type="gramEnd"/>
      <w:r w:rsidRPr="00F20F1D">
        <w:rPr>
          <w:rFonts w:ascii="Work Sans" w:eastAsia="Work Sans" w:hAnsi="Work Sans" w:cs="Work Sans"/>
          <w:b/>
          <w:bCs/>
          <w:color w:val="434343"/>
          <w:sz w:val="24"/>
          <w:szCs w:val="24"/>
        </w:rPr>
        <w:t xml:space="preserve"> qué es importante el enfoque para nuestros estudiantes?</w:t>
      </w:r>
    </w:p>
    <w:p w14:paraId="0000001B" w14:textId="6A1CB345" w:rsidR="006A1079" w:rsidRPr="00F20F1D" w:rsidRDefault="3D907652">
      <w:pPr>
        <w:spacing w:before="320" w:after="46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Sin duda,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STEM+A es un enfoque educativo que le</w:t>
      </w:r>
      <w:r w:rsidR="2B65176A" w:rsidRPr="00F20F1D">
        <w:rPr>
          <w:rFonts w:ascii="Work Sans" w:eastAsia="Work Sans" w:hAnsi="Work Sans" w:cs="Work Sans"/>
          <w:color w:val="434343"/>
          <w:sz w:val="24"/>
          <w:szCs w:val="24"/>
        </w:rPr>
        <w:t>s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permite vivir experiencias de aprendizaje activo e integrar diversas áreas de conocimiento </w:t>
      </w:r>
      <w:r w:rsidR="13722553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con el propósito de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desarrollar competencias para </w:t>
      </w:r>
      <w:r w:rsidR="4775BFA6" w:rsidRPr="00F20F1D">
        <w:rPr>
          <w:rFonts w:ascii="Work Sans" w:eastAsia="Work Sans" w:hAnsi="Work Sans" w:cs="Work Sans"/>
          <w:color w:val="434343"/>
          <w:sz w:val="24"/>
          <w:szCs w:val="24"/>
        </w:rPr>
        <w:t>su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vida y conectarse</w:t>
      </w:r>
      <w:r w:rsidR="0797F357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así,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con las dinámicas y desafíos del contexto local y global (Sacado del documento Visión STEM+A).</w:t>
      </w:r>
    </w:p>
    <w:p w14:paraId="4CB16019" w14:textId="10B3506D" w:rsidR="006A1079" w:rsidRPr="00F20F1D" w:rsidRDefault="65ED19A6" w:rsidP="5211119B">
      <w:pPr>
        <w:spacing w:before="320" w:after="460"/>
        <w:jc w:val="both"/>
        <w:rPr>
          <w:rFonts w:ascii="Work Sans" w:eastAsia="Work Sans" w:hAnsi="Work Sans" w:cs="Work Sans"/>
          <w:b/>
          <w:bCs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b/>
          <w:bCs/>
          <w:color w:val="434343"/>
          <w:sz w:val="24"/>
          <w:szCs w:val="24"/>
        </w:rPr>
        <w:t>Problemas en la educación tradicional</w:t>
      </w:r>
      <w:r w:rsidR="7B632446" w:rsidRPr="00F20F1D">
        <w:rPr>
          <w:rFonts w:ascii="Work Sans" w:eastAsia="Work Sans" w:hAnsi="Work Sans" w:cs="Work Sans"/>
          <w:b/>
          <w:bCs/>
          <w:color w:val="434343"/>
          <w:sz w:val="24"/>
          <w:szCs w:val="24"/>
        </w:rPr>
        <w:t xml:space="preserve"> que busca superar el enfoque STEM</w:t>
      </w:r>
    </w:p>
    <w:p w14:paraId="0000001C" w14:textId="47F8F0BC" w:rsidR="006A1079" w:rsidRPr="00F20F1D" w:rsidRDefault="005956CA" w:rsidP="5211119B">
      <w:pPr>
        <w:spacing w:before="320" w:after="46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Desde preescolar hasta el grado 1</w:t>
      </w:r>
      <w:r w:rsidR="00602DF1" w:rsidRPr="00F20F1D">
        <w:rPr>
          <w:rFonts w:ascii="Work Sans" w:eastAsia="Work Sans" w:hAnsi="Work Sans" w:cs="Work Sans"/>
          <w:color w:val="434343"/>
          <w:sz w:val="24"/>
          <w:szCs w:val="24"/>
        </w:rPr>
        <w:t>1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, la mayoría de </w:t>
      </w:r>
      <w:proofErr w:type="gramStart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instituciones</w:t>
      </w:r>
      <w:proofErr w:type="gram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se enfoca en enseñar ciencias “S” y matemáticas “M”</w:t>
      </w:r>
      <w:r w:rsidR="64FA1EDA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prestando muy poca atención a la tecnología “T”</w:t>
      </w:r>
      <w:r w:rsidR="55A07FF8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que refleja los productos y sistemas que necesitan la mayoría de seres humanos</w:t>
      </w:r>
      <w:r w:rsidR="217D1CE8" w:rsidRPr="00F20F1D">
        <w:rPr>
          <w:rFonts w:ascii="Work Sans" w:eastAsia="Work Sans" w:hAnsi="Work Sans" w:cs="Work Sans"/>
          <w:color w:val="434343"/>
          <w:sz w:val="24"/>
          <w:szCs w:val="24"/>
        </w:rPr>
        <w:t>. Adicionalmente, otra área sin mucha trascendencia en la educación básica y media es</w:t>
      </w:r>
      <w:r w:rsidR="2268E756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la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ingeniería “E”</w:t>
      </w:r>
      <w:r w:rsidR="00602DF1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que refleja el proceso de diseño e innovación de cada sistema. </w:t>
      </w:r>
      <w:r w:rsidR="7922C00F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Si lo pensamos con detenimiento, </w:t>
      </w:r>
      <w:r w:rsidR="399F5AEC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tanto la ingeniería como la tecnología </w:t>
      </w:r>
      <w:r w:rsidR="69309500" w:rsidRPr="00F20F1D">
        <w:rPr>
          <w:rFonts w:ascii="Work Sans" w:eastAsia="Work Sans" w:hAnsi="Work Sans" w:cs="Work Sans"/>
          <w:color w:val="434343"/>
          <w:sz w:val="24"/>
          <w:szCs w:val="24"/>
        </w:rPr>
        <w:t>son</w:t>
      </w:r>
      <w:r w:rsidR="3159DE7F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indispensables en un proceso de formación que busca consolidar mentes innovadoras, no solo dispuestas al cambio sino competentes con las nuevas generaciones</w:t>
      </w:r>
      <w:r w:rsidR="634E30BE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y sus necesidades</w:t>
      </w:r>
      <w:r w:rsidR="3159DE7F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. </w:t>
      </w:r>
      <w:r w:rsidR="5B3298A3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Otro punto en </w:t>
      </w:r>
      <w:r w:rsidR="7CD224EC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su </w:t>
      </w:r>
      <w:r w:rsidR="5B3298A3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contra es que son asignaturas que se imparten de manera </w:t>
      </w:r>
      <w:r w:rsidR="5B3298A3" w:rsidRPr="00F20F1D">
        <w:rPr>
          <w:rFonts w:ascii="Work Sans" w:eastAsia="Work Sans" w:hAnsi="Work Sans" w:cs="Work Sans"/>
          <w:color w:val="434343"/>
          <w:sz w:val="24"/>
          <w:szCs w:val="24"/>
        </w:rPr>
        <w:lastRenderedPageBreak/>
        <w:t xml:space="preserve">separada y poco articulada. </w:t>
      </w:r>
      <w:r w:rsidR="2028AAC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Por eso razón, y </w:t>
      </w:r>
      <w:r w:rsidR="0EEFE9BB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rastreando estos </w:t>
      </w:r>
      <w:r w:rsidR="2028AAC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limitantes es que el enfoque STEM </w:t>
      </w:r>
      <w:r w:rsidR="5906AF46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está pensado para </w:t>
      </w:r>
      <w:r w:rsidR="2028AAC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potenciar en los estudiantes: </w:t>
      </w:r>
    </w:p>
    <w:p w14:paraId="0000001E" w14:textId="77777777" w:rsidR="006A1079" w:rsidRPr="00F20F1D" w:rsidRDefault="006A1079">
      <w:pPr>
        <w:rPr>
          <w:rFonts w:ascii="Work Sans" w:eastAsia="Work Sans" w:hAnsi="Work Sans" w:cs="Work Sans"/>
          <w:color w:val="434343"/>
          <w:sz w:val="24"/>
          <w:szCs w:val="24"/>
        </w:rPr>
      </w:pPr>
    </w:p>
    <w:p w14:paraId="0000001F" w14:textId="4417DC43" w:rsidR="006A1079" w:rsidRPr="00F20F1D" w:rsidRDefault="6621E5D8" w:rsidP="5211119B">
      <w:pPr>
        <w:numPr>
          <w:ilvl w:val="0"/>
          <w:numId w:val="4"/>
        </w:numPr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La </w:t>
      </w:r>
      <w:r w:rsidR="26651C97" w:rsidRPr="00F20F1D">
        <w:rPr>
          <w:rFonts w:ascii="Work Sans" w:eastAsia="Work Sans" w:hAnsi="Work Sans" w:cs="Work Sans"/>
          <w:color w:val="434343"/>
          <w:sz w:val="24"/>
          <w:szCs w:val="24"/>
        </w:rPr>
        <w:t>investigación</w:t>
      </w:r>
    </w:p>
    <w:p w14:paraId="00000020" w14:textId="136F4049" w:rsidR="006A1079" w:rsidRPr="00F20F1D" w:rsidRDefault="26651C97">
      <w:pPr>
        <w:numPr>
          <w:ilvl w:val="0"/>
          <w:numId w:val="4"/>
        </w:numPr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El p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ensamiento crítico</w:t>
      </w:r>
    </w:p>
    <w:p w14:paraId="00000021" w14:textId="00C5A5D0" w:rsidR="006A1079" w:rsidRPr="00F20F1D" w:rsidRDefault="03AC015E" w:rsidP="5211119B">
      <w:pPr>
        <w:numPr>
          <w:ilvl w:val="0"/>
          <w:numId w:val="4"/>
        </w:numPr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La res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olución de problemas</w:t>
      </w:r>
    </w:p>
    <w:p w14:paraId="00000022" w14:textId="6DFF4DDB" w:rsidR="006A1079" w:rsidRPr="00F20F1D" w:rsidRDefault="3FEA6DBA">
      <w:pPr>
        <w:numPr>
          <w:ilvl w:val="0"/>
          <w:numId w:val="4"/>
        </w:numPr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La c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reatividad</w:t>
      </w:r>
    </w:p>
    <w:p w14:paraId="00000023" w14:textId="6FED107F" w:rsidR="006A1079" w:rsidRPr="00F20F1D" w:rsidRDefault="15C16288">
      <w:pPr>
        <w:numPr>
          <w:ilvl w:val="0"/>
          <w:numId w:val="4"/>
        </w:numPr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La c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omunicación</w:t>
      </w:r>
    </w:p>
    <w:p w14:paraId="00000024" w14:textId="04A5DC54" w:rsidR="006A1079" w:rsidRPr="00F20F1D" w:rsidRDefault="0645B138">
      <w:pPr>
        <w:numPr>
          <w:ilvl w:val="0"/>
          <w:numId w:val="4"/>
        </w:numPr>
        <w:rPr>
          <w:rFonts w:ascii="Work Sans" w:eastAsia="Work Sans" w:hAnsi="Work Sans" w:cs="Work Sans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La c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olaboración</w:t>
      </w:r>
    </w:p>
    <w:p w14:paraId="00000025" w14:textId="77777777" w:rsidR="006A1079" w:rsidRPr="00F20F1D" w:rsidRDefault="006A1079">
      <w:pPr>
        <w:rPr>
          <w:rFonts w:ascii="Work Sans" w:eastAsia="Work Sans" w:hAnsi="Work Sans" w:cs="Work Sans"/>
          <w:color w:val="434343"/>
          <w:sz w:val="24"/>
          <w:szCs w:val="24"/>
        </w:rPr>
      </w:pPr>
    </w:p>
    <w:p w14:paraId="00000026" w14:textId="77777777" w:rsidR="006A1079" w:rsidRPr="00F20F1D" w:rsidRDefault="005956CA">
      <w:pPr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Leer más en: </w:t>
      </w:r>
      <w:hyperlink r:id="rId9">
        <w:r w:rsidRPr="00F20F1D">
          <w:rPr>
            <w:rFonts w:ascii="Work Sans" w:eastAsia="Work Sans" w:hAnsi="Work Sans" w:cs="Work Sans"/>
            <w:color w:val="1155CC"/>
            <w:sz w:val="24"/>
            <w:szCs w:val="24"/>
            <w:u w:val="single"/>
          </w:rPr>
          <w:t>Ruta STEM</w:t>
        </w:r>
      </w:hyperlink>
    </w:p>
    <w:p w14:paraId="00000027" w14:textId="77777777" w:rsidR="006A1079" w:rsidRPr="00F20F1D" w:rsidRDefault="006A1079">
      <w:pPr>
        <w:rPr>
          <w:rFonts w:ascii="Helvetica Neue Light" w:eastAsia="Helvetica Neue Light" w:hAnsi="Helvetica Neue Light" w:cs="Helvetica Neue Light"/>
          <w:color w:val="434343"/>
          <w:sz w:val="26"/>
          <w:szCs w:val="26"/>
        </w:rPr>
      </w:pPr>
    </w:p>
    <w:p w14:paraId="194BA12A" w14:textId="77777777" w:rsidR="00602DF1" w:rsidRPr="00F20F1D" w:rsidRDefault="00602DF1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1BA9BF0B" w14:textId="0E0BE547" w:rsidR="5211119B" w:rsidRPr="00F20F1D" w:rsidRDefault="5211119B">
      <w:r w:rsidRPr="00F20F1D">
        <w:br w:type="page"/>
      </w:r>
    </w:p>
    <w:p w14:paraId="00000028" w14:textId="7BC03F5C" w:rsidR="006A1079" w:rsidRPr="00F20F1D" w:rsidRDefault="005956CA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lastRenderedPageBreak/>
        <w:t xml:space="preserve">¿Qué es </w:t>
      </w:r>
      <w:proofErr w:type="spellStart"/>
      <w:r w:rsidRPr="00F20F1D">
        <w:rPr>
          <w:rFonts w:ascii="Helvetica Neue" w:eastAsia="Helvetica Neue" w:hAnsi="Helvetica Neue" w:cs="Helvetica Neue"/>
          <w:b/>
          <w:bCs/>
          <w:i/>
          <w:iCs/>
          <w:color w:val="246890"/>
          <w:sz w:val="26"/>
          <w:szCs w:val="26"/>
        </w:rPr>
        <w:t>edutainment</w:t>
      </w:r>
      <w:proofErr w:type="spellEnd"/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t>?</w:t>
      </w:r>
    </w:p>
    <w:p w14:paraId="2B505803" w14:textId="62B2D153" w:rsidR="5211119B" w:rsidRPr="00F20F1D" w:rsidRDefault="5211119B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</w:p>
    <w:p w14:paraId="00000029" w14:textId="6C7C28DA" w:rsidR="006A1079" w:rsidRPr="00F20F1D" w:rsidRDefault="005956CA" w:rsidP="5211119B">
      <w:pPr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Es una palabra </w:t>
      </w:r>
      <w:r w:rsidR="19BF9F6C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inglesa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que está compuesta por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education</w:t>
      </w:r>
      <w:proofErr w:type="spell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y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entertainment</w:t>
      </w:r>
      <w:proofErr w:type="spellEnd"/>
      <w:r w:rsidR="2C6F3076"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 xml:space="preserve">, </w:t>
      </w:r>
      <w:r w:rsidR="2C6F3076" w:rsidRPr="00F20F1D">
        <w:rPr>
          <w:rFonts w:ascii="Work Sans" w:eastAsia="Work Sans" w:hAnsi="Work Sans" w:cs="Work Sans"/>
          <w:color w:val="434343"/>
          <w:sz w:val="24"/>
          <w:szCs w:val="24"/>
        </w:rPr>
        <w:t>y propone u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na </w:t>
      </w:r>
      <w:r w:rsidR="079A229E" w:rsidRPr="00F20F1D">
        <w:rPr>
          <w:rFonts w:ascii="Work Sans" w:eastAsia="Work Sans" w:hAnsi="Work Sans" w:cs="Work Sans"/>
          <w:color w:val="434343"/>
          <w:sz w:val="24"/>
          <w:szCs w:val="24"/>
        </w:rPr>
        <w:t>articulación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de métodos y tipos de formación que combinan la presentación de la información educativa con elementos de entretenimiento. Su objetivo es motivar al </w:t>
      </w:r>
      <w:r w:rsidR="4157F559" w:rsidRPr="00F20F1D">
        <w:rPr>
          <w:rFonts w:ascii="Work Sans" w:eastAsia="Work Sans" w:hAnsi="Work Sans" w:cs="Work Sans"/>
          <w:color w:val="434343"/>
          <w:sz w:val="24"/>
          <w:szCs w:val="24"/>
        </w:rPr>
        <w:t>estudiante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en el proceso de aprendizaje </w:t>
      </w:r>
      <w:r w:rsidR="1ECA934B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y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aumentar </w:t>
      </w:r>
      <w:r w:rsidR="7FFCDA8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su capacidad de retener información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y de transfer</w:t>
      </w:r>
      <w:r w:rsidR="1F8418CC" w:rsidRPr="00F20F1D">
        <w:rPr>
          <w:rFonts w:ascii="Work Sans" w:eastAsia="Work Sans" w:hAnsi="Work Sans" w:cs="Work Sans"/>
          <w:color w:val="434343"/>
          <w:sz w:val="24"/>
          <w:szCs w:val="24"/>
        </w:rPr>
        <w:t>irla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a diferentes campos de aplicación.</w:t>
      </w:r>
    </w:p>
    <w:p w14:paraId="0852B5FE" w14:textId="072A256C" w:rsidR="00602DF1" w:rsidRPr="00F20F1D" w:rsidRDefault="5F4F4D23" w:rsidP="5211119B">
      <w:pPr>
        <w:shd w:val="clear" w:color="auto" w:fill="FFFFFF" w:themeFill="background1"/>
        <w:spacing w:before="240" w:after="24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El </w:t>
      </w:r>
      <w:proofErr w:type="spellStart"/>
      <w:r w:rsidRPr="00F20F1D">
        <w:rPr>
          <w:rFonts w:ascii="Work Sans" w:eastAsia="Work Sans" w:hAnsi="Work Sans" w:cs="Work Sans"/>
          <w:i/>
          <w:iCs/>
          <w:color w:val="434343"/>
          <w:sz w:val="24"/>
          <w:szCs w:val="24"/>
        </w:rPr>
        <w:t>edutainmen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t</w:t>
      </w:r>
      <w:proofErr w:type="spell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nos enseña que l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as personas desarrollan habilidades y adquieren</w:t>
      </w:r>
      <w:r w:rsidR="00602DF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mejor los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conocimientos cuando se implican activamente en el proceso de aprendizaje.</w:t>
      </w:r>
      <w:r w:rsidR="1DF43255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Así las cosas, e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 </w:t>
      </w:r>
      <w:r w:rsidR="005956CA" w:rsidRPr="00F20F1D">
        <w:rPr>
          <w:rFonts w:ascii="Work Sans" w:eastAsia="Work Sans" w:hAnsi="Work Sans" w:cs="Work Sans"/>
          <w:b/>
          <w:bCs/>
          <w:color w:val="434343"/>
          <w:sz w:val="24"/>
          <w:szCs w:val="24"/>
        </w:rPr>
        <w:t>entretenimiento educativo</w:t>
      </w:r>
      <w:r w:rsidR="162F847B" w:rsidRPr="00F20F1D">
        <w:rPr>
          <w:rFonts w:ascii="Work Sans" w:eastAsia="Work Sans" w:hAnsi="Work Sans" w:cs="Work Sans"/>
          <w:b/>
          <w:bCs/>
          <w:color w:val="434343"/>
          <w:sz w:val="24"/>
          <w:szCs w:val="24"/>
        </w:rPr>
        <w:t xml:space="preserve"> </w:t>
      </w:r>
      <w:r w:rsidR="162F847B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propuesto por el </w:t>
      </w:r>
      <w:proofErr w:type="spellStart"/>
      <w:r w:rsidR="162F847B" w:rsidRPr="00F20F1D">
        <w:rPr>
          <w:rFonts w:ascii="Work Sans" w:eastAsia="Work Sans" w:hAnsi="Work Sans" w:cs="Work Sans"/>
          <w:color w:val="434343"/>
          <w:sz w:val="24"/>
          <w:szCs w:val="24"/>
        </w:rPr>
        <w:t>edutainment</w:t>
      </w:r>
      <w:proofErr w:type="spellEnd"/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, también conocido como “</w:t>
      </w:r>
      <w:proofErr w:type="spellStart"/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eduentretenimiento</w:t>
      </w:r>
      <w:proofErr w:type="spellEnd"/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”, incorpora soluciones, contenido</w:t>
      </w:r>
      <w:r w:rsidR="42EFF02C" w:rsidRPr="00F20F1D">
        <w:rPr>
          <w:rFonts w:ascii="Work Sans" w:eastAsia="Work Sans" w:hAnsi="Work Sans" w:cs="Work Sans"/>
          <w:color w:val="434343"/>
          <w:sz w:val="24"/>
          <w:szCs w:val="24"/>
        </w:rPr>
        <w:t>s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, sistema</w:t>
      </w:r>
      <w:r w:rsidR="3D03A5B4" w:rsidRPr="00F20F1D">
        <w:rPr>
          <w:rFonts w:ascii="Work Sans" w:eastAsia="Work Sans" w:hAnsi="Work Sans" w:cs="Work Sans"/>
          <w:color w:val="434343"/>
          <w:sz w:val="24"/>
          <w:szCs w:val="24"/>
        </w:rPr>
        <w:t>s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y herramientas de</w:t>
      </w:r>
      <w:r w:rsidR="3B6757FD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los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medios digitales y el entretenimiento</w:t>
      </w:r>
      <w:r w:rsidR="042A265F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al modelo educativo.</w:t>
      </w:r>
    </w:p>
    <w:p w14:paraId="0000002A" w14:textId="159CAA3C" w:rsidR="006A1079" w:rsidRPr="00F20F1D" w:rsidRDefault="6523784B" w:rsidP="5211119B">
      <w:pPr>
        <w:shd w:val="clear" w:color="auto" w:fill="FFFFFF" w:themeFill="background1"/>
        <w:spacing w:before="240" w:after="24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Otro punto a favor de estas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innovaciones </w:t>
      </w:r>
      <w:r w:rsidR="14D76654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es que </w:t>
      </w:r>
      <w:r w:rsidR="00602DF1" w:rsidRPr="00F20F1D">
        <w:rPr>
          <w:rFonts w:ascii="Work Sans" w:eastAsia="Work Sans" w:hAnsi="Work Sans" w:cs="Work Sans"/>
          <w:color w:val="434343"/>
          <w:sz w:val="24"/>
          <w:szCs w:val="24"/>
        </w:rPr>
        <w:t>potencian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las estructuras del pensamiento humano al recurrir a una interacción lúdica</w:t>
      </w:r>
      <w:r w:rsidR="1C134C9C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y a sistemas de lógica y recompensa para maximizar la implicación y el entretenimiento de los estudiantes, </w:t>
      </w:r>
      <w:r w:rsidR="49148437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lo que mejora su </w:t>
      </w:r>
      <w:r w:rsidR="49FB6B96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proceso de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aprendizaje</w:t>
      </w:r>
      <w:r w:rsidR="4D896B5D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y su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calidad.</w:t>
      </w:r>
    </w:p>
    <w:p w14:paraId="0000002B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59B49BD2" w14:textId="5542D108" w:rsidR="5211119B" w:rsidRPr="00F20F1D" w:rsidRDefault="5211119B">
      <w:r w:rsidRPr="00F20F1D">
        <w:br w:type="page"/>
      </w:r>
    </w:p>
    <w:p w14:paraId="0000002C" w14:textId="5A1A0110" w:rsidR="006A1079" w:rsidRPr="00F20F1D" w:rsidRDefault="55F6EFC3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lastRenderedPageBreak/>
        <w:t>¿</w:t>
      </w:r>
      <w:r w:rsidR="005956CA"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t>Qué son las TIC</w:t>
      </w:r>
      <w:r w:rsidR="4EDBFEE9"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t>?</w:t>
      </w:r>
    </w:p>
    <w:p w14:paraId="150F5378" w14:textId="75DF34A9" w:rsidR="5211119B" w:rsidRPr="00F20F1D" w:rsidRDefault="5211119B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</w:p>
    <w:p w14:paraId="3C3FFEC3" w14:textId="01BE97D6" w:rsidR="00602DF1" w:rsidRPr="00F20F1D" w:rsidRDefault="005956CA" w:rsidP="5211119B">
      <w:pPr>
        <w:spacing w:after="60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TIC o tecnologías de la información y la comunicación son tecnologías que utilizan la informática, la microelectrónica y las telecomunicaciones para crear nuevas formas de comunicación </w:t>
      </w:r>
      <w:r w:rsidR="6F9F92D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desde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herramientas de carácter tecnológico y comunicacional, </w:t>
      </w:r>
      <w:r w:rsidR="5AD91663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todo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con el fin de facilitar la emisión, acceso y tratamiento de la información.</w:t>
      </w:r>
    </w:p>
    <w:p w14:paraId="178CFC23" w14:textId="2C8D9222" w:rsidR="00602DF1" w:rsidRPr="00F20F1D" w:rsidRDefault="236B79ED" w:rsidP="5211119B">
      <w:pPr>
        <w:spacing w:after="60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Es importante recordar que e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sta nueva forma de procesamiento de la información logra combinar las tecnologías de la comunicación (TC) y las tecnologías de la información (TI)</w:t>
      </w:r>
      <w:r w:rsidR="3A8D72A9" w:rsidRPr="00F20F1D">
        <w:rPr>
          <w:rFonts w:ascii="Work Sans" w:eastAsia="Work Sans" w:hAnsi="Work Sans" w:cs="Work Sans"/>
          <w:color w:val="434343"/>
          <w:sz w:val="24"/>
          <w:szCs w:val="24"/>
        </w:rPr>
        <w:t>. L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as primeras compuestas por la radio, la telefonía y la televisión</w:t>
      </w:r>
      <w:r w:rsidR="3574700F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; y las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segundas</w:t>
      </w:r>
      <w:r w:rsidR="6682C6D0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, centradas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en la digitalización de las tecnologías de registro de contenidos.</w:t>
      </w:r>
    </w:p>
    <w:p w14:paraId="5DF92151" w14:textId="262127CE" w:rsidR="006A1079" w:rsidRPr="00F20F1D" w:rsidRDefault="448F005C" w:rsidP="5211119B">
      <w:pPr>
        <w:spacing w:after="60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Estas dos tecnologías</w:t>
      </w:r>
      <w:r w:rsidR="33A9DA8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</w:t>
      </w:r>
      <w:r w:rsidR="15CCCF3E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- </w:t>
      </w:r>
      <w:r w:rsidR="7C3C4BD1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en el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desarrollo de redes </w:t>
      </w:r>
      <w:r w:rsidR="7CD5A252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-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da</w:t>
      </w:r>
      <w:r w:rsidR="61CB339F" w:rsidRPr="00F20F1D">
        <w:rPr>
          <w:rFonts w:ascii="Work Sans" w:eastAsia="Work Sans" w:hAnsi="Work Sans" w:cs="Work Sans"/>
          <w:color w:val="434343"/>
          <w:sz w:val="24"/>
          <w:szCs w:val="24"/>
        </w:rPr>
        <w:t>n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como resultado un mayor acceso a la información</w:t>
      </w:r>
      <w:r w:rsidR="6775C19C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, y personas que 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pued</w:t>
      </w:r>
      <w:r w:rsidR="61A07319" w:rsidRPr="00F20F1D">
        <w:rPr>
          <w:rFonts w:ascii="Work Sans" w:eastAsia="Work Sans" w:hAnsi="Work Sans" w:cs="Work Sans"/>
          <w:color w:val="434343"/>
          <w:sz w:val="24"/>
          <w:szCs w:val="24"/>
        </w:rPr>
        <w:t>e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n</w:t>
      </w:r>
      <w:r w:rsidR="7CCC3FBC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: </w:t>
      </w:r>
    </w:p>
    <w:p w14:paraId="15377D5F" w14:textId="65272092" w:rsidR="006A1079" w:rsidRPr="00F20F1D" w:rsidRDefault="7CCC3FBC" w:rsidP="5211119B">
      <w:pPr>
        <w:pStyle w:val="Prrafodelista"/>
        <w:numPr>
          <w:ilvl w:val="0"/>
          <w:numId w:val="1"/>
        </w:numPr>
        <w:spacing w:after="60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C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omunicarse sin importar la distancia</w:t>
      </w:r>
    </w:p>
    <w:p w14:paraId="74C31610" w14:textId="22903604" w:rsidR="006A1079" w:rsidRPr="00F20F1D" w:rsidRDefault="6450C355" w:rsidP="5211119B">
      <w:pPr>
        <w:pStyle w:val="Prrafodelista"/>
        <w:numPr>
          <w:ilvl w:val="0"/>
          <w:numId w:val="1"/>
        </w:numPr>
        <w:spacing w:after="60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O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ír </w:t>
      </w:r>
      <w:r w:rsidR="4456636B" w:rsidRPr="00F20F1D">
        <w:rPr>
          <w:rFonts w:ascii="Work Sans" w:eastAsia="Work Sans" w:hAnsi="Work Sans" w:cs="Work Sans"/>
          <w:color w:val="434343"/>
          <w:sz w:val="24"/>
          <w:szCs w:val="24"/>
        </w:rPr>
        <w:t>o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ver situaciones que ocurren en otro lugar</w:t>
      </w:r>
    </w:p>
    <w:p w14:paraId="0000002D" w14:textId="0D672343" w:rsidR="006A1079" w:rsidRPr="00F20F1D" w:rsidRDefault="6AD29426" w:rsidP="5211119B">
      <w:pPr>
        <w:pStyle w:val="Prrafodelista"/>
        <w:numPr>
          <w:ilvl w:val="0"/>
          <w:numId w:val="1"/>
        </w:numPr>
        <w:spacing w:after="60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T</w:t>
      </w:r>
      <w:r w:rsidR="005956CA" w:rsidRPr="00F20F1D">
        <w:rPr>
          <w:rFonts w:ascii="Work Sans" w:eastAsia="Work Sans" w:hAnsi="Work Sans" w:cs="Work Sans"/>
          <w:color w:val="434343"/>
          <w:sz w:val="24"/>
          <w:szCs w:val="24"/>
        </w:rPr>
        <w:t>rabajar o realizar actividades de forma virtual</w:t>
      </w:r>
    </w:p>
    <w:p w14:paraId="0000002E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116AE8E1" w14:textId="6E7604C7" w:rsidR="5211119B" w:rsidRPr="00F20F1D" w:rsidRDefault="5211119B">
      <w:r w:rsidRPr="00F20F1D">
        <w:br w:type="page"/>
      </w:r>
    </w:p>
    <w:p w14:paraId="735BF6B6" w14:textId="5CA0C2FD" w:rsidR="006A1079" w:rsidRPr="00F20F1D" w:rsidRDefault="005956CA" w:rsidP="5211119B">
      <w:pPr>
        <w:jc w:val="center"/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lastRenderedPageBreak/>
        <w:t xml:space="preserve">¡Pon a prueba el nombre de tu propuesta! </w:t>
      </w:r>
    </w:p>
    <w:p w14:paraId="02D181E6" w14:textId="1A23369F" w:rsidR="006A1079" w:rsidRPr="00F20F1D" w:rsidRDefault="006A1079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</w:p>
    <w:p w14:paraId="00000034" w14:textId="4D315131" w:rsidR="006A1079" w:rsidRPr="00F20F1D" w:rsidRDefault="384D3614" w:rsidP="5211119B">
      <w:pPr>
        <w:jc w:val="both"/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Los nombres son un gancho de entrada, </w:t>
      </w:r>
      <w:r w:rsidR="11A7DAF3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y no deben verse como una cuestión menor. </w:t>
      </w:r>
      <w:r w:rsidR="11A7DAF3" w:rsidRPr="00F20F1D">
        <w:rPr>
          <w:rFonts w:ascii="Helvetica Neue" w:eastAsia="Helvetica Neue" w:hAnsi="Helvetica Neue" w:cs="Helvetica Neue"/>
          <w:i/>
          <w:iCs/>
          <w:color w:val="000000" w:themeColor="text1"/>
          <w:sz w:val="26"/>
          <w:szCs w:val="26"/>
        </w:rPr>
        <w:t>¡Lo definen todo!</w:t>
      </w:r>
      <w:r w:rsidR="11A7DAF3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, </w:t>
      </w:r>
      <w:r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por eso </w:t>
      </w:r>
      <w:r w:rsidR="2CF7363A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>y p</w:t>
      </w:r>
      <w:r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>ara saber si el que has elegido</w:t>
      </w:r>
      <w:r w:rsidR="75882864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 </w:t>
      </w:r>
      <w:r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>puede ser disruptivo</w:t>
      </w:r>
      <w:r w:rsidR="4F920D51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>,</w:t>
      </w:r>
      <w:r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 te</w:t>
      </w:r>
      <w:r w:rsidR="1A55DE4A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 xml:space="preserve"> invitamos a plantearte las </w:t>
      </w:r>
      <w:r w:rsidR="005956CA" w:rsidRPr="00F20F1D">
        <w:rPr>
          <w:rFonts w:ascii="Helvetica Neue" w:eastAsia="Helvetica Neue" w:hAnsi="Helvetica Neue" w:cs="Helvetica Neue"/>
          <w:color w:val="000000" w:themeColor="text1"/>
          <w:sz w:val="26"/>
          <w:szCs w:val="26"/>
        </w:rPr>
        <w:t>siguientes preguntas:</w:t>
      </w:r>
    </w:p>
    <w:p w14:paraId="00000035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434343"/>
          <w:sz w:val="24"/>
          <w:szCs w:val="24"/>
        </w:rPr>
      </w:pPr>
    </w:p>
    <w:p w14:paraId="4F31C149" w14:textId="5FB0DBBD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¿Suena bien? ¿es </w:t>
      </w:r>
      <w:r w:rsidR="05F14B89" w:rsidRPr="00F20F1D">
        <w:rPr>
          <w:rFonts w:ascii="Work Sans" w:eastAsia="Work Sans" w:hAnsi="Work Sans" w:cs="Work Sans"/>
          <w:color w:val="434343"/>
          <w:sz w:val="24"/>
          <w:szCs w:val="24"/>
        </w:rPr>
        <w:t>innovador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? </w:t>
      </w:r>
    </w:p>
    <w:p w14:paraId="00000036" w14:textId="4C3E823F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color w:val="434343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</w:t>
      </w:r>
      <w:r w:rsidR="4BEF4147" w:rsidRPr="00F20F1D">
        <w:rPr>
          <w:rFonts w:ascii="Work Sans" w:eastAsia="Work Sans" w:hAnsi="Work Sans" w:cs="Work Sans"/>
          <w:color w:val="434343"/>
          <w:sz w:val="24"/>
          <w:szCs w:val="24"/>
        </w:rPr>
        <w:t>D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espierta curiosidad o genera impacto?</w:t>
      </w:r>
    </w:p>
    <w:p w14:paraId="00000037" w14:textId="77777777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¿Es sonoro y fácil de pronunciar?</w:t>
      </w:r>
    </w:p>
    <w:p w14:paraId="00000038" w14:textId="2EE38303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</w:t>
      </w:r>
      <w:r w:rsidR="2C9072EB" w:rsidRPr="00F20F1D">
        <w:rPr>
          <w:rFonts w:ascii="Work Sans" w:eastAsia="Work Sans" w:hAnsi="Work Sans" w:cs="Work Sans"/>
          <w:color w:val="434343"/>
          <w:sz w:val="24"/>
          <w:szCs w:val="24"/>
        </w:rPr>
        <w:t>El fácil de recordar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?</w:t>
      </w:r>
    </w:p>
    <w:p w14:paraId="4106543A" w14:textId="1D0B77E0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¿Conecta con tu público objetivo? </w:t>
      </w:r>
    </w:p>
    <w:p w14:paraId="00000039" w14:textId="3CF3E3AF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</w:t>
      </w:r>
      <w:r w:rsidR="530A261F" w:rsidRPr="00F20F1D">
        <w:rPr>
          <w:rFonts w:ascii="Work Sans" w:eastAsia="Work Sans" w:hAnsi="Work Sans" w:cs="Work Sans"/>
          <w:color w:val="434343"/>
          <w:sz w:val="24"/>
          <w:szCs w:val="24"/>
        </w:rPr>
        <w:t>P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resenta un tono y un lenguaje apropiado para </w:t>
      </w:r>
      <w:proofErr w:type="gramStart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niños y niñas</w:t>
      </w:r>
      <w:proofErr w:type="gramEnd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?</w:t>
      </w:r>
    </w:p>
    <w:p w14:paraId="0000003A" w14:textId="77777777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¿Puede generar confusión o da pie para asociaciones de palabras negativas o indebidas?</w:t>
      </w:r>
    </w:p>
    <w:p w14:paraId="0000003B" w14:textId="4F1B3DCA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¿Tiene personalidad?</w:t>
      </w:r>
      <w:r w:rsidR="5FC1E96F" w:rsidRPr="00F20F1D">
        <w:rPr>
          <w:rFonts w:ascii="Work Sans" w:eastAsia="Work Sans" w:hAnsi="Work Sans" w:cs="Work Sans"/>
          <w:color w:val="434343"/>
          <w:sz w:val="24"/>
          <w:szCs w:val="24"/>
        </w:rPr>
        <w:t>,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si es así, ¿coincide con el público objetivo?</w:t>
      </w:r>
    </w:p>
    <w:p w14:paraId="0000003C" w14:textId="77777777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¿Hace referencia a nuevas formas de aprendizaje divertidas y entretenidas?</w:t>
      </w:r>
    </w:p>
    <w:p w14:paraId="0000003D" w14:textId="2AC4C3BE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</w:t>
      </w:r>
      <w:r w:rsidR="5FD752E7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Invita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a la aplicación del conocimiento científico y matemático en un contexto vinculado a la tecnología y la ingeniería?</w:t>
      </w:r>
    </w:p>
    <w:p w14:paraId="0000003E" w14:textId="77777777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¿Hace referencia a la apropiación de recursos educativos digitales y audiovisuales?</w:t>
      </w:r>
    </w:p>
    <w:p w14:paraId="2CFD0954" w14:textId="379CB44B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¿Construye conocimiento? </w:t>
      </w:r>
    </w:p>
    <w:p w14:paraId="0E2AD9D6" w14:textId="551A0046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</w:t>
      </w:r>
      <w:r w:rsidR="255A74D9" w:rsidRPr="00F20F1D">
        <w:rPr>
          <w:rFonts w:ascii="Work Sans" w:eastAsia="Work Sans" w:hAnsi="Work Sans" w:cs="Work Sans"/>
          <w:color w:val="434343"/>
          <w:sz w:val="24"/>
          <w:szCs w:val="24"/>
        </w:rPr>
        <w:t>G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enera apropiación y movilización de conocimiento?</w:t>
      </w:r>
    </w:p>
    <w:p w14:paraId="0000003F" w14:textId="48F6C667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ind w:left="1020"/>
        <w:jc w:val="both"/>
        <w:rPr>
          <w:color w:val="434343"/>
          <w:sz w:val="24"/>
          <w:szCs w:val="24"/>
        </w:rPr>
      </w:pPr>
      <w:r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 ¿</w:t>
      </w:r>
      <w:r w:rsidR="02B39AF7" w:rsidRPr="00F20F1D">
        <w:rPr>
          <w:rFonts w:ascii="Work Sans" w:eastAsia="Work Sans" w:hAnsi="Work Sans" w:cs="Work Sans"/>
          <w:color w:val="434343"/>
          <w:sz w:val="24"/>
          <w:szCs w:val="24"/>
        </w:rPr>
        <w:t xml:space="preserve">Promueve la 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indagación</w:t>
      </w:r>
      <w:r w:rsidR="71017DE9" w:rsidRPr="00F20F1D">
        <w:rPr>
          <w:rFonts w:ascii="Work Sans" w:eastAsia="Work Sans" w:hAnsi="Work Sans" w:cs="Work Sans"/>
          <w:color w:val="434343"/>
          <w:sz w:val="24"/>
          <w:szCs w:val="24"/>
        </w:rPr>
        <w:t>, el querer saber más</w:t>
      </w:r>
      <w:r w:rsidRPr="00F20F1D">
        <w:rPr>
          <w:rFonts w:ascii="Work Sans" w:eastAsia="Work Sans" w:hAnsi="Work Sans" w:cs="Work Sans"/>
          <w:color w:val="434343"/>
          <w:sz w:val="24"/>
          <w:szCs w:val="24"/>
        </w:rPr>
        <w:t>?</w:t>
      </w:r>
    </w:p>
    <w:p w14:paraId="00000040" w14:textId="77777777" w:rsidR="006A1079" w:rsidRPr="00F20F1D" w:rsidRDefault="005956CA" w:rsidP="5211119B">
      <w:pPr>
        <w:numPr>
          <w:ilvl w:val="0"/>
          <w:numId w:val="5"/>
        </w:numPr>
        <w:shd w:val="clear" w:color="auto" w:fill="FFFFFF" w:themeFill="background1"/>
        <w:spacing w:after="480"/>
        <w:ind w:left="1020"/>
        <w:jc w:val="both"/>
        <w:rPr>
          <w:rFonts w:ascii="Work Sans" w:eastAsia="Work Sans" w:hAnsi="Work Sans" w:cs="Work Sans"/>
          <w:color w:val="434343"/>
          <w:sz w:val="24"/>
          <w:szCs w:val="24"/>
        </w:rPr>
      </w:pPr>
      <w:bookmarkStart w:id="0" w:name="_heading=h.gjdgxs"/>
      <w:bookmarkEnd w:id="0"/>
      <w:r w:rsidRPr="00F20F1D">
        <w:rPr>
          <w:rFonts w:ascii="Work Sans" w:eastAsia="Work Sans" w:hAnsi="Work Sans" w:cs="Work Sans"/>
          <w:color w:val="434343"/>
          <w:sz w:val="24"/>
          <w:szCs w:val="24"/>
        </w:rPr>
        <w:t>¿Utiliza términos que permitan pensar en nuevas concepciones de la educación?</w:t>
      </w:r>
    </w:p>
    <w:p w14:paraId="00000041" w14:textId="77777777" w:rsidR="006A1079" w:rsidRPr="00F20F1D" w:rsidRDefault="006A1079">
      <w:pPr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42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3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4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5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6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7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8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9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A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B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C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D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E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4F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50" w14:textId="77777777" w:rsidR="006A1079" w:rsidRPr="00F20F1D" w:rsidRDefault="006A1079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</w:p>
    <w:p w14:paraId="00000051" w14:textId="77777777" w:rsidR="006A1079" w:rsidRPr="00F20F1D" w:rsidRDefault="005956CA">
      <w:pPr>
        <w:rPr>
          <w:rFonts w:ascii="Helvetica Neue" w:eastAsia="Helvetica Neue" w:hAnsi="Helvetica Neue" w:cs="Helvetica Neue"/>
          <w:b/>
          <w:color w:val="246890"/>
          <w:sz w:val="26"/>
          <w:szCs w:val="26"/>
        </w:rPr>
      </w:pPr>
      <w:r w:rsidRPr="00F20F1D"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  <w:t>Bibliografía</w:t>
      </w:r>
    </w:p>
    <w:p w14:paraId="11961017" w14:textId="5FA26BA2" w:rsidR="5211119B" w:rsidRPr="00F20F1D" w:rsidRDefault="5211119B" w:rsidP="5211119B">
      <w:pPr>
        <w:rPr>
          <w:rFonts w:ascii="Helvetica Neue" w:eastAsia="Helvetica Neue" w:hAnsi="Helvetica Neue" w:cs="Helvetica Neue"/>
          <w:b/>
          <w:bCs/>
          <w:color w:val="246890"/>
          <w:sz w:val="26"/>
          <w:szCs w:val="26"/>
        </w:rPr>
      </w:pPr>
    </w:p>
    <w:p w14:paraId="00000052" w14:textId="77777777" w:rsidR="006A1079" w:rsidRPr="00F20F1D" w:rsidRDefault="005956CA">
      <w:pPr>
        <w:rPr>
          <w:rFonts w:ascii="Helvetica Neue" w:eastAsia="Helvetica Neue" w:hAnsi="Helvetica Neue" w:cs="Helvetica Neue"/>
          <w:color w:val="434343"/>
          <w:sz w:val="24"/>
          <w:szCs w:val="24"/>
        </w:rPr>
      </w:pPr>
      <w:proofErr w:type="spellStart"/>
      <w:r w:rsidRPr="00F20F1D">
        <w:rPr>
          <w:rFonts w:ascii="Helvetica Neue" w:eastAsia="Helvetica Neue" w:hAnsi="Helvetica Neue" w:cs="Helvetica Neue"/>
          <w:color w:val="434343"/>
          <w:sz w:val="24"/>
          <w:szCs w:val="24"/>
        </w:rPr>
        <w:t>Clos</w:t>
      </w:r>
      <w:proofErr w:type="spellEnd"/>
      <w:r w:rsidRPr="00F20F1D">
        <w:rPr>
          <w:rFonts w:ascii="Helvetica Neue" w:eastAsia="Helvetica Neue" w:hAnsi="Helvetica Neue" w:cs="Helvetica Neue"/>
          <w:color w:val="434343"/>
          <w:sz w:val="24"/>
          <w:szCs w:val="24"/>
        </w:rPr>
        <w:t xml:space="preserve">, Cristina Juan (2017). </w:t>
      </w:r>
      <w:proofErr w:type="spellStart"/>
      <w:r w:rsidRPr="00F20F1D">
        <w:rPr>
          <w:rFonts w:ascii="Helvetica Neue" w:eastAsia="Helvetica Neue" w:hAnsi="Helvetica Neue" w:cs="Helvetica Neue"/>
          <w:i/>
          <w:color w:val="434343"/>
          <w:sz w:val="24"/>
          <w:szCs w:val="24"/>
        </w:rPr>
        <w:t>Edutainment</w:t>
      </w:r>
      <w:proofErr w:type="spellEnd"/>
      <w:r w:rsidRPr="00F20F1D">
        <w:rPr>
          <w:rFonts w:ascii="Helvetica Neue" w:eastAsia="Helvetica Neue" w:hAnsi="Helvetica Neue" w:cs="Helvetica Neue"/>
          <w:i/>
          <w:color w:val="434343"/>
          <w:sz w:val="24"/>
          <w:szCs w:val="24"/>
        </w:rPr>
        <w:t>: cuando la educación se convierte en un juego.</w:t>
      </w:r>
      <w:r w:rsidRPr="00F20F1D">
        <w:rPr>
          <w:rFonts w:ascii="Helvetica Neue" w:eastAsia="Helvetica Neue" w:hAnsi="Helvetica Neue" w:cs="Helvetica Neue"/>
          <w:color w:val="434343"/>
          <w:sz w:val="24"/>
          <w:szCs w:val="24"/>
        </w:rPr>
        <w:t xml:space="preserve"> IEBS. Recuperado de: </w:t>
      </w:r>
      <w:hyperlink r:id="rId10">
        <w:r w:rsidRPr="00F20F1D">
          <w:rPr>
            <w:rFonts w:ascii="Helvetica Neue" w:eastAsia="Helvetica Neue" w:hAnsi="Helvetica Neue" w:cs="Helvetica Neue"/>
            <w:color w:val="434343"/>
            <w:sz w:val="24"/>
            <w:szCs w:val="24"/>
            <w:u w:val="single"/>
          </w:rPr>
          <w:t>https://www.iebschool.com/blog/edutainment-educacion-juego-innovacion/</w:t>
        </w:r>
      </w:hyperlink>
    </w:p>
    <w:p w14:paraId="00000053" w14:textId="77777777" w:rsidR="006A1079" w:rsidRPr="00F20F1D" w:rsidRDefault="006A1079">
      <w:pPr>
        <w:rPr>
          <w:rFonts w:ascii="Helvetica Neue" w:eastAsia="Helvetica Neue" w:hAnsi="Helvetica Neue" w:cs="Helvetica Neue"/>
          <w:color w:val="434343"/>
          <w:sz w:val="24"/>
          <w:szCs w:val="24"/>
        </w:rPr>
      </w:pPr>
    </w:p>
    <w:p w14:paraId="00000054" w14:textId="77777777" w:rsidR="006A1079" w:rsidRPr="00F20F1D" w:rsidRDefault="005956CA">
      <w:pPr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 xml:space="preserve">¿Qué es </w:t>
      </w:r>
      <w:proofErr w:type="spellStart"/>
      <w:proofErr w:type="gramStart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Stem</w:t>
      </w:r>
      <w:proofErr w:type="spellEnd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?.</w:t>
      </w:r>
      <w:proofErr w:type="gramEnd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 xml:space="preserve"> Ruta </w:t>
      </w:r>
      <w:proofErr w:type="spellStart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Stem</w:t>
      </w:r>
      <w:proofErr w:type="spellEnd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. Recuperado de: https://especiales.colombiaaprende.edu.co/rutastem/definicion.html</w:t>
      </w:r>
    </w:p>
    <w:p w14:paraId="00000055" w14:textId="77777777" w:rsidR="006A1079" w:rsidRPr="00F20F1D" w:rsidRDefault="006A1079">
      <w:pPr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56" w14:textId="77777777" w:rsidR="006A1079" w:rsidRDefault="005956CA">
      <w:pPr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 xml:space="preserve">Tecnologías de la Información y las Comunicaciones (TIC). </w:t>
      </w:r>
      <w:proofErr w:type="spellStart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>MinisterioTIC</w:t>
      </w:r>
      <w:proofErr w:type="spellEnd"/>
      <w:r w:rsidRPr="00F20F1D"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  <w:t xml:space="preserve">. Recuperado de: </w:t>
      </w:r>
      <w:hyperlink r:id="rId11">
        <w:r w:rsidRPr="00F20F1D">
          <w:rPr>
            <w:rFonts w:ascii="Helvetica Neue Light" w:eastAsia="Helvetica Neue Light" w:hAnsi="Helvetica Neue Light" w:cs="Helvetica Neue Light"/>
            <w:color w:val="434343"/>
            <w:sz w:val="24"/>
            <w:szCs w:val="24"/>
            <w:u w:val="single"/>
          </w:rPr>
          <w:t>https://www.mintic.gov.co/portal/inicio/5755:Tecnolog-as-de-la-Informaci-n-y-las-Comunicaciones-TIC</w:t>
        </w:r>
      </w:hyperlink>
    </w:p>
    <w:p w14:paraId="00000057" w14:textId="77777777" w:rsidR="006A1079" w:rsidRDefault="006A1079">
      <w:pPr>
        <w:rPr>
          <w:rFonts w:ascii="Helvetica Neue Light" w:eastAsia="Helvetica Neue Light" w:hAnsi="Helvetica Neue Light" w:cs="Helvetica Neue Light"/>
          <w:color w:val="434343"/>
          <w:sz w:val="24"/>
          <w:szCs w:val="24"/>
        </w:rPr>
      </w:pPr>
    </w:p>
    <w:p w14:paraId="00000058" w14:textId="77777777" w:rsidR="006A1079" w:rsidRDefault="006A1079">
      <w:pPr>
        <w:rPr>
          <w:b/>
          <w:sz w:val="24"/>
          <w:szCs w:val="24"/>
        </w:rPr>
      </w:pPr>
    </w:p>
    <w:sectPr w:rsidR="006A1079" w:rsidSect="008B4447">
      <w:headerReference w:type="default" r:id="rId12"/>
      <w:footerReference w:type="default" r:id="rId13"/>
      <w:headerReference w:type="first" r:id="rId14"/>
      <w:pgSz w:w="11909" w:h="16834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8C4DA" w14:textId="77777777" w:rsidR="000F1B77" w:rsidRDefault="000F1B77">
      <w:pPr>
        <w:spacing w:line="240" w:lineRule="auto"/>
      </w:pPr>
      <w:r>
        <w:separator/>
      </w:r>
    </w:p>
  </w:endnote>
  <w:endnote w:type="continuationSeparator" w:id="0">
    <w:p w14:paraId="1FE49D0B" w14:textId="77777777" w:rsidR="000F1B77" w:rsidRDefault="000F1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﷽﷽﷽﷽﷽﷽﷽﷽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Work Sans">
    <w:panose1 w:val="000006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9" w14:textId="255D187E" w:rsidR="006A1079" w:rsidRDefault="5211119B" w:rsidP="008B44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100" w:afterAutospacing="1" w:line="240" w:lineRule="auto"/>
      <w:ind w:right="-1134"/>
      <w:jc w:val="right"/>
      <w:rPr>
        <w:color w:val="000000"/>
      </w:rPr>
    </w:pPr>
    <w:r>
      <w:rPr>
        <w:noProof/>
      </w:rPr>
      <w:drawing>
        <wp:inline distT="0" distB="0" distL="0" distR="0" wp14:anchorId="7F817329" wp14:editId="080C94B0">
          <wp:extent cx="1682307" cy="6096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307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F913C" w14:textId="77777777" w:rsidR="000F1B77" w:rsidRDefault="000F1B77">
      <w:pPr>
        <w:spacing w:line="240" w:lineRule="auto"/>
      </w:pPr>
      <w:r>
        <w:separator/>
      </w:r>
    </w:p>
  </w:footnote>
  <w:footnote w:type="continuationSeparator" w:id="0">
    <w:p w14:paraId="6FCA4DE6" w14:textId="77777777" w:rsidR="000F1B77" w:rsidRDefault="000F1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C" w14:textId="7CE74D4E" w:rsidR="006A1079" w:rsidRPr="00B73C6D" w:rsidRDefault="5211119B" w:rsidP="008B4447">
    <w:pPr>
      <w:pStyle w:val="Encabezado"/>
      <w:spacing w:before="120"/>
      <w:ind w:left="-1474"/>
    </w:pPr>
    <w:r>
      <w:rPr>
        <w:noProof/>
      </w:rPr>
      <w:drawing>
        <wp:inline distT="0" distB="0" distL="0" distR="0" wp14:anchorId="66EF85C7" wp14:editId="700966E1">
          <wp:extent cx="2552700" cy="945706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945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17A9FC2" wp14:editId="798A1B1C">
          <wp:extent cx="1438275" cy="1045788"/>
          <wp:effectExtent l="0" t="0" r="0" b="254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10457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2D23D86C" w:rsidR="006A1079" w:rsidRDefault="5211119B" w:rsidP="00B73C6D">
    <w:pPr>
      <w:ind w:left="-1474"/>
    </w:pPr>
    <w:r>
      <w:rPr>
        <w:noProof/>
      </w:rPr>
      <w:drawing>
        <wp:inline distT="0" distB="0" distL="0" distR="0" wp14:anchorId="533261E7" wp14:editId="7C25C965">
          <wp:extent cx="7588884" cy="9422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4" cy="942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06197"/>
    <w:multiLevelType w:val="hybridMultilevel"/>
    <w:tmpl w:val="331C1692"/>
    <w:lvl w:ilvl="0" w:tplc="272AF5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764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03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6B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AB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6E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28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49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07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D67"/>
    <w:multiLevelType w:val="multilevel"/>
    <w:tmpl w:val="1004D9D8"/>
    <w:lvl w:ilvl="0">
      <w:start w:val="1"/>
      <w:numFmt w:val="bullet"/>
      <w:lvlText w:val="●"/>
      <w:lvlJc w:val="left"/>
      <w:pPr>
        <w:ind w:left="720" w:hanging="360"/>
      </w:pPr>
      <w:rPr>
        <w:color w:val="24689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430FBD"/>
    <w:multiLevelType w:val="hybridMultilevel"/>
    <w:tmpl w:val="11EAB10E"/>
    <w:lvl w:ilvl="0" w:tplc="F740D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4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6F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E1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21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68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2D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4F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A6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90522"/>
    <w:multiLevelType w:val="multilevel"/>
    <w:tmpl w:val="4D1ECB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46381"/>
    <w:multiLevelType w:val="multilevel"/>
    <w:tmpl w:val="2D90767A"/>
    <w:lvl w:ilvl="0">
      <w:start w:val="1"/>
      <w:numFmt w:val="bullet"/>
      <w:lvlText w:val="●"/>
      <w:lvlJc w:val="left"/>
      <w:pPr>
        <w:ind w:left="720" w:hanging="360"/>
      </w:pPr>
      <w:rPr>
        <w:color w:val="24689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079"/>
    <w:rsid w:val="000F1B77"/>
    <w:rsid w:val="00337097"/>
    <w:rsid w:val="00422C53"/>
    <w:rsid w:val="005956CA"/>
    <w:rsid w:val="00602DF1"/>
    <w:rsid w:val="006A1079"/>
    <w:rsid w:val="008B4447"/>
    <w:rsid w:val="00B73C6D"/>
    <w:rsid w:val="00BB1130"/>
    <w:rsid w:val="00CA0CB0"/>
    <w:rsid w:val="00E939EB"/>
    <w:rsid w:val="00F20F1D"/>
    <w:rsid w:val="02B39AF7"/>
    <w:rsid w:val="03513AE1"/>
    <w:rsid w:val="03660288"/>
    <w:rsid w:val="03AC015E"/>
    <w:rsid w:val="042A265F"/>
    <w:rsid w:val="05F14B89"/>
    <w:rsid w:val="0645B138"/>
    <w:rsid w:val="076D5BFD"/>
    <w:rsid w:val="0797F357"/>
    <w:rsid w:val="079A229E"/>
    <w:rsid w:val="08D3DAE7"/>
    <w:rsid w:val="08FF469A"/>
    <w:rsid w:val="0A7467D5"/>
    <w:rsid w:val="0B1F05F4"/>
    <w:rsid w:val="0E7229E8"/>
    <w:rsid w:val="0EEFE9BB"/>
    <w:rsid w:val="0F4B0026"/>
    <w:rsid w:val="10CEE938"/>
    <w:rsid w:val="11A7DAF3"/>
    <w:rsid w:val="12DF3735"/>
    <w:rsid w:val="13722553"/>
    <w:rsid w:val="14573027"/>
    <w:rsid w:val="145A0843"/>
    <w:rsid w:val="14D76654"/>
    <w:rsid w:val="1535BC34"/>
    <w:rsid w:val="1573527D"/>
    <w:rsid w:val="15C16288"/>
    <w:rsid w:val="15CCCF3E"/>
    <w:rsid w:val="162F847B"/>
    <w:rsid w:val="16817755"/>
    <w:rsid w:val="17284B3B"/>
    <w:rsid w:val="1752EADD"/>
    <w:rsid w:val="18846A5F"/>
    <w:rsid w:val="19BF9F6C"/>
    <w:rsid w:val="1A46C3A0"/>
    <w:rsid w:val="1A55DE4A"/>
    <w:rsid w:val="1B6135B9"/>
    <w:rsid w:val="1BFBBC5E"/>
    <w:rsid w:val="1C134C9C"/>
    <w:rsid w:val="1CD656F4"/>
    <w:rsid w:val="1DF43255"/>
    <w:rsid w:val="1EA5B09C"/>
    <w:rsid w:val="1ECA934B"/>
    <w:rsid w:val="1F8418CC"/>
    <w:rsid w:val="2028AAC1"/>
    <w:rsid w:val="217D1CE8"/>
    <w:rsid w:val="2268E756"/>
    <w:rsid w:val="22F55AFF"/>
    <w:rsid w:val="236B79ED"/>
    <w:rsid w:val="241FE045"/>
    <w:rsid w:val="244A9642"/>
    <w:rsid w:val="24B5A4DF"/>
    <w:rsid w:val="255A74D9"/>
    <w:rsid w:val="25783B70"/>
    <w:rsid w:val="26651C97"/>
    <w:rsid w:val="27ACE239"/>
    <w:rsid w:val="27C2EFBD"/>
    <w:rsid w:val="2924B333"/>
    <w:rsid w:val="2AE7EE04"/>
    <w:rsid w:val="2B65176A"/>
    <w:rsid w:val="2B973F7B"/>
    <w:rsid w:val="2C6F3076"/>
    <w:rsid w:val="2C9072EB"/>
    <w:rsid w:val="2CF7363A"/>
    <w:rsid w:val="2F333095"/>
    <w:rsid w:val="2F8994DB"/>
    <w:rsid w:val="300AF323"/>
    <w:rsid w:val="3159DE7F"/>
    <w:rsid w:val="33A9DA81"/>
    <w:rsid w:val="3574700F"/>
    <w:rsid w:val="384D3614"/>
    <w:rsid w:val="3925BD77"/>
    <w:rsid w:val="399F5AEC"/>
    <w:rsid w:val="3A8D72A9"/>
    <w:rsid w:val="3AA8657B"/>
    <w:rsid w:val="3B6757FD"/>
    <w:rsid w:val="3C247722"/>
    <w:rsid w:val="3C6D9CF1"/>
    <w:rsid w:val="3D03A5B4"/>
    <w:rsid w:val="3D907652"/>
    <w:rsid w:val="3E85468C"/>
    <w:rsid w:val="3FD0B2E7"/>
    <w:rsid w:val="3FEA6DBA"/>
    <w:rsid w:val="4130CF5C"/>
    <w:rsid w:val="4157F559"/>
    <w:rsid w:val="4162D1B7"/>
    <w:rsid w:val="41ABAC77"/>
    <w:rsid w:val="42EFF02C"/>
    <w:rsid w:val="43E05340"/>
    <w:rsid w:val="4456636B"/>
    <w:rsid w:val="448F005C"/>
    <w:rsid w:val="45BA4787"/>
    <w:rsid w:val="45E84B03"/>
    <w:rsid w:val="46C2E599"/>
    <w:rsid w:val="4775BFA6"/>
    <w:rsid w:val="49148437"/>
    <w:rsid w:val="49FB6B96"/>
    <w:rsid w:val="4B6BB71A"/>
    <w:rsid w:val="4B9656BC"/>
    <w:rsid w:val="4B9CABC9"/>
    <w:rsid w:val="4BEF4147"/>
    <w:rsid w:val="4D15B521"/>
    <w:rsid w:val="4D896B5D"/>
    <w:rsid w:val="4E2ED3B5"/>
    <w:rsid w:val="4EDBFEE9"/>
    <w:rsid w:val="4F920D51"/>
    <w:rsid w:val="517F100B"/>
    <w:rsid w:val="5211119B"/>
    <w:rsid w:val="530A261F"/>
    <w:rsid w:val="559CF67D"/>
    <w:rsid w:val="55A07FF8"/>
    <w:rsid w:val="55F6EFC3"/>
    <w:rsid w:val="5613E31C"/>
    <w:rsid w:val="5768A4AB"/>
    <w:rsid w:val="5838FF4B"/>
    <w:rsid w:val="5874D9C4"/>
    <w:rsid w:val="5906AF46"/>
    <w:rsid w:val="5AD91663"/>
    <w:rsid w:val="5B3298A3"/>
    <w:rsid w:val="5D4B08ED"/>
    <w:rsid w:val="5E235902"/>
    <w:rsid w:val="5F4F4D23"/>
    <w:rsid w:val="5FC1E96F"/>
    <w:rsid w:val="5FD752E7"/>
    <w:rsid w:val="60425560"/>
    <w:rsid w:val="60773792"/>
    <w:rsid w:val="619A5DC2"/>
    <w:rsid w:val="61A07319"/>
    <w:rsid w:val="61CB339F"/>
    <w:rsid w:val="625732D7"/>
    <w:rsid w:val="634E30BE"/>
    <w:rsid w:val="6395057B"/>
    <w:rsid w:val="63D9DADB"/>
    <w:rsid w:val="6450C355"/>
    <w:rsid w:val="64FA1EDA"/>
    <w:rsid w:val="64FA90B8"/>
    <w:rsid w:val="6523784B"/>
    <w:rsid w:val="65358507"/>
    <w:rsid w:val="6568D11B"/>
    <w:rsid w:val="65ED19A6"/>
    <w:rsid w:val="6613CFB1"/>
    <w:rsid w:val="6621E5D8"/>
    <w:rsid w:val="6660481C"/>
    <w:rsid w:val="6682C6D0"/>
    <w:rsid w:val="67117B9D"/>
    <w:rsid w:val="671DC9D9"/>
    <w:rsid w:val="6775C19C"/>
    <w:rsid w:val="68AD4BFE"/>
    <w:rsid w:val="6929BDAB"/>
    <w:rsid w:val="69309500"/>
    <w:rsid w:val="6936708E"/>
    <w:rsid w:val="6952FC87"/>
    <w:rsid w:val="6A318894"/>
    <w:rsid w:val="6A3C423E"/>
    <w:rsid w:val="6AD29426"/>
    <w:rsid w:val="6B7A4E5D"/>
    <w:rsid w:val="6BE4ECC0"/>
    <w:rsid w:val="6CB92E62"/>
    <w:rsid w:val="6CF1D810"/>
    <w:rsid w:val="6D096BDB"/>
    <w:rsid w:val="6ED6689E"/>
    <w:rsid w:val="6F9F92D1"/>
    <w:rsid w:val="70105075"/>
    <w:rsid w:val="71017DE9"/>
    <w:rsid w:val="71C54933"/>
    <w:rsid w:val="741C32D9"/>
    <w:rsid w:val="74D6E777"/>
    <w:rsid w:val="75716E1C"/>
    <w:rsid w:val="757B02CD"/>
    <w:rsid w:val="75882864"/>
    <w:rsid w:val="761D3188"/>
    <w:rsid w:val="7854DFEE"/>
    <w:rsid w:val="78ABDBFD"/>
    <w:rsid w:val="7922C00F"/>
    <w:rsid w:val="79411AFD"/>
    <w:rsid w:val="7AFB0BE9"/>
    <w:rsid w:val="7B632446"/>
    <w:rsid w:val="7B8BACCA"/>
    <w:rsid w:val="7C3C4BD1"/>
    <w:rsid w:val="7CCC3FBC"/>
    <w:rsid w:val="7CD224EC"/>
    <w:rsid w:val="7CD5A252"/>
    <w:rsid w:val="7E7042F4"/>
    <w:rsid w:val="7E731013"/>
    <w:rsid w:val="7F172C0A"/>
    <w:rsid w:val="7FFCD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7D12B"/>
  <w15:docId w15:val="{519CA54A-B7FA-4500-96BE-3D01E26D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E15D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5DD"/>
  </w:style>
  <w:style w:type="paragraph" w:styleId="Piedepgina">
    <w:name w:val="footer"/>
    <w:basedOn w:val="Normal"/>
    <w:link w:val="PiedepginaCar"/>
    <w:uiPriority w:val="99"/>
    <w:unhideWhenUsed/>
    <w:rsid w:val="00CE15D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5DD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servatoriodelainfancia.es/oia/esp/documentos_ficha.aspx?id=713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ntic.gov.co/portal/inicio/5755:Tecnolog-as-de-la-Informaci-n-y-las-Comunicaciones-TI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ebschool.com/blog/edutainment-educacion-juego-innovac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peciales.colombiaaprende.edu.co/rutastem/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UR9iiVYiCUY/WUZc3j2WZ5mCEw==">AMUW2mUPWlk2jBIFOMPUwxwAoPsKapEVD8lb5kKzxdfOYLk9dqyfQXTtlCby7/EhE05Kt27E9I3Ct2/UfnQM5BMP9jxI4oWrMq1BplQ7eHC6/h/POzXsa1J/0rql0r//M0wlF8Jay1P2mYhcpZyor9PNWouuPdIblBYLnoliIBwdbb53SIuMM2KQ8ycW6VtsuASjyYJ+g9Ck3P1G35DtaoS2NZVuVi2R/XZ7DVwiZhxP6ODZSmKKxA0yyLDo7A+nXpx9xTA2xBPHQLx1JuJuffGUlMKwaj+U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1163</Words>
  <Characters>6398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Yesid Montoya Barato</cp:lastModifiedBy>
  <cp:revision>2</cp:revision>
  <dcterms:created xsi:type="dcterms:W3CDTF">2021-06-09T14:07:00Z</dcterms:created>
  <dcterms:modified xsi:type="dcterms:W3CDTF">2021-06-09T14:07:00Z</dcterms:modified>
</cp:coreProperties>
</file>