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D54B" w14:textId="77777777" w:rsidR="00E55995" w:rsidRDefault="00000000">
      <w:pPr>
        <w:pStyle w:val="MdHeading1"/>
      </w:pPr>
      <w:r>
        <w:t xml:space="preserve">Proposta Final de Planos de Serviço e Valores - </w:t>
      </w:r>
      <w:proofErr w:type="spellStart"/>
      <w:r>
        <w:t>autoNest</w:t>
      </w:r>
      <w:proofErr w:type="spellEnd"/>
      <w:r>
        <w:t xml:space="preserve"> Hub</w:t>
      </w:r>
    </w:p>
    <w:p w14:paraId="7FCD63A0" w14:textId="77777777" w:rsidR="00E55995" w:rsidRDefault="00000000">
      <w:pPr>
        <w:pStyle w:val="MdHeading2"/>
      </w:pPr>
      <w:r>
        <w:t>1. Modelo de Precificação Adotado: Plano Único com Cobrança por Usuário (Modelo B)</w:t>
      </w:r>
    </w:p>
    <w:p w14:paraId="0573F8F9" w14:textId="77777777" w:rsidR="00E55995" w:rsidRDefault="00000000">
      <w:pPr>
        <w:pStyle w:val="MdParagraph"/>
      </w:pPr>
      <w:r>
        <w:t xml:space="preserve">O modelo de precificação escolhido é o </w:t>
      </w:r>
      <w:r>
        <w:rPr>
          <w:rStyle w:val="MdStrong"/>
        </w:rPr>
        <w:t>Plano Único com Cobrança por Usuário</w:t>
      </w:r>
      <w:r>
        <w:t>, que alinha o preço ao valor percebido e à escala de uso do cliente (PME ou Corporativo). Este modelo simplifica a oferta e maximiza a Receita Média por Usuário (ARPU).</w:t>
      </w:r>
    </w:p>
    <w:p w14:paraId="4D232812" w14:textId="77777777" w:rsidR="00E55995" w:rsidRDefault="00E55995">
      <w:pPr>
        <w:pStyle w:val="MdSpace"/>
        <w:spacing w:after="60"/>
      </w:pPr>
    </w:p>
    <w:p w14:paraId="58C51C8B" w14:textId="77777777" w:rsidR="00E55995" w:rsidRDefault="00000000">
      <w:pPr>
        <w:pStyle w:val="MdHeading3"/>
      </w:pPr>
      <w:r>
        <w:t>1.1. Estrutura de Preços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960"/>
        <w:gridCol w:w="5333"/>
      </w:tblGrid>
      <w:tr w:rsidR="00E55995" w14:paraId="0B88AC1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4F0D1" w14:textId="77777777" w:rsidR="00E55995" w:rsidRDefault="00000000">
            <w:pPr>
              <w:pStyle w:val="MdTableHeader"/>
            </w:pPr>
            <w:r>
              <w:t>Componente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7401F" w14:textId="77777777" w:rsidR="00E55995" w:rsidRDefault="00000000">
            <w:pPr>
              <w:pStyle w:val="MdTableHeader"/>
            </w:pPr>
            <w:r>
              <w:t>Valor Mensal (Recorrente)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38F99" w14:textId="77777777" w:rsidR="00E55995" w:rsidRDefault="00000000">
            <w:pPr>
              <w:pStyle w:val="MdTableHeader"/>
            </w:pPr>
            <w:r>
              <w:t>Justificativa</w:t>
            </w:r>
          </w:p>
        </w:tc>
      </w:tr>
      <w:tr w:rsidR="00E55995" w14:paraId="3F75456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8B9C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Plano Base (1 Usuário)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BA68E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U$24,90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68FC" w14:textId="77777777" w:rsidR="00E55995" w:rsidRDefault="00000000">
            <w:pPr>
              <w:pStyle w:val="MdTableCell"/>
            </w:pPr>
            <w:r>
              <w:t xml:space="preserve">Posicionado no meio da faixa proposta (U$20-U$29) e representa uma economia de 57% em relação ao concorrente </w:t>
            </w:r>
            <w:proofErr w:type="spellStart"/>
            <w:r>
              <w:t>Nest&amp;Cut</w:t>
            </w:r>
            <w:proofErr w:type="spellEnd"/>
            <w:r>
              <w:t xml:space="preserve"> (U$59/mês).</w:t>
            </w:r>
          </w:p>
        </w:tc>
      </w:tr>
      <w:tr w:rsidR="00E55995" w14:paraId="428FAF0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EFDD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Usuário Adicional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9F4A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U$12,00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C7F3" w14:textId="77777777" w:rsidR="00E55995" w:rsidRDefault="00000000">
            <w:pPr>
              <w:pStyle w:val="MdTableCell"/>
            </w:pPr>
            <w:r>
              <w:t>Valor proposto pelo usuário. Permite que empresas escalem o uso de forma acessível (até 5 usuários por assinatura).</w:t>
            </w:r>
          </w:p>
        </w:tc>
      </w:tr>
    </w:tbl>
    <w:p w14:paraId="1D3ACC8E" w14:textId="77777777" w:rsidR="00E55995" w:rsidRDefault="00000000">
      <w:pPr>
        <w:pStyle w:val="MdHeading3"/>
      </w:pPr>
      <w:r>
        <w:t>1.2. Projeção de Receita Média por Assinatura (ARPU)</w:t>
      </w:r>
    </w:p>
    <w:p w14:paraId="73C626B8" w14:textId="77777777" w:rsidR="00E55995" w:rsidRDefault="00000000">
      <w:pPr>
        <w:pStyle w:val="MdParagraph"/>
      </w:pPr>
      <w:r>
        <w:t>Com este modelo, a Receita Média por Assinatura (ARPU) varia:</w:t>
      </w:r>
    </w:p>
    <w:p w14:paraId="13C85775" w14:textId="77777777" w:rsidR="00E55995" w:rsidRDefault="00E55995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1990"/>
        <w:gridCol w:w="2643"/>
        <w:gridCol w:w="1848"/>
      </w:tblGrid>
      <w:tr w:rsidR="00E55995" w14:paraId="2ACA007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FEBAA" w14:textId="77777777" w:rsidR="00E55995" w:rsidRDefault="00000000">
            <w:pPr>
              <w:pStyle w:val="MdTableHeader"/>
            </w:pPr>
            <w:r>
              <w:t>Cenário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08929" w14:textId="77777777" w:rsidR="00E55995" w:rsidRDefault="00000000">
            <w:pPr>
              <w:pStyle w:val="MdTableHeader"/>
            </w:pPr>
            <w:r>
              <w:t>Usuários Totais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AD0C6" w14:textId="77777777" w:rsidR="00E55995" w:rsidRDefault="00000000">
            <w:pPr>
              <w:pStyle w:val="MdTableHeader"/>
            </w:pPr>
            <w:r>
              <w:t>Cálculo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7FE77" w14:textId="77777777" w:rsidR="00E55995" w:rsidRDefault="00000000">
            <w:pPr>
              <w:pStyle w:val="MdTableHeader"/>
            </w:pPr>
            <w:r>
              <w:t>ARPU Mensal</w:t>
            </w:r>
          </w:p>
        </w:tc>
      </w:tr>
      <w:tr w:rsidR="00E55995" w14:paraId="6B40C87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718E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Individual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2163" w14:textId="77777777" w:rsidR="00E55995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B3C6" w14:textId="77777777" w:rsidR="00E55995" w:rsidRDefault="00000000">
            <w:pPr>
              <w:pStyle w:val="MdTableCell"/>
            </w:pPr>
            <w:r>
              <w:t>U$24,90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807C" w14:textId="77777777" w:rsidR="00E55995" w:rsidRDefault="00000000">
            <w:pPr>
              <w:pStyle w:val="MdTableCell"/>
            </w:pPr>
            <w:r>
              <w:t>U$24,90</w:t>
            </w:r>
          </w:p>
        </w:tc>
      </w:tr>
      <w:tr w:rsidR="00E55995" w14:paraId="47920E5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AE7B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PME (Média)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8245" w14:textId="77777777" w:rsidR="00E55995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65E3" w14:textId="77777777" w:rsidR="00E55995" w:rsidRDefault="00000000">
            <w:pPr>
              <w:pStyle w:val="MdTableCell"/>
            </w:pPr>
            <w:r>
              <w:t>U$24,90 + (2 * U$12,00)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809F" w14:textId="77777777" w:rsidR="00E55995" w:rsidRDefault="00000000">
            <w:pPr>
              <w:pStyle w:val="MdTableCell"/>
            </w:pPr>
            <w:r>
              <w:t>U$48,90</w:t>
            </w:r>
          </w:p>
        </w:tc>
      </w:tr>
      <w:tr w:rsidR="00E55995" w14:paraId="2346489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948C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Corporativo (Máximo)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89061" w14:textId="77777777" w:rsidR="00E55995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CB0E" w14:textId="77777777" w:rsidR="00E55995" w:rsidRDefault="00000000">
            <w:pPr>
              <w:pStyle w:val="MdTableCell"/>
            </w:pPr>
            <w:r>
              <w:t>U$24,90 + (4 * U$12,00)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AE8F" w14:textId="77777777" w:rsidR="00E55995" w:rsidRDefault="00000000">
            <w:pPr>
              <w:pStyle w:val="MdTableCell"/>
            </w:pPr>
            <w:r>
              <w:t>U$72,90</w:t>
            </w:r>
          </w:p>
        </w:tc>
      </w:tr>
    </w:tbl>
    <w:p w14:paraId="5A5B9BE1" w14:textId="77777777" w:rsidR="00E55995" w:rsidRDefault="00000000">
      <w:pPr>
        <w:pStyle w:val="MdParagraph"/>
      </w:pPr>
      <w:r>
        <w:t xml:space="preserve">A meta de 2.000 assinaturas em 12 meses, com uma média conservadora de 2 usuários por assinatura (ARPU de U$36,90), mantém a projeção de </w:t>
      </w:r>
      <w:r>
        <w:rPr>
          <w:rStyle w:val="MdStrong"/>
        </w:rPr>
        <w:t>Receita Anual Recorrente (ARR) em U$885.600,00</w:t>
      </w:r>
      <w:r>
        <w:t>.</w:t>
      </w:r>
    </w:p>
    <w:p w14:paraId="0777DB1C" w14:textId="77777777" w:rsidR="00E55995" w:rsidRDefault="00E55995">
      <w:pPr>
        <w:pStyle w:val="MdSpace"/>
        <w:spacing w:after="60"/>
      </w:pPr>
    </w:p>
    <w:p w14:paraId="1C1D88E1" w14:textId="77777777" w:rsidR="00E55995" w:rsidRDefault="00000000">
      <w:pPr>
        <w:pStyle w:val="MdHeading2"/>
      </w:pPr>
      <w:r>
        <w:lastRenderedPageBreak/>
        <w:t>2. Detalhamento do Plano de Serviço (Plano Base)</w:t>
      </w:r>
    </w:p>
    <w:p w14:paraId="3418F30F" w14:textId="77777777" w:rsidR="00E55995" w:rsidRDefault="00000000">
      <w:pPr>
        <w:pStyle w:val="MdParagraph"/>
      </w:pPr>
      <w:r>
        <w:t>O Plano Base de U$24,90/mês inclui todas as funcionalidades avançadas do MVP, garantindo que o usuário receba valor máximo pelo preço competitivo.</w:t>
      </w:r>
    </w:p>
    <w:p w14:paraId="3C315FB0" w14:textId="77777777" w:rsidR="00E55995" w:rsidRDefault="00E55995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5"/>
        <w:gridCol w:w="3803"/>
        <w:gridCol w:w="2938"/>
      </w:tblGrid>
      <w:tr w:rsidR="00E55995" w14:paraId="0B9AF62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0C997" w14:textId="77777777" w:rsidR="00E55995" w:rsidRDefault="00000000">
            <w:pPr>
              <w:pStyle w:val="MdTableHeader"/>
            </w:pPr>
            <w:r>
              <w:t>Funcionalidade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279D9" w14:textId="77777777" w:rsidR="00E55995" w:rsidRDefault="00000000">
            <w:pPr>
              <w:pStyle w:val="MdTableHeader"/>
            </w:pPr>
            <w:r>
              <w:t>Descrição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96B6C" w14:textId="77777777" w:rsidR="00E55995" w:rsidRDefault="00000000">
            <w:pPr>
              <w:pStyle w:val="MdTableHeader"/>
            </w:pPr>
            <w:r>
              <w:t>Vantagem Competitiva</w:t>
            </w:r>
          </w:p>
        </w:tc>
      </w:tr>
      <w:tr w:rsidR="00E55995" w14:paraId="1F29949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5A43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 xml:space="preserve">Motor de </w:t>
            </w:r>
            <w:proofErr w:type="spellStart"/>
            <w:r>
              <w:rPr>
                <w:rStyle w:val="MdStrong"/>
              </w:rPr>
              <w:t>Nesting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8E3C" w14:textId="77777777" w:rsidR="00E55995" w:rsidRDefault="00000000">
            <w:pPr>
              <w:pStyle w:val="MdTableCell"/>
            </w:pPr>
            <w:proofErr w:type="spellStart"/>
            <w:r>
              <w:t>True</w:t>
            </w:r>
            <w:proofErr w:type="spellEnd"/>
            <w:r>
              <w:t xml:space="preserve"> Shape Otimizado, rodando no navegador do cliente (baixa latência).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8218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Performance e Velocidade.</w:t>
            </w:r>
            <w:r>
              <w:t xml:space="preserve"> Reduz a carga do servidor e garante resultados rápidos.</w:t>
            </w:r>
          </w:p>
        </w:tc>
      </w:tr>
      <w:tr w:rsidR="00E55995" w14:paraId="4E1A825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E502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Importação/Exportação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3F24" w14:textId="77777777" w:rsidR="00E55995" w:rsidRDefault="00000000">
            <w:pPr>
              <w:pStyle w:val="MdTableCell"/>
            </w:pPr>
            <w:r>
              <w:t>Importar peças DXF e salvar o arranjo final em DXF local.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61182" w14:textId="77777777" w:rsidR="00E55995" w:rsidRDefault="00000000">
            <w:pPr>
              <w:pStyle w:val="MdTableCell"/>
            </w:pPr>
            <w:r>
              <w:t>Padrão da indústria.</w:t>
            </w:r>
          </w:p>
        </w:tc>
      </w:tr>
      <w:tr w:rsidR="00E55995" w14:paraId="0B70B30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1754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Banco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E0C9" w14:textId="77777777" w:rsidR="00E55995" w:rsidRDefault="00000000">
            <w:pPr>
              <w:pStyle w:val="MdTableCell"/>
            </w:pPr>
            <w:r>
              <w:t xml:space="preserve">Salvar e buscar </w:t>
            </w:r>
            <w:r>
              <w:rPr>
                <w:rStyle w:val="MdStrong"/>
              </w:rPr>
              <w:t>infinitas peças</w:t>
            </w:r>
            <w:r>
              <w:t xml:space="preserve"> no banco de dados do servidor.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4EBF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Valor Ilimitado.</w:t>
            </w:r>
            <w:r>
              <w:t xml:space="preserve"> Recurso crucial para clientes corporativos com grandes bibliotecas de peças.</w:t>
            </w:r>
          </w:p>
        </w:tc>
      </w:tr>
      <w:tr w:rsidR="00E55995" w14:paraId="12D4602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E65E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Gestão de Peças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8C86" w14:textId="77777777" w:rsidR="00E55995" w:rsidRDefault="00000000">
            <w:pPr>
              <w:pStyle w:val="MdTableCell"/>
            </w:pPr>
            <w:r>
              <w:t>Filtrar peças por número de pedido, ordem de produção, material, espessura.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CB91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Organização.</w:t>
            </w:r>
            <w:r>
              <w:t xml:space="preserve"> Essencial para o fluxo de trabalho de produção.</w:t>
            </w:r>
          </w:p>
        </w:tc>
      </w:tr>
      <w:tr w:rsidR="00E55995" w14:paraId="5FFA869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8AC4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Otimização Manual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7B0A" w14:textId="77777777" w:rsidR="00E55995" w:rsidRDefault="00000000">
            <w:pPr>
              <w:pStyle w:val="MdTableCell"/>
            </w:pPr>
            <w:r>
              <w:t>Seleção, rotação, ajuste fino de posição e rotação, devolução manual ao banco de peças.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EF98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Flexibilidade.</w:t>
            </w:r>
            <w:r>
              <w:t xml:space="preserve"> Permite que o operador refine o resultado automático.</w:t>
            </w:r>
          </w:p>
        </w:tc>
      </w:tr>
      <w:tr w:rsidR="00E55995" w14:paraId="170EE41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352E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Ferramentas de Chapa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EAA5" w14:textId="77777777" w:rsidR="00E55995" w:rsidRDefault="00000000">
            <w:pPr>
              <w:pStyle w:val="MdTableCell"/>
            </w:pPr>
            <w:r>
              <w:t>Inserir gap, margem da mesa, desenhar linha de corte para retalho (horizontal/vertical), adicionar/apagar chapa de corte.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99F9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Controle Total.</w:t>
            </w:r>
            <w:r>
              <w:t xml:space="preserve"> Ferramentas práticas para o chão de fábrica.</w:t>
            </w:r>
          </w:p>
        </w:tc>
      </w:tr>
      <w:tr w:rsidR="00E55995" w14:paraId="4EEBC25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0F8EF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Marcação CNC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B39B" w14:textId="77777777" w:rsidR="00E55995" w:rsidRDefault="00000000">
            <w:pPr>
              <w:pStyle w:val="MdTableCell"/>
            </w:pPr>
            <w:r>
              <w:t>Texto de número de identificação da peça e número de gravação (CNC laser) automática e configurável.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FF6D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Eficiência Operacional.</w:t>
            </w:r>
            <w:r>
              <w:t xml:space="preserve"> Reduz erros de separação e marcação manual.</w:t>
            </w:r>
          </w:p>
        </w:tc>
      </w:tr>
      <w:tr w:rsidR="00E55995" w14:paraId="65714B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E02A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Métricas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8851" w14:textId="77777777" w:rsidR="00E55995" w:rsidRDefault="00000000">
            <w:pPr>
              <w:pStyle w:val="MdTableCell"/>
            </w:pPr>
            <w:r>
              <w:t>Informa o percentual de otimização da chapa e a densidade do arranjo (eficiência).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7C32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ROI Claro.</w:t>
            </w:r>
            <w:r>
              <w:t xml:space="preserve"> Ajuda o cliente a quantificar a economia de material.</w:t>
            </w:r>
          </w:p>
        </w:tc>
      </w:tr>
    </w:tbl>
    <w:p w14:paraId="4678B5AE" w14:textId="77777777" w:rsidR="00E55995" w:rsidRDefault="00000000">
      <w:pPr>
        <w:pStyle w:val="MdHeading2"/>
      </w:pPr>
      <w:r>
        <w:t>3. Estratégia de Aquisição: Teste Gratuito de 30 Dias</w:t>
      </w:r>
    </w:p>
    <w:p w14:paraId="1FDE9DDE" w14:textId="77777777" w:rsidR="00E55995" w:rsidRDefault="00000000">
      <w:pPr>
        <w:pStyle w:val="MdParagraph"/>
      </w:pPr>
      <w:r>
        <w:t xml:space="preserve">A estratégia de aquisição será baseada em um modelo </w:t>
      </w:r>
      <w:proofErr w:type="spellStart"/>
      <w:r>
        <w:rPr>
          <w:rStyle w:val="MdEm"/>
        </w:rPr>
        <w:t>Freemium</w:t>
      </w:r>
      <w:proofErr w:type="spellEnd"/>
      <w:r>
        <w:t xml:space="preserve"> de tempo limitado, que permite ao usuário experimentar a performance do motor de </w:t>
      </w:r>
      <w:proofErr w:type="spellStart"/>
      <w:r>
        <w:t>nesting</w:t>
      </w:r>
      <w:proofErr w:type="spellEnd"/>
      <w:r>
        <w:t xml:space="preserve"> antes de se comprometer.</w:t>
      </w:r>
    </w:p>
    <w:p w14:paraId="3A5B1654" w14:textId="77777777" w:rsidR="00E55995" w:rsidRDefault="00E55995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"/>
        <w:gridCol w:w="4495"/>
        <w:gridCol w:w="3379"/>
      </w:tblGrid>
      <w:tr w:rsidR="00E55995" w14:paraId="69E22F3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475B2" w14:textId="77777777" w:rsidR="00E55995" w:rsidRDefault="00000000">
            <w:pPr>
              <w:pStyle w:val="MdTableHeader"/>
            </w:pPr>
            <w:r>
              <w:t>Aspecto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41E0F" w14:textId="77777777" w:rsidR="00E55995" w:rsidRDefault="00000000">
            <w:pPr>
              <w:pStyle w:val="MdTableHeader"/>
            </w:pPr>
            <w:r>
              <w:t>Detalhe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1EA9C" w14:textId="77777777" w:rsidR="00E55995" w:rsidRDefault="00000000">
            <w:pPr>
              <w:pStyle w:val="MdTableHeader"/>
            </w:pPr>
            <w:r>
              <w:t>Objetivo Estratégico</w:t>
            </w:r>
          </w:p>
        </w:tc>
      </w:tr>
      <w:tr w:rsidR="00E55995" w14:paraId="1D0B826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7628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Duração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9014" w14:textId="77777777" w:rsidR="00E55995" w:rsidRDefault="00000000">
            <w:pPr>
              <w:pStyle w:val="MdTableCell"/>
            </w:pPr>
            <w:r>
              <w:t>30 dias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4E44" w14:textId="77777777" w:rsidR="00E55995" w:rsidRDefault="00000000">
            <w:pPr>
              <w:pStyle w:val="MdTableCell"/>
            </w:pPr>
            <w:r>
              <w:t>Padrão de mercado, tempo suficiente para testar o produto em um ciclo de produção real.</w:t>
            </w:r>
          </w:p>
        </w:tc>
      </w:tr>
      <w:tr w:rsidR="00E55995" w14:paraId="7D524FF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CBB6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Limitação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1EF96" w14:textId="77777777" w:rsidR="00E55995" w:rsidRDefault="00000000">
            <w:pPr>
              <w:pStyle w:val="MdTableCell"/>
            </w:pPr>
            <w:r>
              <w:t xml:space="preserve">Máximo de </w:t>
            </w:r>
            <w:r>
              <w:rPr>
                <w:rStyle w:val="MdStrong"/>
              </w:rPr>
              <w:t>50 peças</w:t>
            </w:r>
            <w:r>
              <w:t xml:space="preserve"> salvas e consultadas no banco de dados.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51F7" w14:textId="77777777" w:rsidR="00E55995" w:rsidRDefault="00000000">
            <w:pPr>
              <w:pStyle w:val="MdTableCell"/>
            </w:pPr>
            <w:r>
              <w:t>Permite que o usuário teste a funcionalidade de salvar/buscar, mas exige a assinatura para construir uma biblioteca de peças significativa.</w:t>
            </w:r>
          </w:p>
        </w:tc>
      </w:tr>
      <w:tr w:rsidR="00E55995" w14:paraId="118D546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8B66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Suspensão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ABC8" w14:textId="77777777" w:rsidR="00E55995" w:rsidRDefault="00000000">
            <w:pPr>
              <w:pStyle w:val="MdTableCell"/>
            </w:pPr>
            <w:r>
              <w:t>Serviço suspenso 5 dias após o vencimento do pagamento.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0ECB" w14:textId="77777777" w:rsidR="00E55995" w:rsidRDefault="00000000">
            <w:pPr>
              <w:pStyle w:val="MdTableCell"/>
            </w:pPr>
            <w:r>
              <w:t>Garante a recorrência e a sustentabilidade do modelo SaaS.</w:t>
            </w:r>
          </w:p>
        </w:tc>
      </w:tr>
      <w:tr w:rsidR="00E55995" w14:paraId="26078A9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6794" w14:textId="77777777" w:rsidR="00E55995" w:rsidRDefault="00000000">
            <w:pPr>
              <w:pStyle w:val="MdTableCell"/>
            </w:pPr>
            <w:r>
              <w:rPr>
                <w:rStyle w:val="MdStrong"/>
              </w:rPr>
              <w:t>Conversão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7E24" w14:textId="77777777" w:rsidR="00E55995" w:rsidRDefault="00000000">
            <w:pPr>
              <w:pStyle w:val="MdTableCell"/>
            </w:pPr>
            <w:r>
              <w:t xml:space="preserve">O usuário experimenta a </w:t>
            </w:r>
            <w:r>
              <w:rPr>
                <w:rStyle w:val="MdStrong"/>
              </w:rPr>
              <w:t>velocidade e a economia</w:t>
            </w:r>
            <w:r>
              <w:t xml:space="preserve"> do motor de </w:t>
            </w:r>
            <w:proofErr w:type="spellStart"/>
            <w:r>
              <w:t>nesting</w:t>
            </w:r>
            <w:proofErr w:type="spellEnd"/>
            <w:r>
              <w:t xml:space="preserve">. A limitação de 50 peças força a conversão para o plano pago para que o cliente possa usar o recurso de </w:t>
            </w:r>
            <w:r>
              <w:rPr>
                <w:rStyle w:val="MdStrong"/>
              </w:rPr>
              <w:t>banco de dados ilimitado</w:t>
            </w:r>
            <w:r>
              <w:t>, um grande diferencial.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2223" w14:textId="77777777" w:rsidR="00E55995" w:rsidRDefault="00E55995">
            <w:pPr>
              <w:pStyle w:val="MdTableCell"/>
            </w:pPr>
          </w:p>
        </w:tc>
      </w:tr>
    </w:tbl>
    <w:p w14:paraId="0A5D39BF" w14:textId="77777777" w:rsidR="00E55995" w:rsidRDefault="00000000">
      <w:pPr>
        <w:pStyle w:val="MdHeading2"/>
      </w:pPr>
      <w:r>
        <w:t>4. Conclusão da Proposta</w:t>
      </w:r>
    </w:p>
    <w:p w14:paraId="357D1B45" w14:textId="77777777" w:rsidR="00E55995" w:rsidRDefault="00000000">
      <w:pPr>
        <w:pStyle w:val="MdParagraph"/>
      </w:pPr>
      <w:r>
        <w:t xml:space="preserve">O </w:t>
      </w:r>
      <w:proofErr w:type="spellStart"/>
      <w:r>
        <w:rPr>
          <w:rStyle w:val="MdStrong"/>
        </w:rPr>
        <w:t>autoNest</w:t>
      </w:r>
      <w:proofErr w:type="spellEnd"/>
      <w:r>
        <w:rPr>
          <w:rStyle w:val="MdStrong"/>
        </w:rPr>
        <w:t xml:space="preserve"> Hub</w:t>
      </w:r>
      <w:r>
        <w:t xml:space="preserve"> está posicionado para ser o líder de mercado em custo-benefício. O preço de U$24,90/mês é altamente atrativo, e a cobrança por usuário adicional garante que o crescimento da receita acompanhe o crescimento do cliente.</w:t>
      </w:r>
    </w:p>
    <w:p w14:paraId="1B8BF977" w14:textId="77777777" w:rsidR="00E55995" w:rsidRDefault="00E55995">
      <w:pPr>
        <w:pStyle w:val="MdSpace"/>
        <w:spacing w:after="60"/>
      </w:pPr>
    </w:p>
    <w:sectPr w:rsidR="00E5599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A"/>
    <w:multiLevelType w:val="hybridMultilevel"/>
    <w:tmpl w:val="5B5C5F18"/>
    <w:lvl w:ilvl="0" w:tplc="908A9510">
      <w:start w:val="1"/>
      <w:numFmt w:val="bullet"/>
      <w:lvlText w:val="•"/>
      <w:lvlJc w:val="left"/>
      <w:pPr>
        <w:ind w:left="720" w:hanging="360"/>
      </w:pPr>
    </w:lvl>
    <w:lvl w:ilvl="1" w:tplc="0B1A5D22">
      <w:start w:val="1"/>
      <w:numFmt w:val="bullet"/>
      <w:lvlText w:val="◦"/>
      <w:lvlJc w:val="left"/>
      <w:pPr>
        <w:ind w:left="1440" w:hanging="360"/>
      </w:pPr>
    </w:lvl>
    <w:lvl w:ilvl="2" w:tplc="628ACC24">
      <w:start w:val="1"/>
      <w:numFmt w:val="bullet"/>
      <w:lvlText w:val="•"/>
      <w:lvlJc w:val="left"/>
      <w:pPr>
        <w:ind w:left="2160" w:hanging="360"/>
      </w:pPr>
    </w:lvl>
    <w:lvl w:ilvl="3" w:tplc="392814E0">
      <w:start w:val="1"/>
      <w:numFmt w:val="bullet"/>
      <w:lvlText w:val="◦"/>
      <w:lvlJc w:val="left"/>
      <w:pPr>
        <w:ind w:left="2880" w:hanging="360"/>
      </w:pPr>
    </w:lvl>
    <w:lvl w:ilvl="4" w:tplc="28B4F67E">
      <w:start w:val="1"/>
      <w:numFmt w:val="bullet"/>
      <w:lvlText w:val="•"/>
      <w:lvlJc w:val="left"/>
      <w:pPr>
        <w:ind w:left="3600" w:hanging="360"/>
      </w:pPr>
    </w:lvl>
    <w:lvl w:ilvl="5" w:tplc="CBF4E5A6">
      <w:start w:val="1"/>
      <w:numFmt w:val="bullet"/>
      <w:lvlText w:val="◦"/>
      <w:lvlJc w:val="left"/>
      <w:pPr>
        <w:ind w:left="4320" w:hanging="360"/>
      </w:pPr>
    </w:lvl>
    <w:lvl w:ilvl="6" w:tplc="9912C712">
      <w:start w:val="1"/>
      <w:numFmt w:val="bullet"/>
      <w:lvlText w:val="•"/>
      <w:lvlJc w:val="left"/>
      <w:pPr>
        <w:ind w:left="5040" w:hanging="360"/>
      </w:pPr>
    </w:lvl>
    <w:lvl w:ilvl="7" w:tplc="941C6A9E">
      <w:numFmt w:val="decimal"/>
      <w:lvlText w:val=""/>
      <w:lvlJc w:val="left"/>
    </w:lvl>
    <w:lvl w:ilvl="8" w:tplc="C506E874">
      <w:numFmt w:val="decimal"/>
      <w:lvlText w:val=""/>
      <w:lvlJc w:val="left"/>
    </w:lvl>
  </w:abstractNum>
  <w:abstractNum w:abstractNumId="1" w15:restartNumberingAfterBreak="0">
    <w:nsid w:val="4CA81EC5"/>
    <w:multiLevelType w:val="multilevel"/>
    <w:tmpl w:val="F9DE77D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B9D0E5D"/>
    <w:multiLevelType w:val="hybridMultilevel"/>
    <w:tmpl w:val="944E05CE"/>
    <w:lvl w:ilvl="0" w:tplc="1C066F16">
      <w:start w:val="1"/>
      <w:numFmt w:val="bullet"/>
      <w:lvlText w:val="●"/>
      <w:lvlJc w:val="left"/>
      <w:pPr>
        <w:ind w:left="720" w:hanging="360"/>
      </w:pPr>
    </w:lvl>
    <w:lvl w:ilvl="1" w:tplc="425C27A0">
      <w:start w:val="1"/>
      <w:numFmt w:val="bullet"/>
      <w:lvlText w:val="○"/>
      <w:lvlJc w:val="left"/>
      <w:pPr>
        <w:ind w:left="1440" w:hanging="360"/>
      </w:pPr>
    </w:lvl>
    <w:lvl w:ilvl="2" w:tplc="A296E384">
      <w:start w:val="1"/>
      <w:numFmt w:val="bullet"/>
      <w:lvlText w:val="■"/>
      <w:lvlJc w:val="left"/>
      <w:pPr>
        <w:ind w:left="2160" w:hanging="360"/>
      </w:pPr>
    </w:lvl>
    <w:lvl w:ilvl="3" w:tplc="D4A8C1EC">
      <w:start w:val="1"/>
      <w:numFmt w:val="bullet"/>
      <w:lvlText w:val="●"/>
      <w:lvlJc w:val="left"/>
      <w:pPr>
        <w:ind w:left="2880" w:hanging="360"/>
      </w:pPr>
    </w:lvl>
    <w:lvl w:ilvl="4" w:tplc="0C3CA43E">
      <w:start w:val="1"/>
      <w:numFmt w:val="bullet"/>
      <w:lvlText w:val="○"/>
      <w:lvlJc w:val="left"/>
      <w:pPr>
        <w:ind w:left="3600" w:hanging="360"/>
      </w:pPr>
    </w:lvl>
    <w:lvl w:ilvl="5" w:tplc="56AC7E7E">
      <w:start w:val="1"/>
      <w:numFmt w:val="bullet"/>
      <w:lvlText w:val="■"/>
      <w:lvlJc w:val="left"/>
      <w:pPr>
        <w:ind w:left="4320" w:hanging="360"/>
      </w:pPr>
    </w:lvl>
    <w:lvl w:ilvl="6" w:tplc="48F4302A">
      <w:start w:val="1"/>
      <w:numFmt w:val="bullet"/>
      <w:lvlText w:val="●"/>
      <w:lvlJc w:val="left"/>
      <w:pPr>
        <w:ind w:left="5040" w:hanging="360"/>
      </w:pPr>
    </w:lvl>
    <w:lvl w:ilvl="7" w:tplc="066818EC">
      <w:start w:val="1"/>
      <w:numFmt w:val="bullet"/>
      <w:lvlText w:val="●"/>
      <w:lvlJc w:val="left"/>
      <w:pPr>
        <w:ind w:left="5760" w:hanging="360"/>
      </w:pPr>
    </w:lvl>
    <w:lvl w:ilvl="8" w:tplc="6EFC37F8">
      <w:start w:val="1"/>
      <w:numFmt w:val="bullet"/>
      <w:lvlText w:val="●"/>
      <w:lvlJc w:val="left"/>
      <w:pPr>
        <w:ind w:left="6480" w:hanging="360"/>
      </w:pPr>
    </w:lvl>
  </w:abstractNum>
  <w:num w:numId="1" w16cid:durableId="6650606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995"/>
    <w:rsid w:val="004E5C13"/>
    <w:rsid w:val="009756F2"/>
    <w:rsid w:val="00DF342A"/>
    <w:rsid w:val="00E5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192EC"/>
  <w15:docId w15:val="{879DB0B7-56ED-4E3A-AAB7-4153EC65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625</Words>
  <Characters>3395</Characters>
  <Application>Microsoft Office Word</Application>
  <DocSecurity>0</DocSecurity>
  <Lines>135</Lines>
  <Paragraphs>89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Denilson Araújo</cp:lastModifiedBy>
  <cp:revision>3</cp:revision>
  <dcterms:created xsi:type="dcterms:W3CDTF">2025-12-21T13:52:00Z</dcterms:created>
  <dcterms:modified xsi:type="dcterms:W3CDTF">2025-12-21T13:55:00Z</dcterms:modified>
</cp:coreProperties>
</file>