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Plano de Negócios e Estudo de Viabilidade: Serviço SaaS de Nesting 2D</w:t>
      </w:r>
    </w:p>
    <w:p>
      <w:pPr>
        <w:pStyle w:val="Heading2"/>
        <w:pStyle w:val="MdHeading2"/>
      </w:pPr>
      <w:r>
        <w:t xml:space="preserve">1. Resumo Executivo</w:t>
      </w:r>
    </w:p>
    <w:p>
      <w:pPr>
        <w:pStyle w:val="MdParagraph"/>
      </w:pPr>
      <w:r>
        <w:t xml:space="preserve">Este documento apresenta um estudo de viabilidade e um plano de negócios para o lançamento de um </w:t>
      </w:r>
      <w:r>
        <w:rPr>
          <w:rStyle w:val="MdStrong"/>
          <w:b/>
          <w:bCs/>
        </w:rPr>
        <w:t xml:space="preserve">Serviço SaaS (Software as a Service) de Nesting 2D</w:t>
      </w:r>
      <w:r>
        <w:t xml:space="preserve"> para peças planas, com o objetivo de atingir </w:t>
      </w:r>
      <w:r>
        <w:rPr>
          <w:rStyle w:val="MdStrong"/>
          <w:b/>
          <w:bCs/>
        </w:rPr>
        <w:t xml:space="preserve">2.000 assinaturas em 12 meses</w:t>
      </w:r>
      <w:r>
        <w:t xml:space="preserve">. O produto, já em fase de MVP (Produto Mínimo Viável) e testes, se posiciona como uma alternativa de baixo custo e alta performance aos softwares tradicionais de CAD/CAM, como Sigmanest, Lantek, VCarve e Fusion 360 Extension, e como um concorrente direto do Nest&amp;Cut.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diferencial competitivo reside na arquitetura inovadora que executa o motor de cálculo de </w:t>
      </w:r>
      <w:r>
        <w:rPr>
          <w:rStyle w:val="MdEm"/>
          <w:i/>
          <w:iCs/>
        </w:rPr>
        <w:t xml:space="preserve">true shape nesting</w:t>
      </w:r>
      <w:r>
        <w:t xml:space="preserve"> otimizado no navegador do cliente (latência baixa), combinada com um modelo de precificação acessível e flexível, focado em pequenas e médias empresas (PMEs) e usuários individuais.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análise de mercado indica um nicho promissor, onde a principal concorrência (Nest&amp;Cut) cobra um valor fixo de </w:t>
      </w:r>
      <w:r>
        <w:rPr>
          <w:rStyle w:val="MdStrong"/>
          <w:b/>
          <w:bCs/>
        </w:rPr>
        <w:t xml:space="preserve">U$59/mês</w:t>
      </w:r>
      <w:r>
        <w:t xml:space="preserve">. Os modelos de precificação propostos (Planos Individuais/Corporativos de U$9 a U$25/mês ou Plano Único de U$20 a U$29/mês com cobrança por usuário adicional) oferecem uma vantagem de custo significativa.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Análise de Mercado e Concorrência</w:t>
      </w:r>
    </w:p>
    <w:p>
      <w:pPr>
        <w:pStyle w:val="MdParagraph"/>
      </w:pPr>
      <w:r>
        <w:t xml:space="preserve">O mercado de software de nesting 2D é dominado por soluções robustas e caras, tipicamente integradas a sistemas CAD/CAM complexos. O surgimento de soluções SaaS, como o Nest&amp;Cut, democratizou o acesso a algoritmos de otimização de corte.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2.1. Concorrentes de Referência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Concorrente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Tipo de Solução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Modelo de Precificação Típico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Preço Estimado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Posicionamento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Sigmanest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Software CAD/CAM Completo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Licença Perpétua + Manutenção Anual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U$5.000 a U$25.000+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Solução </w:t>
            </w:r>
            <w:r>
              <w:rPr>
                <w:rStyle w:val="MdEm"/>
                <w:i/>
                <w:iCs/>
              </w:rPr>
              <w:t xml:space="preserve">premium</w:t>
            </w:r>
            <w:r>
              <w:t xml:space="preserve">, para grandes indústrias com alta demanda e máquinas complexas.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Lantek Expert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Software CAD/CAM Completo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Licença Perpétua + Manutenção Anual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Alto (Não divulgado abertamente)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Solução </w:t>
            </w:r>
            <w:r>
              <w:rPr>
                <w:rStyle w:val="MdEm"/>
                <w:i/>
                <w:iCs/>
              </w:rPr>
              <w:t xml:space="preserve">premium</w:t>
            </w:r>
            <w:r>
              <w:t xml:space="preserve">, foco em integração e gestão de produção.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VCarve (Vectric)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Software CAD/CAM (CNC Router)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Licença Perpétua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U$349 (VCarve Desktop)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Foco em hobbistas e pequenas oficinas de marcenaria/router CNC.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Fusion 360 Extension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Extensão CAD/CAM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Assinatura Mensal/Anual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Variável (Adicional ao Fusion 360)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Solução integrada para usuários do ecossistema Autodesk.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Nest&amp;Cut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SaaS de Nesting 2D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Assinatura Mensal/Anual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U$59/mês (Plano Classic)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Concorrente direto. Foco em facilidade de uso e acesso via web.</w:t>
            </w:r>
          </w:p>
        </w:tc>
      </w:tr>
    </w:tbl>
    <w:p>
      <w:pPr>
        <w:pStyle w:val="Heading3"/>
        <w:pStyle w:val="MdHeading3"/>
      </w:pPr>
      <w:r>
        <w:t xml:space="preserve">2.2. Vantagem Competitiva (Proposta de Valor)</w:t>
      </w:r>
    </w:p>
    <w:p>
      <w:pPr>
        <w:pStyle w:val="MdParagraph"/>
      </w:pPr>
      <w:r>
        <w:t xml:space="preserve">O principal concorrente direto, </w:t>
      </w:r>
      <w:r>
        <w:rPr>
          <w:rStyle w:val="MdStrong"/>
          <w:b/>
          <w:bCs/>
        </w:rPr>
        <w:t xml:space="preserve">Nest&amp;Cut</w:t>
      </w:r>
      <w:r>
        <w:t xml:space="preserve">, cobra </w:t>
      </w:r>
      <w:r>
        <w:rPr>
          <w:rStyle w:val="MdStrong"/>
          <w:b/>
          <w:bCs/>
        </w:rPr>
        <w:t xml:space="preserve">U$59/mês</w:t>
      </w:r>
      <w:r>
        <w:t xml:space="preserve"> por seu plano básico. A proposta de valor do seu SaaS de Nesting 2D é oferecer uma solução com </w:t>
      </w:r>
      <w:r>
        <w:rPr>
          <w:rStyle w:val="MdStrong"/>
          <w:b/>
          <w:bCs/>
        </w:rPr>
        <w:t xml:space="preserve">funcionalidades avançadas</w:t>
      </w:r>
      <w:r>
        <w:t xml:space="preserve"> (True Shape Nesting otimizado, salvamento ilimitado de peças, motor de cálculo no cliente para baixa latência) a um preço significativamente mais baixo.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Vantagens Competitivas Chave: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Preço Acessível:</w:t>
      </w:r>
      <w:r>
        <w:t xml:space="preserve"> Preços propostos de U$9 a U$29/mês, representando uma economia de 50% a 85% em relação ao Nest&amp;Cut.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Performance Descentralizada:</w:t>
      </w:r>
      <w:r>
        <w:t xml:space="preserve"> Motor de cálculo no cliente (navegador) garante baixa latência e alta velocidade de processamento, um diferencial técnico importante.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Funcionalidades Robustas:</w:t>
      </w:r>
      <w:r>
        <w:t xml:space="preserve"> Oferece recursos essenciais para o chão de fábrica (marcação de texto para separação CNC, número de gravação automática, filtro de peças por ordem de produção/material/espessura).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Modelo </w:t>
      </w:r>
      <w:r>
        <w:rPr>
          <w:rStyle w:val="MdEm"/>
          <w:b/>
          <w:bCs/>
          <w:i/>
          <w:iCs/>
        </w:rPr>
        <w:t xml:space="preserve">Freemium</w:t>
      </w:r>
      <w:r>
        <w:rPr>
          <w:rStyle w:val="MdStrong"/>
          <w:b/>
          <w:bCs/>
        </w:rPr>
        <w:t xml:space="preserve"> Implícito:</w:t>
      </w:r>
      <w:r>
        <w:t xml:space="preserve"> A oferta de um preço baixo e um MVP pronto sugere a possibilidade de um modelo </w:t>
      </w:r>
      <w:r>
        <w:rPr>
          <w:rStyle w:val="MdEm"/>
          <w:i/>
          <w:iCs/>
        </w:rPr>
        <w:t xml:space="preserve">freemium</w:t>
      </w:r>
      <w:r>
        <w:t xml:space="preserve"> ou de teste gratuito estendido para rápida aquisição.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Avaliação Técnica e Operacional</w:t>
      </w:r>
    </w:p>
    <w:p>
      <w:pPr>
        <w:pStyle w:val="MdParagraph"/>
      </w:pPr>
      <w:r>
        <w:t xml:space="preserve">O fato de o aplicativo já estar em fase de MVP e testes, com servidor próprio para banco de dados e a execução do motor de nesting no lado do cliente, demonstra uma </w:t>
      </w:r>
      <w:r>
        <w:rPr>
          <w:rStyle w:val="MdStrong"/>
          <w:b/>
          <w:bCs/>
        </w:rPr>
        <w:t xml:space="preserve">viabilidade técnica sólida</w:t>
      </w:r>
      <w:r>
        <w:t xml:space="preserve">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Aspecto Técnico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Implicação Estratégica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Motor de Nesting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True Shape Otimizado, rodando no navegador do cliente.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Alto Desempenho e Baixa Latência.</w:t>
            </w:r>
            <w:r>
              <w:t xml:space="preserve"> Reduz a carga do servidor e oferece uma experiência de usuário mais rápida, crucial para otimização em tempo real.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Banco de Dados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Servidor próprio para salvar e buscar peças (DXF).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Escalabilidade e Segurança.</w:t>
            </w:r>
            <w:r>
              <w:t xml:space="preserve"> Permite o salvamento ilimitado de peças, um recurso de valor para clientes corporativos.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Funcionalidades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Importação DXF, filtros, gap, margem, marcação de texto, gravação automática, otimização retangular/true shape, salvamento DXF local.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Alinhamento com Necessidades do Chão de Fábrica.</w:t>
            </w:r>
            <w:r>
              <w:t xml:space="preserve"> O conjunto de recursos atende diretamente às necessidades operacionais de PMEs e oficinas.</w:t>
            </w:r>
          </w:p>
        </w:tc>
      </w:tr>
    </w:tbl>
    <w:p>
      <w:pPr>
        <w:pStyle w:val="Heading2"/>
        <w:pStyle w:val="MdHeading2"/>
      </w:pPr>
      <w:r>
        <w:t xml:space="preserve">4. Modelos de Precificação e Projeções Financeiras</w:t>
      </w:r>
    </w:p>
    <w:p>
      <w:pPr>
        <w:pStyle w:val="MdParagraph"/>
      </w:pPr>
      <w:r>
        <w:t xml:space="preserve">O objetivo de </w:t>
      </w:r>
      <w:r>
        <w:rPr>
          <w:rStyle w:val="MdStrong"/>
          <w:b/>
          <w:bCs/>
        </w:rPr>
        <w:t xml:space="preserve">2.000 assinaturas em 12 meses</w:t>
      </w:r>
      <w:r>
        <w:t xml:space="preserve"> é ambicioso, mas </w:t>
      </w:r>
      <w:r>
        <w:rPr>
          <w:rStyle w:val="MdStrong"/>
          <w:b/>
          <w:bCs/>
        </w:rPr>
        <w:t xml:space="preserve">sólido</w:t>
      </w:r>
      <w:r>
        <w:t xml:space="preserve"> dada a vantagem de preço e a proposta de valor.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4.1. Análise dos Modelos de Precificação</w:t>
      </w:r>
    </w:p>
    <w:p>
      <w:pPr>
        <w:pStyle w:val="MdParagraph"/>
      </w:pPr>
      <w:r>
        <w:t xml:space="preserve">Dois modelos de precificação foram propostos: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Modelo A: Planos Individuais e Corporativos (U$9 a U$25/mês)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Plano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Preço Mensal (Estimado)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Foco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Usuários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Vantagens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Individual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U$9,00 - U$15,00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Hobbistas, Microempreendedores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Preço de entrada extremamente baixo.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Corporativo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U$19,00 - U$25,00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PMEs, Oficinas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Até 5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Preço competitivo com múltiplos usuários.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Vantagem:</w:t>
      </w:r>
      <w:r>
        <w:t xml:space="preserve"> Permite segmentação de mercado e oferece um ponto de entrada de preço muito baixo (U$9,00), facilitando a aquisição em massa.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Modelo B: Preço Único + Cobrança por Usuário (U$20 a U$29/mês + U$12/usuário)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Plano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Preço Base Mensal (Estimado)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Cobrança Adicional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Foco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Vantagens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Plano Único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U$20,00 - U$29,00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U$12,00 por usuário (até 5)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PMEs, Oficinas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Maior </w:t>
            </w:r>
            <w:r>
              <w:rPr>
                <w:rStyle w:val="MdStrong"/>
                <w:b/>
                <w:bCs/>
              </w:rPr>
              <w:t xml:space="preserve">ARPU (Average Revenue Per User)</w:t>
            </w:r>
            <w:r>
              <w:t xml:space="preserve">. Clientes corporativos pagam mais pelo valor que recebem.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Vantagem:</w:t>
      </w:r>
      <w:r>
        <w:t xml:space="preserve"> Maximiza a receita de clientes corporativos. Um cliente com 5 usuários pagaria U$29 + (4 * U$12) = U$77/mês (no limite superior), um valor ainda competitivo, mas que aumenta a receita média por assinatura.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Recomendação de Precificação: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</w:t>
      </w:r>
      <w:r>
        <w:rPr>
          <w:rStyle w:val="MdStrong"/>
          <w:b/>
          <w:bCs/>
        </w:rPr>
        <w:t xml:space="preserve">Modelo B</w:t>
      </w:r>
      <w:r>
        <w:t xml:space="preserve"> é o mais recomendado, pois alinha o preço ao valor percebido e ao uso (número de usuários), o que é padrão em SaaS corporativo.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Plano Base (1 Usuário):</w:t>
      </w:r>
      <w:r>
        <w:t xml:space="preserve"> U$24,90/mês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Usuário Adicional:</w:t>
      </w:r>
      <w:r>
        <w:t xml:space="preserve"> U$12,00/mês (Limite de 5 usuários)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Este modelo permite um </w:t>
      </w:r>
      <w:r>
        <w:rPr>
          <w:rStyle w:val="MdStrong"/>
          <w:b/>
          <w:bCs/>
        </w:rPr>
        <w:t xml:space="preserve">ARPU (Receita Média por Usuário)</w:t>
      </w:r>
      <w:r>
        <w:t xml:space="preserve"> mais alto e mantém o preço de entrada competitivo.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4.2. Projeção Financeira (Modelo B - Otimista)</w:t>
      </w:r>
    </w:p>
    <w:p>
      <w:pPr>
        <w:pStyle w:val="MdParagraph"/>
      </w:pPr>
      <w:r>
        <w:t xml:space="preserve">Considerando o objetivo de 2.000 assinaturas em 12 meses e uma média conservadora de </w:t>
      </w:r>
      <w:r>
        <w:rPr>
          <w:rStyle w:val="MdStrong"/>
          <w:b/>
          <w:bCs/>
        </w:rPr>
        <w:t xml:space="preserve">2 usuários por assinatura</w:t>
      </w:r>
      <w:r>
        <w:t xml:space="preserve"> (ARPU de U$24,90 + U$12,00 = </w:t>
      </w:r>
      <w:r>
        <w:rPr>
          <w:rStyle w:val="MdStrong"/>
          <w:b/>
          <w:bCs/>
        </w:rPr>
        <w:t xml:space="preserve">U$36,90</w:t>
      </w:r>
      <w:r>
        <w:t xml:space="preserve">), a projeção de receita é: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Métrica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Valor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Meta de Assinaturas (12 meses)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2.000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Receita Média por Assinatura (ARPU)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U$36,90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Receita Mensal Recorrente (MRR) na Meta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U$73.800,00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Receita Anual Recorrente (ARR) na Meta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U$885.600,00</w:t>
            </w:r>
          </w:p>
        </w:tc>
      </w:tr>
    </w:tbl>
    <w:p>
      <w:pPr>
        <w:pStyle w:val="MdParagraph"/>
      </w:pPr>
      <w:r>
        <w:rPr>
          <w:rStyle w:val="MdStrong"/>
          <w:b/>
          <w:bCs/>
        </w:rPr>
        <w:t xml:space="preserve">Conclusão:</w:t>
      </w:r>
      <w:r>
        <w:t xml:space="preserve"> O projeto tem um </w:t>
      </w:r>
      <w:r>
        <w:rPr>
          <w:rStyle w:val="MdStrong"/>
          <w:b/>
          <w:bCs/>
        </w:rPr>
        <w:t xml:space="preserve">potencial de mercado significativo</w:t>
      </w:r>
      <w:r>
        <w:t xml:space="preserve">. Atingir a meta de 2.000 assinaturas em 12 meses resultaria em uma receita anual de quase U$900.000,00, o que é um indicador de sucesso robusto para um MVP.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Estratégia de Go-to-Market e Aquisição de Clientes</w:t>
      </w:r>
    </w:p>
    <w:p>
      <w:pPr>
        <w:pStyle w:val="MdParagraph"/>
      </w:pPr>
      <w:r>
        <w:t xml:space="preserve">A estratégia deve focar na aquisição rápida de usuários, aproveitando a vantagem de preço e a performance técnica.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5.1. Canais de Aquisição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Marketing de Conteúdo:</w:t>
      </w:r>
      <w:r>
        <w:t xml:space="preserve"> Criar tutoriais, estudos de caso e artigos sobre otimização de corte, economia de material e a superioridade do </w:t>
      </w:r>
      <w:r>
        <w:rPr>
          <w:rStyle w:val="MdEm"/>
          <w:i/>
          <w:iCs/>
        </w:rPr>
        <w:t xml:space="preserve">true shape nesting</w:t>
      </w:r>
      <w:r>
        <w:t xml:space="preserve">. Foco em SEO para termos como "software nesting barato", "otimização de corte CNC".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Mídias Sociais e Comunidades:</w:t>
      </w:r>
      <w:r>
        <w:t xml:space="preserve"> Engajamento em grupos de Facebook, fóruns (Reddit, Practical Machinist) e YouTube focados em CNC, corte a laser, plasma e jateamento de água.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Parcerias:</w:t>
      </w:r>
      <w:r>
        <w:t xml:space="preserve"> Estabelecer parcerias com fabricantes de máquinas CNC de pequeno e médio porte ou fornecedores de materiais (chapas metálicas, madeira, acrílico).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Google Ads/Search:</w:t>
      </w:r>
      <w:r>
        <w:t xml:space="preserve"> Campanhas de </w:t>
      </w:r>
      <w:r>
        <w:rPr>
          <w:rStyle w:val="MdEm"/>
          <w:i/>
          <w:iCs/>
        </w:rPr>
        <w:t xml:space="preserve">remarketing</w:t>
      </w:r>
      <w:r>
        <w:t xml:space="preserve"> e de busca direcionadas a usuários que pesquisam os concorrentes (Nest&amp;Cut, Sigmanest, Lantek).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5.2. Táticas de Aquisição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Teste Gratuito Estendido:</w:t>
      </w:r>
      <w:r>
        <w:t xml:space="preserve"> Oferecer um teste gratuito de 30 dias (como o Nest&amp;Cut) ou um plano </w:t>
      </w:r>
      <w:r>
        <w:rPr>
          <w:rStyle w:val="MdEm"/>
          <w:i/>
          <w:iCs/>
        </w:rPr>
        <w:t xml:space="preserve">freemium</w:t>
      </w:r>
      <w:r>
        <w:t xml:space="preserve"> com funcionalidades limitadas (ex: apenas nesting retangular) para demonstrar a velocidade e a facilidade de uso.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Programa de Referência:</w:t>
      </w:r>
      <w:r>
        <w:t xml:space="preserve"> Incentivar os primeiros 500 clientes a indicarem novos usuários com descontos ou meses grátis.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Webinars e Demonstrações:</w:t>
      </w:r>
      <w:r>
        <w:t xml:space="preserve"> Realizar sessões online focadas em como o software resolve problemas específicos (ex: "Como economizar 15% de material em 10 minutos").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Conclusão e Próximos Passos</w:t>
      </w:r>
    </w:p>
    <w:p>
      <w:pPr>
        <w:pStyle w:val="MdParagraph"/>
      </w:pPr>
      <w:r>
        <w:t xml:space="preserve">O projeto de SaaS de Nesting 2D apresenta um </w:t>
      </w:r>
      <w:r>
        <w:rPr>
          <w:rStyle w:val="MdStrong"/>
          <w:b/>
          <w:bCs/>
        </w:rPr>
        <w:t xml:space="preserve">potencial de mercado muito alto</w:t>
      </w:r>
      <w:r>
        <w:t xml:space="preserve"> e lida com </w:t>
      </w:r>
      <w:r>
        <w:rPr>
          <w:rStyle w:val="MdStrong"/>
          <w:b/>
          <w:bCs/>
        </w:rPr>
        <w:t xml:space="preserve">objetivos sólidos</w:t>
      </w:r>
      <w:r>
        <w:t xml:space="preserve">. A combinação de um produto tecnicamente avançado (motor no cliente) com um modelo de precificação disruptivo (U$24,90/mês) o posiciona para capturar uma fatia significativa do mercado de PMEs e usuários individuais insatisfeitos com os altos custos das soluções tradicionais.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Próximos Passos Recomendados: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Definir Planos de Serviço:</w:t>
      </w:r>
      <w:r>
        <w:t xml:space="preserve"> Finalizar os nomes e a lista exata de funcionalidades para o Plano Base (1 usuário) e as funcionalidades adicionais que podem ser desbloqueadas em planos futuros ou com mais usuários.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Lançamento e Marketing:</w:t>
      </w:r>
      <w:r>
        <w:t xml:space="preserve"> Iniciar imediatamente a estratégia de marketing de conteúdo e SEO para construir autoridade e tráfego orgânico.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Monitoramento de Métricas:</w:t>
      </w:r>
      <w:r>
        <w:t xml:space="preserve"> Acompanhar de perto o </w:t>
      </w:r>
      <w:r>
        <w:rPr>
          <w:rStyle w:val="MdStrong"/>
          <w:b/>
          <w:bCs/>
        </w:rPr>
        <w:t xml:space="preserve">CAC (Custo de Aquisição de Cliente)</w:t>
      </w:r>
      <w:r>
        <w:t xml:space="preserve"> e o </w:t>
      </w:r>
      <w:r>
        <w:rPr>
          <w:rStyle w:val="MdStrong"/>
          <w:b/>
          <w:bCs/>
        </w:rPr>
        <w:t xml:space="preserve">Churn Rate (Taxa de Cancelamento)</w:t>
      </w:r>
      <w:r>
        <w:t xml:space="preserve"> para garantir que o </w:t>
      </w:r>
      <w:r>
        <w:rPr>
          <w:rStyle w:val="MdStrong"/>
          <w:b/>
          <w:bCs/>
        </w:rPr>
        <w:t xml:space="preserve">LTV (Lifetime Value)</w:t>
      </w:r>
      <w:r>
        <w:t xml:space="preserve"> do cliente seja significativamente maior que o CAC.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Em"/>
          <w:i/>
          <w:iCs/>
        </w:rPr>
        <w:t xml:space="preserve">Documento elaborado por Manus AI em 21 de Dezembro de 2025.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2025-12-21T12:48:21.573Z</dcterms:created>
  <dcterms:modified xsi:type="dcterms:W3CDTF">2025-12-21T12:48:21.573Z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