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Proposta Final de Planos de Serviço e Valores - autoNest Hub</w:t>
      </w:r>
    </w:p>
    <w:p>
      <w:pPr>
        <w:pStyle w:val="Heading2"/>
        <w:pStyle w:val="MdHeading2"/>
      </w:pPr>
      <w:r>
        <w:t xml:space="preserve">1. Modelo de Precificação Adotado: Plano Único com Cobrança por Usuário (Modelo B)</w:t>
      </w:r>
    </w:p>
    <w:p>
      <w:pPr>
        <w:pStyle w:val="MdParagraph"/>
      </w:pPr>
      <w:r>
        <w:t xml:space="preserve">O modelo de precificação escolhido é o </w:t>
      </w:r>
      <w:r>
        <w:rPr>
          <w:rStyle w:val="MdStrong"/>
          <w:b/>
          <w:bCs/>
        </w:rPr>
        <w:t xml:space="preserve">Plano Único com Cobrança por Usuário</w:t>
      </w:r>
      <w:r>
        <w:t xml:space="preserve">, que alinha o preço ao valor percebido e à escala de uso do cliente (PME ou Corporativo). Este modelo simplifica a oferta e maximiza a Receita Média por Usuário (ARPU).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Estrutura de Preços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Componente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Valor Mensal (Recorrente)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Justificativa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Plano Base (1 Usuário)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U$24,90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Posicionado no meio da faixa proposta (U$20-U$29) e representa uma economia de 57% em relação ao concorrente Nest&amp;Cut (U$59/mês).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Usuário Adicional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U$12,00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Valor proposto pelo usuário. Permite que empresas escalem o uso de forma acessível (até 5 usuários por assinatura).</w:t>
            </w:r>
          </w:p>
        </w:tc>
      </w:tr>
    </w:tbl>
    <w:p>
      <w:pPr>
        <w:pStyle w:val="Heading3"/>
        <w:pStyle w:val="MdHeading3"/>
      </w:pPr>
      <w:r>
        <w:t xml:space="preserve">1.2. Projeção de Receita Média por Assinatura (ARPU)</w:t>
      </w:r>
    </w:p>
    <w:p>
      <w:pPr>
        <w:pStyle w:val="MdParagraph"/>
      </w:pPr>
      <w:r>
        <w:t xml:space="preserve">Com este modelo, a Receita Média por Assinatura (ARPU) varia: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Cenário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Usuários Totais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Cálculo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ARPU Mensal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Individual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U$24,90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U$24,90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PME (Média)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U$24,90 + (2 * U$12,00)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U$48,90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Corporativo (Máximo)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U$24,90 + (4 * U$12,00)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U$72,90</w:t>
            </w:r>
          </w:p>
        </w:tc>
      </w:tr>
    </w:tbl>
    <w:p>
      <w:pPr>
        <w:pStyle w:val="MdParagraph"/>
      </w:pPr>
      <w:r>
        <w:t xml:space="preserve">A meta de 2.000 assinaturas em 12 meses, com uma média conservadora de 2 usuários por assinatura (ARPU de U$36,90), mantém a projeção de </w:t>
      </w:r>
      <w:r>
        <w:rPr>
          <w:rStyle w:val="MdStrong"/>
          <w:b/>
          <w:bCs/>
        </w:rPr>
        <w:t xml:space="preserve">Receita Anual Recorrente (ARR) em U$885.600,00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Detalhamento do Plano de Serviço (Plano Base)</w:t>
      </w:r>
    </w:p>
    <w:p>
      <w:pPr>
        <w:pStyle w:val="MdParagraph"/>
      </w:pPr>
      <w:r>
        <w:t xml:space="preserve">O Plano Base de U$24,90/mês inclui todas as funcionalidades avançadas do MVP, garantindo que o usuário receba valor máximo pelo preço competitivo.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Funcionalidade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Vantagem Competitiva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Motor de Nesting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True Shape Otimizado, rodando no navegador do cliente (baixa latência).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Performance e Velocidade.</w:t>
            </w:r>
            <w:r>
              <w:t xml:space="preserve"> Reduz a carga do servidor e garante resultados rápidos.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Importação/Exportação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Importar peças DXF e salvar o arranjo final em DXF local.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Padrão da indústria.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Salvar e buscar </w:t>
            </w:r>
            <w:r>
              <w:rPr>
                <w:rStyle w:val="MdStrong"/>
                <w:b/>
                <w:bCs/>
              </w:rPr>
              <w:t xml:space="preserve">infinitas peças</w:t>
            </w:r>
            <w:r>
              <w:t xml:space="preserve"> no banco de dados do servidor.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Valor Ilimitado.</w:t>
            </w:r>
            <w:r>
              <w:t xml:space="preserve"> Recurso crucial para clientes corporativos com grandes bibliotecas de peças.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Gestão de Peças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Filtrar peças por número de pedido, ordem de produção, material, espessura.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Organização.</w:t>
            </w:r>
            <w:r>
              <w:t xml:space="preserve"> Essencial para o fluxo de trabalho de produção.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Otimização 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Seleção, rotação, ajuste fino de posição e rotação, devolução manual ao banco de peças.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Flexibilidade.</w:t>
            </w:r>
            <w:r>
              <w:t xml:space="preserve"> Permite que o operador refine o resultado automático.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Ferramentas de Chapa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Inserir gap, margem da mesa, desenhar linha de corte para retalho (horizontal/vertical), adicionar/apagar chapa de corte.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Controle Total.</w:t>
            </w:r>
            <w:r>
              <w:t xml:space="preserve"> Ferramentas práticas para o chão de fábrica.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Marcação CNC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Texto de número de identificação da peça e número de gravação (CNC laser) automática e configurável.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Eficiência Operacional.</w:t>
            </w:r>
            <w:r>
              <w:t xml:space="preserve"> Reduz erros de separação e marcação manual.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Métricas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Informa o percentual de otimização da chapa e a densidade do arranjo (eficiência).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ROI Claro.</w:t>
            </w:r>
            <w:r>
              <w:t xml:space="preserve"> Ajuda o cliente a quantificar a economia de material.</w:t>
            </w:r>
          </w:p>
        </w:tc>
      </w:tr>
    </w:tbl>
    <w:p>
      <w:pPr>
        <w:pStyle w:val="Heading2"/>
        <w:pStyle w:val="MdHeading2"/>
      </w:pPr>
      <w:r>
        <w:t xml:space="preserve">3. Estratégia de Aquisição: Teste Gratuito de 30 Dias</w:t>
      </w:r>
    </w:p>
    <w:p>
      <w:pPr>
        <w:pStyle w:val="MdParagraph"/>
      </w:pPr>
      <w:r>
        <w:t xml:space="preserve">A estratégia de aquisição será baseada em um modelo </w:t>
      </w:r>
      <w:r>
        <w:rPr>
          <w:rStyle w:val="MdEm"/>
          <w:i/>
          <w:iCs/>
        </w:rPr>
        <w:t xml:space="preserve">Freemium</w:t>
      </w:r>
      <w:r>
        <w:t xml:space="preserve"> de tempo limitado, que permite ao usuário experimentar a performance do motor de nesting antes de se comprometer.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Detalhe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Objetivo Estratégico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Duração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 dias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Padrão de mercado, tempo suficiente para testar o produto em um ciclo de produção real.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Limitação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Máximo de </w:t>
            </w:r>
            <w:r>
              <w:rPr>
                <w:rStyle w:val="MdStrong"/>
                <w:b/>
                <w:bCs/>
              </w:rPr>
              <w:t xml:space="preserve">50 peças</w:t>
            </w:r>
            <w:r>
              <w:t xml:space="preserve"> salvas e consultadas no banco de dados.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Permite que o usuário teste a funcionalidade de salvar/buscar, mas exige a assinatura para construir uma biblioteca de peças significativa.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Suspensão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Serviço suspenso 5 dias após o vencimento do pagamento.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Garante a recorrência e a sustentabilidade do modelo SaaS.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Conversão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usuário experimenta a </w:t>
            </w:r>
            <w:r>
              <w:rPr>
                <w:rStyle w:val="MdStrong"/>
                <w:b/>
                <w:bCs/>
              </w:rPr>
              <w:t xml:space="preserve">velocidade e a economia</w:t>
            </w:r>
            <w:r>
              <w:t xml:space="preserve"> do motor de nesting. A limitação de 50 peças força a conversão para o plano pago para que o cliente possa usar o recurso de </w:t>
            </w:r>
            <w:r>
              <w:rPr>
                <w:rStyle w:val="MdStrong"/>
                <w:b/>
                <w:bCs/>
              </w:rPr>
              <w:t xml:space="preserve">banco de dados ilimitado</w:t>
            </w:r>
            <w:r>
              <w:t xml:space="preserve">, um grande diferencial.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</w:tbl>
    <w:p>
      <w:pPr>
        <w:pStyle w:val="Heading2"/>
        <w:pStyle w:val="MdHeading2"/>
      </w:pPr>
      <w:r>
        <w:t xml:space="preserve">4. Conclusão da Proposta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autoNest Hub</w:t>
      </w:r>
      <w:r>
        <w:t xml:space="preserve"> está posicionado para ser o líder de mercado em custo-benefício. O preço de U$24,90/mês é altamente atrativo, e a cobrança por usuário adicional garante que o crescimento da receita acompanhe o crescimento do cliente.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próxima etapa é a implementação desta estrutura de planos no seu sistema de cobrança e a execução da estratégia de </w:t>
      </w:r>
      <w:r>
        <w:rPr>
          <w:rStyle w:val="MdEm"/>
          <w:i/>
          <w:iCs/>
        </w:rPr>
        <w:t xml:space="preserve">go-to-market</w:t>
      </w:r>
      <w:r>
        <w:t xml:space="preserve"> focada em SEO e marketing de conteúdo, conforme detalhado no plano de negócios inicial.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Documento elaborado por Manus AI em 21 de Dezembro de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2025-12-21T13:17:54.861Z</dcterms:created>
  <dcterms:modified xsi:type="dcterms:W3CDTF">2025-12-21T13:17:54.861Z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