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Data Processing Agreement</w:t>
      </w:r>
    </w:p>
    <w:p w:rsidR="00000000" w:rsidDel="00000000" w:rsidP="00000000" w:rsidRDefault="00000000" w:rsidRPr="00000000" w14:paraId="00000002">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03">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Data Processing Agreement (hereinafter: the “DPA”) forms an integral part of the arrangements agreed between the Parties on [</w:t>
      </w:r>
      <w:r w:rsidDel="00000000" w:rsidR="00000000" w:rsidRPr="00000000">
        <w:rPr>
          <w:rFonts w:ascii="Calibri" w:cs="Calibri" w:eastAsia="Calibri" w:hAnsi="Calibri"/>
          <w:sz w:val="22"/>
          <w:szCs w:val="22"/>
          <w:highlight w:val="yellow"/>
          <w:rtl w:val="0"/>
        </w:rPr>
        <w:t xml:space="preserve">DATE</w:t>
      </w:r>
      <w:r w:rsidDel="00000000" w:rsidR="00000000" w:rsidRPr="00000000">
        <w:rPr>
          <w:rFonts w:ascii="Calibri" w:cs="Calibri" w:eastAsia="Calibri" w:hAnsi="Calibri"/>
          <w:sz w:val="22"/>
          <w:szCs w:val="22"/>
          <w:rtl w:val="0"/>
        </w:rPr>
        <w:t xml:space="preserve">] under reference [</w:t>
      </w:r>
      <w:r w:rsidDel="00000000" w:rsidR="00000000" w:rsidRPr="00000000">
        <w:rPr>
          <w:rFonts w:ascii="Calibri" w:cs="Calibri" w:eastAsia="Calibri" w:hAnsi="Calibri"/>
          <w:sz w:val="22"/>
          <w:szCs w:val="22"/>
          <w:highlight w:val="yellow"/>
          <w:rtl w:val="0"/>
        </w:rPr>
        <w:t xml:space="preserve">REFERENCE</w:t>
      </w:r>
      <w:r w:rsidDel="00000000" w:rsidR="00000000" w:rsidRPr="00000000">
        <w:rPr>
          <w:rFonts w:ascii="Calibri" w:cs="Calibri" w:eastAsia="Calibri" w:hAnsi="Calibri"/>
          <w:sz w:val="22"/>
          <w:szCs w:val="22"/>
          <w:rtl w:val="0"/>
        </w:rPr>
        <w:t xml:space="preserve">] (hereinafter: the “Agreement”).</w:t>
      </w:r>
    </w:p>
    <w:p w:rsidR="00000000" w:rsidDel="00000000" w:rsidP="00000000" w:rsidRDefault="00000000" w:rsidRPr="00000000" w14:paraId="00000004">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Parties:</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COMPANY NAME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having its registered office at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STREET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CITY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registered with the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NATIONALITY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Chamber of Commerce under number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CHAMBER OF COMMERCE NUMBER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lawfully represented by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NAME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br w:type="textWrapp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(hereinafter: the “Controller”);</w:t>
      </w:r>
    </w:p>
    <w:p w:rsidR="00000000" w:rsidDel="00000000" w:rsidP="00000000" w:rsidRDefault="00000000" w:rsidRPr="00000000" w14:paraId="0000000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And</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Sprints &amp; Sneakers B.V having its registered office at Duivendrechtsekade 80B, 1096 AH, Amsterdam registered with the Dutch Chamber of Commerce under number 74326740 </w:t>
        <w:br w:type="textWrapping"/>
        <w:t xml:space="preserve">(hereinafter: the “Processor”);</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hereinafter jointly referred to as the “Parties” or as a “Party”;</w:t>
      </w:r>
    </w:p>
    <w:p w:rsidR="00000000" w:rsidDel="00000000" w:rsidP="00000000" w:rsidRDefault="00000000" w:rsidRPr="00000000" w14:paraId="0000000A">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whereas</w:t>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DPA has been concluded in the context of the provision of services by the Processor to the Controller, in performance of the Agreement;</w:t>
      </w:r>
    </w:p>
    <w:p w:rsidR="00000000" w:rsidDel="00000000" w:rsidP="00000000" w:rsidRDefault="00000000" w:rsidRPr="00000000" w14:paraId="000000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Controller qualifies as a controller within the meaning of Article 4(7) of the General Data Protection Regulation (Regulation (EU) 2016/679 of the European Parliament and of the Council of 27 April 2016, hereinafter: the “GDPR”);</w:t>
      </w:r>
    </w:p>
    <w:p w:rsidR="00000000" w:rsidDel="00000000" w:rsidP="00000000" w:rsidRDefault="00000000" w:rsidRPr="00000000" w14:paraId="000000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Processor qualifies as a processor within the meaning of Article 4(8) GDPR in the performance of the Agreement;</w:t>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insofar as terms used in this DPA are also defined in the GDPR, those terms shall have the meaning ascribed to them in Article 4 GDPR;</w:t>
      </w:r>
    </w:p>
    <w:p w:rsidR="00000000" w:rsidDel="00000000" w:rsidP="00000000" w:rsidRDefault="00000000" w:rsidRPr="00000000" w14:paraId="000000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Controller determines the purposes and means of the processing and the conditions set out in this DPA apply thereto;</w:t>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Parties, also in view of the requirement laid down in Article 28(3) GDPR, wish to record their respective rights and obligations in writing by means of this DPA;</w:t>
      </w:r>
    </w:p>
    <w:p w:rsidR="00000000" w:rsidDel="00000000" w:rsidP="00000000" w:rsidRDefault="00000000" w:rsidRPr="00000000" w14:paraId="00000012">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have agreed as follows:</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ind w:left="705" w:hanging="705"/>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Article 1. Purposes of processing</w:t>
      </w:r>
    </w:p>
    <w:p w:rsidR="00000000" w:rsidDel="00000000" w:rsidP="00000000" w:rsidRDefault="00000000" w:rsidRPr="00000000" w14:paraId="00000016">
      <w:pPr>
        <w:ind w:left="705" w:hanging="705"/>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 </w:t>
        <w:tab/>
        <w:t xml:space="preserve">The Processor undertakes, under the conditions set out in this DPA, to process personal data on behalf of the Controller. Processing shall take place on written instructions from the Controller. Processing shall be limited to what is strictly necessary for the performance of the Main Agreement and for any additional purposes expressly agreed by both Parties.</w:t>
      </w:r>
    </w:p>
    <w:p w:rsidR="00000000" w:rsidDel="00000000" w:rsidP="00000000" w:rsidRDefault="00000000" w:rsidRPr="00000000" w14:paraId="00000017">
      <w:pPr>
        <w:ind w:left="705" w:hanging="705"/>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 </w:t>
        <w:tab/>
        <w:t xml:space="preserve">The processing relates to the processing purposes determined by the Controller, with regard to the categories of data subjects and types of personal data as set out in Annex A to this DPA. The Processor shall not process the personal data for any purpose other than those determined by the Controller. The Controller shall inform the Processor of the processing purposes insofar as these are not already included in this DPA.</w:t>
      </w:r>
    </w:p>
    <w:p w:rsidR="00000000" w:rsidDel="00000000" w:rsidP="00000000" w:rsidRDefault="00000000" w:rsidRPr="00000000" w14:paraId="00000018">
      <w:pPr>
        <w:ind w:left="705" w:hanging="705"/>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 </w:t>
        <w:tab/>
        <w:t xml:space="preserve">The Processor has no control over the purposes and means of the processing of personal data. The Processor shall not make independent decisions regarding the receival and use of personal data, the disclosure thereof to third parties, or the retention period of the personal data.</w:t>
      </w:r>
    </w:p>
    <w:p w:rsidR="00000000" w:rsidDel="00000000" w:rsidP="00000000" w:rsidRDefault="00000000" w:rsidRPr="00000000" w14:paraId="00000019">
      <w:pPr>
        <w:ind w:left="705" w:hanging="705"/>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A">
      <w:pPr>
        <w:widowControl w:val="0"/>
        <w:ind w:left="710" w:hanging="710"/>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Article 2. Obligations of the Processor</w:t>
      </w:r>
    </w:p>
    <w:p w:rsidR="00000000" w:rsidDel="00000000" w:rsidP="00000000" w:rsidRDefault="00000000" w:rsidRPr="00000000" w14:paraId="0000001B">
      <w:pPr>
        <w:widowControl w:val="0"/>
        <w:ind w:left="710" w:hanging="71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 </w:t>
        <w:tab/>
        <w:t xml:space="preserve">With regard to the processing referred to in Article 1, the Processor shall ensure compliance with the conditions imposed by the GDPR on the processing of personal data by a processor acting in that capacity.</w:t>
      </w:r>
    </w:p>
    <w:p w:rsidR="00000000" w:rsidDel="00000000" w:rsidP="00000000" w:rsidRDefault="00000000" w:rsidRPr="00000000" w14:paraId="0000001C">
      <w:pPr>
        <w:widowControl w:val="0"/>
        <w:ind w:left="710" w:hanging="71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 </w:t>
        <w:tab/>
        <w:t xml:space="preserve">The obligations of the Processor arising from this DPA shall also apply to anyone processing personal data under the authority of the Processor.</w:t>
      </w:r>
    </w:p>
    <w:p w:rsidR="00000000" w:rsidDel="00000000" w:rsidP="00000000" w:rsidRDefault="00000000" w:rsidRPr="00000000" w14:paraId="0000001D">
      <w:pPr>
        <w:widowControl w:val="0"/>
        <w:ind w:left="710" w:hanging="71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2.3 </w:t>
        <w:tab/>
        <w:t xml:space="preserve">The Processor shall immediately inform the Controller if, in its opinion, an instruction from the Controller infringes the legislation referred to in paragraph 1.</w:t>
      </w:r>
    </w:p>
    <w:p w:rsidR="00000000" w:rsidDel="00000000" w:rsidP="00000000" w:rsidRDefault="00000000" w:rsidRPr="00000000" w14:paraId="0000001E">
      <w:pPr>
        <w:widowControl w:val="0"/>
        <w:ind w:left="700" w:hanging="7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2.4 </w:t>
        <w:tab/>
        <w:t xml:space="preserve">The Processor shall, insofar as reasonably possible, provide assistance to the Controller in fulfilling its obligations pursuant to Articles 32 to 36 GDPR. The Processor may charge reasonable costs for such assistance.</w:t>
      </w:r>
    </w:p>
    <w:p w:rsidR="00000000" w:rsidDel="00000000" w:rsidP="00000000" w:rsidRDefault="00000000" w:rsidRPr="00000000" w14:paraId="0000001F">
      <w:pPr>
        <w:widowControl w:val="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0">
      <w:pPr>
        <w:widowControl w:val="0"/>
        <w:ind w:left="709" w:hanging="709"/>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Article 3. Transfer of personal data</w:t>
      </w:r>
    </w:p>
    <w:p w:rsidR="00000000" w:rsidDel="00000000" w:rsidP="00000000" w:rsidRDefault="00000000" w:rsidRPr="00000000" w14:paraId="00000021">
      <w:pPr>
        <w:widowControl w:val="0"/>
        <w:ind w:left="709" w:hanging="709"/>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 </w:t>
        <w:tab/>
        <w:t xml:space="preserve">The Processor may process personal data in countries within the European Economic Area (EEA). In addition, the Processor may transfer personal data to a country outside the EEA, provided that the requirements set out in Chapter V GDPR are complied with.</w:t>
      </w:r>
    </w:p>
    <w:p w:rsidR="00000000" w:rsidDel="00000000" w:rsidP="00000000" w:rsidRDefault="00000000" w:rsidRPr="00000000" w14:paraId="00000022">
      <w:pPr>
        <w:widowControl w:val="0"/>
        <w:ind w:left="709" w:hanging="709"/>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 </w:t>
        <w:tab/>
        <w:t xml:space="preserve">At the explicit request of the Controller, the Processor shall inform the Controller of the country or countries in which the personal data are processed.</w:t>
      </w:r>
    </w:p>
    <w:p w:rsidR="00000000" w:rsidDel="00000000" w:rsidP="00000000" w:rsidRDefault="00000000" w:rsidRPr="00000000" w14:paraId="00000023">
      <w:pPr>
        <w:widowControl w:val="0"/>
        <w:ind w:left="710" w:hanging="71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4">
      <w:pPr>
        <w:widowControl w:val="0"/>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Article 4. Allocation of responsibility</w:t>
      </w:r>
    </w:p>
    <w:p w:rsidR="00000000" w:rsidDel="00000000" w:rsidP="00000000" w:rsidRDefault="00000000" w:rsidRPr="00000000" w14:paraId="00000025">
      <w:pPr>
        <w:widowControl w:val="0"/>
        <w:ind w:left="700" w:hanging="7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4.1</w:t>
        <w:tab/>
        <w:t xml:space="preserve">The Processor is solely responsible for the processing of personal data under this DPA in accordance with the instructions of the Controller and under the explicit (ultimate) responsibility of the Controller. For all other processing of personal data, including but not limited to the collection of personal data by the Controller, processing for purposes not communicated by the Controller to the Processor, processing by third parties and/or for other purposes, the Processor bears no responsibility. Responsibility for such processing rests exclusively with the Controller.</w:t>
      </w:r>
    </w:p>
    <w:p w:rsidR="00000000" w:rsidDel="00000000" w:rsidP="00000000" w:rsidRDefault="00000000" w:rsidRPr="00000000" w14:paraId="00000026">
      <w:pPr>
        <w:widowControl w:val="0"/>
        <w:ind w:left="700" w:hanging="7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4.2 </w:t>
        <w:tab/>
        <w:t xml:space="preserve">The Controller warrants that the content, use and instructions relating to the processing of personal data as referred to in this DPA are lawful and do not infringe any rights of third parties.</w:t>
      </w:r>
    </w:p>
    <w:p w:rsidR="00000000" w:rsidDel="00000000" w:rsidP="00000000" w:rsidRDefault="00000000" w:rsidRPr="00000000" w14:paraId="00000027">
      <w:pPr>
        <w:widowControl w:val="0"/>
        <w:ind w:left="710" w:hanging="710"/>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28">
      <w:pPr>
        <w:widowControl w:val="0"/>
        <w:ind w:left="710" w:hanging="710"/>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Article 5. Engagement of sub-processors</w:t>
      </w:r>
    </w:p>
    <w:p w:rsidR="00000000" w:rsidDel="00000000" w:rsidP="00000000" w:rsidRDefault="00000000" w:rsidRPr="00000000" w14:paraId="00000029">
      <w:pPr>
        <w:widowControl w:val="0"/>
        <w:ind w:left="710" w:hanging="71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5.1 </w:t>
        <w:tab/>
        <w:t xml:space="preserve">The Controller hereby grants the Processor general authorisation to engage sub-processors in the processing of personal data pursuant to this DPA, subject to compliance with applicable data protection legislation.</w:t>
      </w:r>
    </w:p>
    <w:p w:rsidR="00000000" w:rsidDel="00000000" w:rsidP="00000000" w:rsidRDefault="00000000" w:rsidRPr="00000000" w14:paraId="0000002A">
      <w:pPr>
        <w:widowControl w:val="0"/>
        <w:ind w:left="710" w:hanging="71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5.2 </w:t>
        <w:tab/>
        <w:t xml:space="preserve">The Processor shall inform the Controller of any new sub-processor to be engaged. The Controller has the right to object in writing, stating reasons, within two weeks (14 days) of notification. Where the Controller objects, the Parties shall consult with each other to reach a solution.</w:t>
      </w:r>
    </w:p>
    <w:p w:rsidR="00000000" w:rsidDel="00000000" w:rsidP="00000000" w:rsidRDefault="00000000" w:rsidRPr="00000000" w14:paraId="0000002B">
      <w:pPr>
        <w:widowControl w:val="0"/>
        <w:ind w:left="710" w:hanging="71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5.3 </w:t>
        <w:tab/>
        <w:t xml:space="preserve">The Processor shall ensure that such third parties assume in writing at least the same obligations as agreed between the Controller and the Processor under this DPA.</w:t>
      </w:r>
    </w:p>
    <w:p w:rsidR="00000000" w:rsidDel="00000000" w:rsidP="00000000" w:rsidRDefault="00000000" w:rsidRPr="00000000" w14:paraId="0000002C">
      <w:pPr>
        <w:widowControl w:val="0"/>
        <w:ind w:left="710" w:hanging="71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D">
      <w:pPr>
        <w:widowControl w:val="0"/>
        <w:ind w:left="705" w:hanging="705"/>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Article 6. Security measures</w:t>
      </w:r>
    </w:p>
    <w:p w:rsidR="00000000" w:rsidDel="00000000" w:rsidP="00000000" w:rsidRDefault="00000000" w:rsidRPr="00000000" w14:paraId="0000002E">
      <w:pPr>
        <w:ind w:left="700" w:hanging="7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6.1 </w:t>
        <w:tab/>
        <w:t xml:space="preserve">The Processor shall use reasonable efforts to implement appropriate technical and organisational measures to protect the Personal Data against accidental or unlawful destruction, loss, alteration, unauthorised disclosure or access. The measures implemented by the Processor are further specified in Annex C to this Data Processing Agreement.</w:t>
      </w:r>
    </w:p>
    <w:p w:rsidR="00000000" w:rsidDel="00000000" w:rsidP="00000000" w:rsidRDefault="00000000" w:rsidRPr="00000000" w14:paraId="0000002F">
      <w:pPr>
        <w:ind w:left="700" w:hanging="7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6.2 </w:t>
        <w:tab/>
        <w:t xml:space="preserve">The Processor shall use reasonable efforts to ensure that the level of security is appropriate, taking into account the state of the art, the nature and sensitivity of the Personal Data and the cost of implementation.</w:t>
      </w:r>
    </w:p>
    <w:p w:rsidR="00000000" w:rsidDel="00000000" w:rsidP="00000000" w:rsidRDefault="00000000" w:rsidRPr="00000000" w14:paraId="00000030">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31">
      <w:pPr>
        <w:widowControl w:val="0"/>
        <w:ind w:left="710" w:hanging="710"/>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Article 7. Personal data breach notification</w:t>
      </w:r>
    </w:p>
    <w:p w:rsidR="00000000" w:rsidDel="00000000" w:rsidP="00000000" w:rsidRDefault="00000000" w:rsidRPr="00000000" w14:paraId="00000032">
      <w:pPr>
        <w:widowControl w:val="0"/>
        <w:ind w:left="710" w:hanging="71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7.1 </w:t>
        <w:tab/>
        <w:t xml:space="preserve">In the event of a data breach (meaning: a breach relating to personal data as referred to in Article 4(12) GDPR), the Processor shall inform the Controller thereof without undue delay, following which the Controller shall assess whether it will notify the supervisory authorities and/or the data subjects. The Processor shall make every effort to ensure that the information provided is complete, correct and accurate.</w:t>
      </w:r>
    </w:p>
    <w:p w:rsidR="00000000" w:rsidDel="00000000" w:rsidP="00000000" w:rsidRDefault="00000000" w:rsidRPr="00000000" w14:paraId="00000033">
      <w:pPr>
        <w:widowControl w:val="0"/>
        <w:ind w:left="710" w:hanging="71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7.2 </w:t>
        <w:tab/>
        <w:t xml:space="preserve">The Controller is responsible for complying with any statutory notification obligations. If required by law and/or regulations, the Processor shall cooperate in informing the relevant authorities and, where applicable, the data subjects. Where required by law or regulations, the Processor shall cooperate and may charge reasonable costs.</w:t>
      </w:r>
    </w:p>
    <w:p w:rsidR="00000000" w:rsidDel="00000000" w:rsidP="00000000" w:rsidRDefault="00000000" w:rsidRPr="00000000" w14:paraId="00000034">
      <w:pPr>
        <w:widowControl w:val="0"/>
        <w:ind w:left="710" w:hanging="71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7.3 </w:t>
        <w:tab/>
        <w:t xml:space="preserve">The notification shall at least contain the information required under Article 33(3) GDPR:</w:t>
      </w:r>
    </w:p>
    <w:p w:rsidR="00000000" w:rsidDel="00000000" w:rsidP="00000000" w:rsidRDefault="00000000" w:rsidRPr="00000000" w14:paraId="0000003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211"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nature of the data breach, where possible indicating the categories of data subjects and personal data concerned and, approximately, the number of data subjects and data records concerned;</w:t>
      </w:r>
    </w:p>
    <w:p w:rsidR="00000000" w:rsidDel="00000000" w:rsidP="00000000" w:rsidRDefault="00000000" w:rsidRPr="00000000" w14:paraId="0000003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211"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name and contact details of the data protection officer or another contact point where more information can be obtained;</w:t>
      </w:r>
    </w:p>
    <w:p w:rsidR="00000000" w:rsidDel="00000000" w:rsidP="00000000" w:rsidRDefault="00000000" w:rsidRPr="00000000" w14:paraId="0000003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211"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likely consequences of the personal data breach;</w:t>
      </w:r>
    </w:p>
    <w:p w:rsidR="00000000" w:rsidDel="00000000" w:rsidP="00000000" w:rsidRDefault="00000000" w:rsidRPr="00000000" w14:paraId="0000003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211"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measures proposed or taken by the Processor to address the data breach, including, where applicable, measures to mitigate its possible adverse effects.</w:t>
      </w:r>
    </w:p>
    <w:p w:rsidR="00000000" w:rsidDel="00000000" w:rsidP="00000000" w:rsidRDefault="00000000" w:rsidRPr="00000000" w14:paraId="00000039">
      <w:pPr>
        <w:widowControl w:val="0"/>
        <w:ind w:left="720" w:firstLine="72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br w:type="textWrapping"/>
        <w:t xml:space="preserve">The Processor shall notify the data breach by email to the contact person of the Controller. The Processor shall provide the information referred to in this article completely, correctly and accurately insofar as possible for it at that time.</w:t>
      </w:r>
    </w:p>
    <w:p w:rsidR="00000000" w:rsidDel="00000000" w:rsidP="00000000" w:rsidRDefault="00000000" w:rsidRPr="00000000" w14:paraId="0000003A">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Article 8. Rights of data subjects</w:t>
      </w:r>
    </w:p>
    <w:p w:rsidR="00000000" w:rsidDel="00000000" w:rsidP="00000000" w:rsidRDefault="00000000" w:rsidRPr="00000000" w14:paraId="0000003C">
      <w:pPr>
        <w:ind w:left="700" w:hanging="7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8.1 </w:t>
        <w:tab/>
        <w:t xml:space="preserve">Where a data subject submits a request to exercise statutory rights to the Processor, the Processor shall forward the request to the Controller and inform the data subject accordingly. Controller will subsequently handle the request. If the Controller needs assistance of the Processor, the Processor may charge reasonable costs.</w:t>
      </w:r>
    </w:p>
    <w:p w:rsidR="00000000" w:rsidDel="00000000" w:rsidP="00000000" w:rsidRDefault="00000000" w:rsidRPr="00000000" w14:paraId="0000003D">
      <w:pPr>
        <w:ind w:left="700" w:hanging="7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8.2 </w:t>
        <w:tab/>
        <w:t xml:space="preserve">Taking into account the nature of the processing, the Processor shall assist the Controller in complying with Chapter III GDPR.</w:t>
      </w:r>
    </w:p>
    <w:p w:rsidR="00000000" w:rsidDel="00000000" w:rsidP="00000000" w:rsidRDefault="00000000" w:rsidRPr="00000000" w14:paraId="0000003E">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F">
      <w:pPr>
        <w:widowControl w:val="0"/>
        <w:ind w:left="705" w:hanging="705"/>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Article 9. Confidentiality </w:t>
      </w:r>
    </w:p>
    <w:p w:rsidR="00000000" w:rsidDel="00000000" w:rsidP="00000000" w:rsidRDefault="00000000" w:rsidRPr="00000000" w14:paraId="00000040">
      <w:pPr>
        <w:widowControl w:val="0"/>
        <w:ind w:left="705" w:hanging="705"/>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9.1 </w:t>
        <w:tab/>
        <w:t xml:space="preserve">All personal data received by the Processor from the Controller and/or collected by the Processor itself in the context of this DPA shall be subject to a duty of confidentiality towards third parties. The Processor shall not use such information for any purpose other than that for which it was obtained, unless the information has been rendered anonymous in such a way that it can no longer be attributed to data subjects.</w:t>
      </w:r>
    </w:p>
    <w:p w:rsidR="00000000" w:rsidDel="00000000" w:rsidP="00000000" w:rsidRDefault="00000000" w:rsidRPr="00000000" w14:paraId="00000041">
      <w:pPr>
        <w:widowControl w:val="0"/>
        <w:ind w:left="705" w:hanging="705"/>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9.2 </w:t>
        <w:tab/>
        <w:t xml:space="preserve">The Processor warrants that all persons acting under its authority and involved in the processing of personal data on behalf of the Controller are contractually bound to confidentiality.</w:t>
      </w:r>
    </w:p>
    <w:p w:rsidR="00000000" w:rsidDel="00000000" w:rsidP="00000000" w:rsidRDefault="00000000" w:rsidRPr="00000000" w14:paraId="00000042">
      <w:pPr>
        <w:widowControl w:val="0"/>
        <w:ind w:left="705" w:hanging="705"/>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9.3 </w:t>
        <w:tab/>
        <w:t xml:space="preserve">This confidentiality obligation shall not apply insofar as the Controller has given explicit consent to disclose the information to third parties, where disclosure is logically necessary in view of the nature of the assignment and the performance of this DPA, or where there is a statutory or judicial obligation to disclose the information to a third party.</w:t>
      </w:r>
    </w:p>
    <w:p w:rsidR="00000000" w:rsidDel="00000000" w:rsidP="00000000" w:rsidRDefault="00000000" w:rsidRPr="00000000" w14:paraId="00000043">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4">
      <w:pPr>
        <w:widowControl w:val="0"/>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Article 10. Audit</w:t>
      </w:r>
    </w:p>
    <w:p w:rsidR="00000000" w:rsidDel="00000000" w:rsidP="00000000" w:rsidRDefault="00000000" w:rsidRPr="00000000" w14:paraId="00000045">
      <w:pPr>
        <w:widowControl w:val="0"/>
        <w:ind w:left="700" w:hanging="7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10.1 </w:t>
        <w:tab/>
        <w:t xml:space="preserve">The Controller has the right to have audits conducted by an independent third party bound by confidentiality in order to verify compliance with this DPA.</w:t>
      </w:r>
    </w:p>
    <w:p w:rsidR="00000000" w:rsidDel="00000000" w:rsidP="00000000" w:rsidRDefault="00000000" w:rsidRPr="00000000" w14:paraId="00000046">
      <w:pPr>
        <w:widowControl w:val="0"/>
        <w:ind w:left="700" w:hanging="7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10.2 </w:t>
        <w:tab/>
        <w:t xml:space="preserve">The Controller may conduct such an audit once per year.</w:t>
      </w:r>
    </w:p>
    <w:p w:rsidR="00000000" w:rsidDel="00000000" w:rsidP="00000000" w:rsidRDefault="00000000" w:rsidRPr="00000000" w14:paraId="00000047">
      <w:pPr>
        <w:widowControl w:val="0"/>
        <w:ind w:left="700" w:hanging="7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10.3 </w:t>
        <w:tab/>
        <w:t xml:space="preserve">The Processor is entitled to rely on an audit already conducted to demonstrate its compliance with the agreed obligations. The Controller may only request an additional or different audit where there are concrete and demonstrable objections or deficiencies in relation to the processing activities carried out under this Agreement.</w:t>
      </w:r>
    </w:p>
    <w:p w:rsidR="00000000" w:rsidDel="00000000" w:rsidP="00000000" w:rsidRDefault="00000000" w:rsidRPr="00000000" w14:paraId="00000048">
      <w:pPr>
        <w:widowControl w:val="0"/>
        <w:ind w:left="700" w:hanging="7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10.4 </w:t>
        <w:tab/>
        <w:t xml:space="preserve">An audit initiated by the Controller shall take place at least four weeks after prior notification by the Controller, on a date and time to be determined in mutual consultation between the Parties.</w:t>
      </w:r>
    </w:p>
    <w:p w:rsidR="00000000" w:rsidDel="00000000" w:rsidP="00000000" w:rsidRDefault="00000000" w:rsidRPr="00000000" w14:paraId="00000049">
      <w:pPr>
        <w:widowControl w:val="0"/>
        <w:ind w:left="700" w:hanging="7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10.5</w:t>
        <w:tab/>
        <w:t xml:space="preserve">The Processor shall cooperate with the audit and make all information reasonably relevant to the audit available in a timely manner, including supporting data and personnel. The Controller shall ensure that the audit causes as little disruption as possible to the Processor’s other business activities.</w:t>
      </w:r>
    </w:p>
    <w:p w:rsidR="00000000" w:rsidDel="00000000" w:rsidP="00000000" w:rsidRDefault="00000000" w:rsidRPr="00000000" w14:paraId="0000004A">
      <w:pPr>
        <w:widowControl w:val="0"/>
        <w:ind w:left="700" w:hanging="7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10.6 </w:t>
        <w:tab/>
        <w:t xml:space="preserve">The findings resulting from the audit shall be assessed by the Parties in mutual consultation and, based thereon, implemented by one of the Parties or by both Parties jointly.</w:t>
      </w:r>
    </w:p>
    <w:p w:rsidR="00000000" w:rsidDel="00000000" w:rsidP="00000000" w:rsidRDefault="00000000" w:rsidRPr="00000000" w14:paraId="0000004B">
      <w:pPr>
        <w:widowControl w:val="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10.7 </w:t>
        <w:tab/>
        <w:t xml:space="preserve">The costs of the audit shall be borne by the Controller.</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Article 11. Liability</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Parties expressly agree that, with regard to liability, the liability provision contained in the Agreement shall apply.</w:t>
      </w:r>
    </w:p>
    <w:p w:rsidR="00000000" w:rsidDel="00000000" w:rsidP="00000000" w:rsidRDefault="00000000" w:rsidRPr="00000000" w14:paraId="0000004F">
      <w:pPr>
        <w:widowControl w:val="0"/>
        <w:ind w:left="710" w:hanging="71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0">
      <w:pPr>
        <w:ind w:left="720" w:hanging="720"/>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Article 12. Term, amendment and termination of the DPA</w:t>
      </w:r>
    </w:p>
    <w:p w:rsidR="00000000" w:rsidDel="00000000" w:rsidP="00000000" w:rsidRDefault="00000000" w:rsidRPr="00000000" w14:paraId="00000051">
      <w:pPr>
        <w:ind w:left="720" w:hanging="72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12.1 </w:t>
        <w:tab/>
        <w:t xml:space="preserve">This DPA is entered into for the term as determined in the Agreement between the Parties and, failing that, in any event for the duration of the cooperation.</w:t>
      </w:r>
    </w:p>
    <w:p w:rsidR="00000000" w:rsidDel="00000000" w:rsidP="00000000" w:rsidRDefault="00000000" w:rsidRPr="00000000" w14:paraId="00000052">
      <w:pPr>
        <w:ind w:left="720" w:hanging="72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12.2 </w:t>
        <w:tab/>
        <w:t xml:space="preserve">This DPA may not be terminated prematurely.</w:t>
      </w:r>
    </w:p>
    <w:p w:rsidR="00000000" w:rsidDel="00000000" w:rsidP="00000000" w:rsidRDefault="00000000" w:rsidRPr="00000000" w14:paraId="00000053">
      <w:pPr>
        <w:ind w:left="720" w:hanging="72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12.3 </w:t>
        <w:tab/>
        <w:t xml:space="preserve">This DPA may be amended in the same manner as the Agreement.</w:t>
      </w:r>
    </w:p>
    <w:p w:rsidR="00000000" w:rsidDel="00000000" w:rsidP="00000000" w:rsidRDefault="00000000" w:rsidRPr="00000000" w14:paraId="00000054">
      <w:pPr>
        <w:ind w:left="720" w:hanging="72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12.4 </w:t>
        <w:tab/>
        <w:t xml:space="preserve">As soon as the DPA has ended, for whatever reason and in whatever manner, the Processor shall – at the choice of the Controller – return to the Controller all personal data in its possession, whether in original or copy form, and/or delete and/or destroy such original personal data and any copies thereof.</w:t>
      </w:r>
    </w:p>
    <w:p w:rsidR="00000000" w:rsidDel="00000000" w:rsidP="00000000" w:rsidRDefault="00000000" w:rsidRPr="00000000" w14:paraId="00000055">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Article 13. Governing law and dispute resolution</w:t>
      </w:r>
    </w:p>
    <w:p w:rsidR="00000000" w:rsidDel="00000000" w:rsidP="00000000" w:rsidRDefault="00000000" w:rsidRPr="00000000" w14:paraId="0000005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13.1 </w:t>
        <w:tab/>
        <w:t xml:space="preserve">The Data Processing Agreement and its performance shall be governed by Dutch law.</w:t>
      </w:r>
    </w:p>
    <w:p w:rsidR="00000000" w:rsidDel="00000000" w:rsidP="00000000" w:rsidRDefault="00000000" w:rsidRPr="00000000" w14:paraId="00000058">
      <w:pPr>
        <w:ind w:left="700" w:hanging="7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13.2 </w:t>
        <w:tab/>
        <w:t xml:space="preserve">Any disputes that may arise between the Parties in connection with the DPA shall be submitted to the competent court in the district of the court that also has jurisdiction under the Agreement.</w:t>
      </w:r>
    </w:p>
    <w:p w:rsidR="00000000" w:rsidDel="00000000" w:rsidP="00000000" w:rsidRDefault="00000000" w:rsidRPr="00000000" w14:paraId="00000059">
      <w:pPr>
        <w:ind w:left="700" w:hanging="7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13.3 </w:t>
        <w:tab/>
        <w:t xml:space="preserve">If one or more provisions of the DPA prove to be invalid, the DPA shall otherwise remain in effect. The Parties shall in such case consult with each other regarding the invalid provisions in order to agree on replacement provisions that are valid and correspond as closely as possible to the intent of the provisions to be replaced.</w:t>
      </w:r>
    </w:p>
    <w:p w:rsidR="00000000" w:rsidDel="00000000" w:rsidP="00000000" w:rsidRDefault="00000000" w:rsidRPr="00000000" w14:paraId="0000005A">
      <w:pPr>
        <w:ind w:left="700" w:hanging="7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13.4 </w:t>
        <w:tab/>
        <w:t xml:space="preserve">If data protection legislation is amended, the Parties shall cooperate in amending this DPA in order to be able to (continue to) comply with such legislation.</w:t>
      </w:r>
    </w:p>
    <w:p w:rsidR="00000000" w:rsidDel="00000000" w:rsidP="00000000" w:rsidRDefault="00000000" w:rsidRPr="00000000" w14:paraId="0000005B">
      <w:pPr>
        <w:ind w:left="700" w:hanging="7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13.5 </w:t>
        <w:tab/>
        <w:t xml:space="preserve">In the event of any conflict between documents or their annexes, the following order of precedence shall apply:</w:t>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28"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DPA</w:t>
      </w:r>
    </w:p>
    <w:p w:rsidR="00000000" w:rsidDel="00000000" w:rsidP="00000000" w:rsidRDefault="00000000" w:rsidRPr="00000000"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28"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Agreement</w:t>
      </w:r>
    </w:p>
    <w:p w:rsidR="00000000" w:rsidDel="00000000" w:rsidP="00000000" w:rsidRDefault="00000000" w:rsidRPr="00000000"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28"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Processor’s general terms and conditions</w:t>
      </w:r>
    </w:p>
    <w:p w:rsidR="00000000" w:rsidDel="00000000" w:rsidP="00000000" w:rsidRDefault="00000000" w:rsidRPr="00000000" w14:paraId="0000005F">
      <w:pPr>
        <w:jc w:val="both"/>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br w:type="textWrapping"/>
      </w:r>
      <w:r w:rsidDel="00000000" w:rsidR="00000000" w:rsidRPr="00000000">
        <w:rPr>
          <w:rFonts w:ascii="Calibri" w:cs="Calibri" w:eastAsia="Calibri" w:hAnsi="Calibri"/>
          <w:b w:val="1"/>
          <w:bCs w:val="1"/>
          <w:sz w:val="22"/>
          <w:szCs w:val="22"/>
          <w:rtl w:val="0"/>
        </w:rPr>
        <w:t xml:space="preserve">Annexes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Annex A: specification of personal data processing</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Annex B: subprocessors overview</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Annex C: technical &amp; organisational measures</w:t>
      </w:r>
    </w:p>
    <w:p w:rsidR="00000000" w:rsidDel="00000000" w:rsidP="00000000" w:rsidRDefault="00000000" w:rsidRPr="00000000" w14:paraId="00000063">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64">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Agreed and executed as follows:</w:t>
      </w:r>
    </w:p>
    <w:p w:rsidR="00000000" w:rsidDel="00000000" w:rsidP="00000000" w:rsidRDefault="00000000" w:rsidRPr="00000000" w14:paraId="00000067">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sz w:val="22"/>
          <w:szCs w:val="22"/>
        </w:rPr>
      </w:pPr>
      <w:r w:rsidDel="00000000" w:rsidR="00000000" w:rsidRPr="00000000">
        <w:rPr>
          <w:rFonts w:ascii="Calibri" w:cs="Calibri" w:eastAsia="Calibri" w:hAnsi="Calibri"/>
          <w:rtl w:val="0"/>
        </w:rPr>
        <w:br w:type="textWrapping"/>
        <w:tab/>
        <w:tab/>
      </w:r>
      <w:r w:rsidDel="00000000" w:rsidR="00000000" w:rsidRPr="00000000">
        <w:rPr>
          <w:rFonts w:ascii="Calibri" w:cs="Calibri" w:eastAsia="Calibri" w:hAnsi="Calibri"/>
          <w:sz w:val="22"/>
          <w:szCs w:val="22"/>
          <w:rtl w:val="0"/>
        </w:rPr>
        <w:tab/>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sz w:val="22"/>
          <w:szCs w:val="22"/>
          <w:rtl w:val="0"/>
        </w:rPr>
        <w:t xml:space="preserve">Controller</w:t>
      </w:r>
      <w:r w:rsidDel="00000000" w:rsidR="00000000" w:rsidRPr="00000000">
        <w:rPr>
          <w:rFonts w:ascii="Calibri" w:cs="Calibri" w:eastAsia="Calibri" w:hAnsi="Calibri"/>
          <w:rtl w:val="0"/>
        </w:rPr>
        <w:tab/>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rtl w:val="0"/>
        </w:rPr>
        <w:tab/>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rtl w:val="0"/>
        </w:rPr>
        <w:tab/>
        <w:tab/>
        <w:tab/>
      </w:r>
      <w:r w:rsidDel="00000000" w:rsidR="00000000" w:rsidRPr="00000000">
        <w:rPr>
          <w:rFonts w:ascii="Calibri" w:cs="Calibri" w:eastAsia="Calibri" w:hAnsi="Calibri"/>
          <w:sz w:val="22"/>
          <w:szCs w:val="22"/>
          <w:rtl w:val="0"/>
        </w:rPr>
        <w:t xml:space="preserve">Processor</w:t>
      </w:r>
    </w:p>
    <w:p w:rsidR="00000000" w:rsidDel="00000000" w:rsidP="00000000" w:rsidRDefault="00000000" w:rsidRPr="00000000" w14:paraId="00000069">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_____/_____/___________</w:t>
        <w:tab/>
        <w:t xml:space="preserve">  </w:t>
        <w:tab/>
        <w:t xml:space="preserve">          </w:t>
        <w:tab/>
        <w:t xml:space="preserve">_____/_____/___________</w:t>
        <w:tab/>
      </w:r>
    </w:p>
    <w:p w:rsidR="00000000" w:rsidDel="00000000" w:rsidP="00000000" w:rsidRDefault="00000000" w:rsidRPr="00000000" w14:paraId="0000006B">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w:t>
        <w:tab/>
        <w:t xml:space="preserve">          </w:t>
        <w:tab/>
        <w:tab/>
        <w:tab/>
        <w:tab/>
        <w:tab/>
        <w:t xml:space="preserve">Date</w:t>
        <w:tab/>
      </w:r>
    </w:p>
    <w:p w:rsidR="00000000" w:rsidDel="00000000" w:rsidP="00000000" w:rsidRDefault="00000000" w:rsidRPr="00000000" w14:paraId="0000006C">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Bart Snijders</w:t>
        <w:tab/>
        <w:tab/>
        <w:tab/>
        <w:t xml:space="preserve">            </w:t>
        <w:tab/>
        <w:tab/>
        <w:t xml:space="preserve">______________________</w:t>
      </w:r>
    </w:p>
    <w:p w:rsidR="00000000" w:rsidDel="00000000" w:rsidP="00000000" w:rsidRDefault="00000000" w:rsidRPr="00000000" w14:paraId="0000006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Name</w:t>
        <w:tab/>
        <w:t xml:space="preserve">         </w:t>
        <w:tab/>
        <w:tab/>
        <w:tab/>
        <w:tab/>
        <w:tab/>
        <w:t xml:space="preserve">Name</w:t>
        <w:tab/>
      </w:r>
    </w:p>
    <w:p w:rsidR="00000000" w:rsidDel="00000000" w:rsidP="00000000" w:rsidRDefault="00000000" w:rsidRPr="00000000" w14:paraId="00000070">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1">
      <w:pPr>
        <w:jc w:val="both"/>
        <w:rPr>
          <w:rFonts w:ascii="Calibri" w:cs="Calibri" w:eastAsia="Calibri" w:hAnsi="Calibri"/>
          <w:sz w:val="22"/>
          <w:szCs w:val="22"/>
        </w:rPr>
      </w:pPr>
      <w:r w:rsidDel="00000000" w:rsidR="00000000" w:rsidRPr="00000000">
        <w:rPr>
          <w:rFonts w:ascii="Arial" w:cs="Arial" w:eastAsia="Arial" w:hAnsi="Arial"/>
          <w:sz w:val="20"/>
          <w:szCs w:val="20"/>
        </w:rPr>
        <w:drawing>
          <wp:inline distB="114300" distT="114300" distL="114300" distR="114300">
            <wp:extent cx="1291408" cy="90519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291408" cy="905193"/>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______________________</w:t>
        <w:tab/>
        <w:t xml:space="preserve">          </w:t>
        <w:tab/>
        <w:tab/>
        <w:t xml:space="preserve"> ______________________</w:t>
      </w:r>
    </w:p>
    <w:p w:rsidR="00000000" w:rsidDel="00000000" w:rsidP="00000000" w:rsidRDefault="00000000" w:rsidRPr="00000000" w14:paraId="00000073">
      <w:pPr>
        <w:jc w:val="both"/>
        <w:rPr>
          <w:rFonts w:ascii="Calibri" w:cs="Calibri" w:eastAsia="Calibri" w:hAnsi="Calibri"/>
          <w:sz w:val="22"/>
          <w:szCs w:val="22"/>
        </w:rPr>
      </w:pPr>
      <w:bookmarkStart w:colFirst="0" w:colLast="0" w:name="_heading=h.ip9m7njznalx" w:id="0"/>
      <w:bookmarkEnd w:id="0"/>
      <w:r w:rsidDel="00000000" w:rsidR="00000000" w:rsidRPr="00000000">
        <w:rPr>
          <w:rFonts w:ascii="Calibri" w:cs="Calibri" w:eastAsia="Calibri" w:hAnsi="Calibri"/>
          <w:sz w:val="22"/>
          <w:szCs w:val="22"/>
          <w:rtl w:val="0"/>
        </w:rPr>
        <w:t xml:space="preserve">Signature</w:t>
        <w:tab/>
        <w:tab/>
        <w:tab/>
        <w:tab/>
        <w:tab/>
        <w:t xml:space="preserve">Signature</w:t>
        <w:tab/>
        <w:t xml:space="preserve">          </w:t>
        <w:tab/>
      </w:r>
    </w:p>
    <w:p w:rsidR="00000000" w:rsidDel="00000000" w:rsidP="00000000" w:rsidRDefault="00000000" w:rsidRPr="00000000" w14:paraId="00000074">
      <w:pPr>
        <w:rPr>
          <w:rFonts w:ascii="Calibri" w:cs="Calibri" w:eastAsia="Calibri" w:hAnsi="Calibri"/>
        </w:rPr>
      </w:pPr>
      <w:r w:rsidDel="00000000" w:rsidR="00000000" w:rsidRPr="00000000">
        <w:rPr>
          <w:rtl w:val="0"/>
        </w:rPr>
      </w:r>
    </w:p>
    <w:p w:rsidR="00000000" w:rsidDel="00000000" w:rsidP="00000000" w:rsidRDefault="00000000" w:rsidRPr="00000000" w14:paraId="00000075">
      <w:pPr>
        <w:rPr>
          <w:rFonts w:ascii="Calibri" w:cs="Calibri" w:eastAsia="Calibri" w:hAnsi="Calibri"/>
        </w:rPr>
      </w:pPr>
      <w:r w:rsidDel="00000000" w:rsidR="00000000" w:rsidRPr="00000000">
        <w:rPr>
          <w:rtl w:val="0"/>
        </w:rPr>
      </w:r>
    </w:p>
    <w:p w:rsidR="00000000" w:rsidDel="00000000" w:rsidP="00000000" w:rsidRDefault="00000000" w:rsidRPr="00000000" w14:paraId="00000076">
      <w:pPr>
        <w:rPr>
          <w:rFonts w:ascii="Calibri" w:cs="Calibri" w:eastAsia="Calibri" w:hAnsi="Calibri"/>
        </w:rPr>
      </w:pPr>
      <w:r w:rsidDel="00000000" w:rsidR="00000000" w:rsidRPr="00000000">
        <w:rPr>
          <w:rtl w:val="0"/>
        </w:rPr>
      </w:r>
    </w:p>
    <w:p w:rsidR="00000000" w:rsidDel="00000000" w:rsidP="00000000" w:rsidRDefault="00000000" w:rsidRPr="00000000" w14:paraId="00000077">
      <w:pPr>
        <w:rPr>
          <w:rFonts w:ascii="Calibri" w:cs="Calibri" w:eastAsia="Calibri" w:hAnsi="Calibri"/>
        </w:rPr>
      </w:pPr>
      <w:r w:rsidDel="00000000" w:rsidR="00000000" w:rsidRPr="00000000">
        <w:rPr>
          <w:rtl w:val="0"/>
        </w:rPr>
      </w:r>
    </w:p>
    <w:p w:rsidR="00000000" w:rsidDel="00000000" w:rsidP="00000000" w:rsidRDefault="00000000" w:rsidRPr="00000000" w14:paraId="00000078">
      <w:pPr>
        <w:rPr>
          <w:rFonts w:ascii="Calibri" w:cs="Calibri" w:eastAsia="Calibri" w:hAnsi="Calibri"/>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2"/>
        <w:rPr/>
      </w:pPr>
      <w:r w:rsidDel="00000000" w:rsidR="00000000" w:rsidRPr="00000000">
        <w:rPr>
          <w:rtl w:val="0"/>
        </w:rPr>
        <w:t xml:space="preserve">Annex A: Specification of personal data processing </w:t>
      </w:r>
    </w:p>
    <w:p w:rsidR="00000000" w:rsidDel="00000000" w:rsidP="00000000" w:rsidRDefault="00000000" w:rsidRPr="00000000" w14:paraId="0000007A">
      <w:pPr>
        <w:widowControl w:val="0"/>
        <w:jc w:val="both"/>
        <w:rPr>
          <w:rFonts w:ascii="Calibri" w:cs="Calibri" w:eastAsia="Calibri" w:hAnsi="Calibri"/>
          <w:b w:val="1"/>
          <w:bCs w:val="1"/>
          <w:color w:val="000000"/>
          <w:sz w:val="22"/>
          <w:szCs w:val="22"/>
        </w:rPr>
      </w:pPr>
      <w:r w:rsidDel="00000000" w:rsidR="00000000" w:rsidRPr="00000000">
        <w:rPr>
          <w:rtl w:val="0"/>
        </w:rPr>
      </w:r>
    </w:p>
    <w:tbl>
      <w:tblPr>
        <w:tblStyle w:val="Table1"/>
        <w:tblW w:w="8647.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7"/>
        <w:tblGridChange w:id="0">
          <w:tblGrid>
            <w:gridCol w:w="8647"/>
          </w:tblGrid>
        </w:tblGridChange>
      </w:tblGrid>
      <w:tr>
        <w:trPr>
          <w:cantSplit w:val="0"/>
          <w:tblHeader w:val="0"/>
        </w:trPr>
        <w:tc>
          <w:tcPr>
            <w:shd w:fill="aeaaaa" w:val="clear"/>
          </w:tcPr>
          <w:p w:rsidR="00000000" w:rsidDel="00000000" w:rsidP="00000000" w:rsidRDefault="00000000" w:rsidRPr="00000000" w14:paraId="0000007B">
            <w:pPr>
              <w:widowControl w:val="0"/>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Subject-matter of processing </w:t>
            </w:r>
          </w:p>
        </w:tc>
      </w:tr>
      <w:tr>
        <w:trPr>
          <w:cantSplit w:val="0"/>
          <w:trHeight w:val="487" w:hRule="atLeast"/>
          <w:tblHeader w:val="0"/>
        </w:trPr>
        <w:tc>
          <w:tcPr/>
          <w:p w:rsidR="00000000" w:rsidDel="00000000" w:rsidP="00000000" w:rsidRDefault="00000000" w:rsidRPr="00000000" w14:paraId="0000007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501"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Growth hacking support;</w:t>
            </w:r>
          </w:p>
          <w:p w:rsidR="00000000" w:rsidDel="00000000" w:rsidP="00000000" w:rsidRDefault="00000000" w:rsidRPr="00000000" w14:paraId="0000007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501"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Creating, managing and optimising online marketing and advertising campaigns for the Controller;</w:t>
            </w:r>
          </w:p>
          <w:p w:rsidR="00000000" w:rsidDel="00000000" w:rsidP="00000000" w:rsidRDefault="00000000" w:rsidRPr="00000000" w14:paraId="0000007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501"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Generating leads and prospects;</w:t>
            </w:r>
          </w:p>
          <w:p w:rsidR="00000000" w:rsidDel="00000000" w:rsidP="00000000" w:rsidRDefault="00000000" w:rsidRPr="00000000" w14:paraId="0000007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501"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Supporting CRM activities;</w:t>
            </w:r>
          </w:p>
          <w:p w:rsidR="00000000" w:rsidDel="00000000" w:rsidP="00000000" w:rsidRDefault="00000000" w:rsidRPr="00000000" w14:paraId="0000008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501"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Analysing and reporting on campaigns, websites and funnels;</w:t>
            </w:r>
          </w:p>
          <w:p w:rsidR="00000000" w:rsidDel="00000000" w:rsidP="00000000" w:rsidRDefault="00000000" w:rsidRPr="00000000" w14:paraId="0000008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501"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 testing; and</w:t>
            </w:r>
          </w:p>
          <w:p w:rsidR="00000000" w:rsidDel="00000000" w:rsidP="00000000" w:rsidRDefault="00000000" w:rsidRPr="00000000" w14:paraId="0000008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501"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Maintaining CRM.</w:t>
            </w:r>
          </w:p>
        </w:tc>
      </w:tr>
    </w:tbl>
    <w:p w:rsidR="00000000" w:rsidDel="00000000" w:rsidP="00000000" w:rsidRDefault="00000000" w:rsidRPr="00000000" w14:paraId="00000083">
      <w:pPr>
        <w:widowControl w:val="0"/>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br w:type="textWrapping"/>
        <w:t xml:space="preserve">Overview of personal data and data subjects</w:t>
      </w:r>
    </w:p>
    <w:p w:rsidR="00000000" w:rsidDel="00000000" w:rsidP="00000000" w:rsidRDefault="00000000" w:rsidRPr="00000000" w14:paraId="00000084">
      <w:pPr>
        <w:widowControl w:val="0"/>
        <w:jc w:val="both"/>
        <w:rPr>
          <w:rFonts w:ascii="Calibri" w:cs="Calibri" w:eastAsia="Calibri" w:hAnsi="Calibri"/>
          <w:b w:val="1"/>
          <w:bCs w:val="1"/>
          <w:color w:val="000000"/>
          <w:sz w:val="22"/>
          <w:szCs w:val="22"/>
        </w:rPr>
      </w:pPr>
      <w:r w:rsidDel="00000000" w:rsidR="00000000" w:rsidRPr="00000000">
        <w:rPr>
          <w:rtl w:val="0"/>
        </w:rPr>
      </w:r>
    </w:p>
    <w:tbl>
      <w:tblPr>
        <w:tblStyle w:val="Table2"/>
        <w:tblW w:w="8647.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3"/>
        <w:gridCol w:w="4114"/>
        <w:tblGridChange w:id="0">
          <w:tblGrid>
            <w:gridCol w:w="4533"/>
            <w:gridCol w:w="4114"/>
          </w:tblGrid>
        </w:tblGridChange>
      </w:tblGrid>
      <w:tr>
        <w:trPr>
          <w:cantSplit w:val="0"/>
          <w:tblHeader w:val="0"/>
        </w:trPr>
        <w:tc>
          <w:tcPr>
            <w:shd w:fill="aeaaaa" w:val="clear"/>
          </w:tcPr>
          <w:p w:rsidR="00000000" w:rsidDel="00000000" w:rsidP="00000000" w:rsidRDefault="00000000" w:rsidRPr="00000000" w14:paraId="00000085">
            <w:pPr>
              <w:widowControl w:val="0"/>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Type of personal data</w:t>
            </w:r>
          </w:p>
        </w:tc>
        <w:tc>
          <w:tcPr>
            <w:shd w:fill="aeaaaa" w:val="clear"/>
          </w:tcPr>
          <w:p w:rsidR="00000000" w:rsidDel="00000000" w:rsidP="00000000" w:rsidRDefault="00000000" w:rsidRPr="00000000" w14:paraId="00000086">
            <w:pPr>
              <w:widowControl w:val="0"/>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Categories of data subject(s)</w:t>
            </w:r>
          </w:p>
        </w:tc>
      </w:tr>
      <w:tr>
        <w:trPr>
          <w:cantSplit w:val="0"/>
          <w:trHeight w:val="487" w:hRule="atLeast"/>
          <w:tblHeader w:val="0"/>
        </w:trPr>
        <w:tc>
          <w:tcPr/>
          <w:p w:rsidR="00000000" w:rsidDel="00000000" w:rsidP="00000000" w:rsidRDefault="00000000" w:rsidRPr="00000000" w14:paraId="0000008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Contact details (business);</w:t>
            </w:r>
          </w:p>
          <w:p w:rsidR="00000000" w:rsidDel="00000000" w:rsidP="00000000" w:rsidRDefault="00000000" w:rsidRPr="00000000" w14:paraId="0000008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Interaction and communication data;</w:t>
            </w:r>
          </w:p>
          <w:p w:rsidR="00000000" w:rsidDel="00000000" w:rsidP="00000000" w:rsidRDefault="00000000" w:rsidRPr="00000000" w14:paraId="0000008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Online identifiers and technical data (IP address/cookie ID, device information, browser type); and</w:t>
            </w:r>
          </w:p>
          <w:p w:rsidR="00000000" w:rsidDel="00000000" w:rsidP="00000000" w:rsidRDefault="00000000" w:rsidRPr="00000000" w14:paraId="0000008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CRM and lead data.</w:t>
            </w:r>
          </w:p>
        </w:tc>
        <w:tc>
          <w:tcPr/>
          <w:p w:rsidR="00000000" w:rsidDel="00000000" w:rsidP="00000000" w:rsidRDefault="00000000" w:rsidRPr="00000000" w14:paraId="0000008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Visitors of the website;</w:t>
            </w:r>
          </w:p>
          <w:p w:rsidR="00000000" w:rsidDel="00000000" w:rsidP="00000000" w:rsidRDefault="00000000" w:rsidRPr="00000000" w14:paraId="0000008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Leads of the Controller;</w:t>
            </w:r>
          </w:p>
          <w:p w:rsidR="00000000" w:rsidDel="00000000" w:rsidP="00000000" w:rsidRDefault="00000000" w:rsidRPr="00000000" w14:paraId="0000008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Personal relations of the Controller; and</w:t>
            </w:r>
          </w:p>
          <w:p w:rsidR="00000000" w:rsidDel="00000000" w:rsidP="00000000" w:rsidRDefault="00000000" w:rsidRPr="00000000" w14:paraId="0000008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Partners and suppliers providing services to the Controller.</w:t>
            </w:r>
          </w:p>
        </w:tc>
      </w:tr>
    </w:tbl>
    <w:p w:rsidR="00000000" w:rsidDel="00000000" w:rsidP="00000000" w:rsidRDefault="00000000" w:rsidRPr="00000000" w14:paraId="0000008F">
      <w:pPr>
        <w:widowControl w:val="0"/>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90">
      <w:pPr>
        <w:widowControl w:val="0"/>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Description of the processing activities: </w:t>
      </w:r>
    </w:p>
    <w:p w:rsidR="00000000" w:rsidDel="00000000" w:rsidP="00000000" w:rsidRDefault="00000000" w:rsidRPr="00000000" w14:paraId="00000091">
      <w:pPr>
        <w:widowControl w:val="0"/>
        <w:jc w:val="both"/>
        <w:rPr>
          <w:rFonts w:ascii="Calibri" w:cs="Calibri" w:eastAsia="Calibri" w:hAnsi="Calibri"/>
          <w:color w:val="000000"/>
          <w:sz w:val="22"/>
          <w:szCs w:val="22"/>
        </w:rPr>
      </w:pPr>
      <w:r w:rsidDel="00000000" w:rsidR="00000000" w:rsidRPr="00000000">
        <w:rPr>
          <w:rtl w:val="0"/>
        </w:rPr>
      </w:r>
    </w:p>
    <w:tbl>
      <w:tblPr>
        <w:tblStyle w:val="Table3"/>
        <w:tblW w:w="8647.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7"/>
        <w:tblGridChange w:id="0">
          <w:tblGrid>
            <w:gridCol w:w="8647"/>
          </w:tblGrid>
        </w:tblGridChange>
      </w:tblGrid>
      <w:tr>
        <w:trPr>
          <w:cantSplit w:val="0"/>
          <w:tblHeader w:val="0"/>
        </w:trPr>
        <w:tc>
          <w:tcPr>
            <w:shd w:fill="aeaaaa" w:val="clear"/>
          </w:tcPr>
          <w:p w:rsidR="00000000" w:rsidDel="00000000" w:rsidP="00000000" w:rsidRDefault="00000000" w:rsidRPr="00000000" w14:paraId="00000092">
            <w:pPr>
              <w:widowControl w:val="0"/>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Processing activities  </w:t>
            </w:r>
          </w:p>
        </w:tc>
      </w:tr>
      <w:tr>
        <w:trPr>
          <w:cantSplit w:val="0"/>
          <w:trHeight w:val="843" w:hRule="atLeast"/>
          <w:tblHeader w:val="0"/>
        </w:trPr>
        <w:tc>
          <w:tcPr/>
          <w:p w:rsidR="00000000" w:rsidDel="00000000" w:rsidP="00000000" w:rsidRDefault="00000000" w:rsidRPr="00000000" w14:paraId="0000009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Viewing data;</w:t>
            </w:r>
          </w:p>
          <w:p w:rsidR="00000000" w:rsidDel="00000000" w:rsidP="00000000" w:rsidRDefault="00000000" w:rsidRPr="00000000" w14:paraId="0000009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Segmenting target groups;</w:t>
            </w:r>
          </w:p>
          <w:p w:rsidR="00000000" w:rsidDel="00000000" w:rsidP="00000000" w:rsidRDefault="00000000" w:rsidRPr="00000000" w14:paraId="0000009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Analysing and reporting; and</w:t>
            </w:r>
          </w:p>
          <w:p w:rsidR="00000000" w:rsidDel="00000000" w:rsidP="00000000" w:rsidRDefault="00000000" w:rsidRPr="00000000" w14:paraId="0000009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Modifying CRM records.</w:t>
            </w:r>
          </w:p>
        </w:tc>
      </w:tr>
    </w:tbl>
    <w:p w:rsidR="00000000" w:rsidDel="00000000" w:rsidP="00000000" w:rsidRDefault="00000000" w:rsidRPr="00000000" w14:paraId="00000097">
      <w:pPr>
        <w:widowControl w:val="0"/>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8">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2"/>
        <w:rPr/>
      </w:pPr>
      <w:r w:rsidDel="00000000" w:rsidR="00000000" w:rsidRPr="00000000">
        <w:rPr>
          <w:rtl w:val="0"/>
        </w:rPr>
        <w:t xml:space="preserve">Annex B: subprocessors</w:t>
      </w:r>
    </w:p>
    <w:p w:rsidR="00000000" w:rsidDel="00000000" w:rsidP="00000000" w:rsidRDefault="00000000" w:rsidRPr="00000000" w14:paraId="0000009A">
      <w:pPr>
        <w:rPr>
          <w:rFonts w:ascii="Calibri" w:cs="Calibri" w:eastAsia="Calibri" w:hAnsi="Calibri"/>
          <w:b w:val="1"/>
          <w:bCs w:val="1"/>
          <w:sz w:val="22"/>
          <w:szCs w:val="22"/>
        </w:rPr>
      </w:pPr>
      <w:r w:rsidDel="00000000" w:rsidR="00000000" w:rsidRPr="00000000">
        <w:rPr>
          <w:rtl w:val="0"/>
        </w:rPr>
      </w:r>
    </w:p>
    <w:tbl>
      <w:tblPr>
        <w:tblStyle w:val="Table4"/>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65"/>
        <w:gridCol w:w="1565"/>
        <w:gridCol w:w="2265"/>
        <w:gridCol w:w="2265"/>
        <w:tblGridChange w:id="0">
          <w:tblGrid>
            <w:gridCol w:w="2965"/>
            <w:gridCol w:w="1565"/>
            <w:gridCol w:w="2265"/>
            <w:gridCol w:w="226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9B">
            <w:pPr>
              <w:widowControl w:val="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Name - </w:t>
              <w:br w:type="textWrapping"/>
              <w:t xml:space="preserve">(tool/platform)</w:t>
            </w:r>
          </w:p>
        </w:tc>
        <w:tc>
          <w:tcPr>
            <w:tcMar>
              <w:top w:w="100.0" w:type="dxa"/>
              <w:left w:w="100.0" w:type="dxa"/>
              <w:bottom w:w="100.0" w:type="dxa"/>
              <w:right w:w="100.0" w:type="dxa"/>
            </w:tcMar>
          </w:tcPr>
          <w:p w:rsidR="00000000" w:rsidDel="00000000" w:rsidP="00000000" w:rsidRDefault="00000000" w:rsidRPr="00000000" w14:paraId="0000009C">
            <w:pPr>
              <w:widowControl w:val="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 storage</w:t>
            </w:r>
          </w:p>
        </w:tc>
        <w:tc>
          <w:tcPr>
            <w:tcMar>
              <w:top w:w="100.0" w:type="dxa"/>
              <w:left w:w="100.0" w:type="dxa"/>
              <w:bottom w:w="100.0" w:type="dxa"/>
              <w:right w:w="100.0" w:type="dxa"/>
            </w:tcMar>
          </w:tcPr>
          <w:p w:rsidR="00000000" w:rsidDel="00000000" w:rsidP="00000000" w:rsidRDefault="00000000" w:rsidRPr="00000000" w14:paraId="0000009D">
            <w:pPr>
              <w:widowControl w:val="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Purpose</w:t>
            </w:r>
          </w:p>
        </w:tc>
        <w:tc>
          <w:tcPr>
            <w:tcMar>
              <w:top w:w="100.0" w:type="dxa"/>
              <w:left w:w="100.0" w:type="dxa"/>
              <w:bottom w:w="100.0" w:type="dxa"/>
              <w:right w:w="100.0" w:type="dxa"/>
            </w:tcMar>
          </w:tcPr>
          <w:p w:rsidR="00000000" w:rsidDel="00000000" w:rsidP="00000000" w:rsidRDefault="00000000" w:rsidRPr="00000000" w14:paraId="0000009E">
            <w:pPr>
              <w:widowControl w:val="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Safeguards (where applicable)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F">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Perspective Software GmbH (Perspective.io) </w:t>
            </w:r>
          </w:p>
        </w:tc>
        <w:tc>
          <w:tcPr>
            <w:tcMar>
              <w:top w:w="100.0" w:type="dxa"/>
              <w:left w:w="100.0" w:type="dxa"/>
              <w:bottom w:w="100.0" w:type="dxa"/>
              <w:right w:w="100.0" w:type="dxa"/>
            </w:tcMar>
          </w:tcPr>
          <w:p w:rsidR="00000000" w:rsidDel="00000000" w:rsidP="00000000" w:rsidRDefault="00000000" w:rsidRPr="00000000" w14:paraId="000000A0">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EU</w:t>
            </w:r>
          </w:p>
        </w:tc>
        <w:tc>
          <w:tcPr>
            <w:tcMar>
              <w:top w:w="100.0" w:type="dxa"/>
              <w:left w:w="100.0" w:type="dxa"/>
              <w:bottom w:w="100.0" w:type="dxa"/>
              <w:right w:w="100.0" w:type="dxa"/>
            </w:tcMar>
          </w:tcPr>
          <w:p w:rsidR="00000000" w:rsidDel="00000000" w:rsidP="00000000" w:rsidRDefault="00000000" w:rsidRPr="00000000" w14:paraId="000000A1">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Social ads multi step funnel forms</w:t>
            </w:r>
          </w:p>
        </w:tc>
        <w:tc>
          <w:tcPr>
            <w:tcMar>
              <w:top w:w="100.0" w:type="dxa"/>
              <w:left w:w="100.0" w:type="dxa"/>
              <w:bottom w:w="100.0" w:type="dxa"/>
              <w:right w:w="100.0" w:type="dxa"/>
            </w:tcMar>
          </w:tcPr>
          <w:p w:rsidR="00000000" w:rsidDel="00000000" w:rsidP="00000000" w:rsidRDefault="00000000" w:rsidRPr="00000000" w14:paraId="000000A2">
            <w:pPr>
              <w:widowControl w:val="0"/>
              <w:rPr>
                <w:rFonts w:ascii="Calibri" w:cs="Calibri" w:eastAsia="Calibri" w:hAnsi="Calibri"/>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3">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Hubspot Ireland Limited (Hubspot)</w:t>
            </w:r>
          </w:p>
        </w:tc>
        <w:tc>
          <w:tcPr>
            <w:tcMar>
              <w:top w:w="100.0" w:type="dxa"/>
              <w:left w:w="100.0" w:type="dxa"/>
              <w:bottom w:w="100.0" w:type="dxa"/>
              <w:right w:w="100.0" w:type="dxa"/>
            </w:tcMar>
          </w:tcPr>
          <w:p w:rsidR="00000000" w:rsidDel="00000000" w:rsidP="00000000" w:rsidRDefault="00000000" w:rsidRPr="00000000" w14:paraId="000000A4">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AW Germany region</w:t>
            </w:r>
          </w:p>
        </w:tc>
        <w:tc>
          <w:tcPr>
            <w:tcMar>
              <w:top w:w="100.0" w:type="dxa"/>
              <w:left w:w="100.0" w:type="dxa"/>
              <w:bottom w:w="100.0" w:type="dxa"/>
              <w:right w:w="100.0" w:type="dxa"/>
            </w:tcMar>
          </w:tcPr>
          <w:p w:rsidR="00000000" w:rsidDel="00000000" w:rsidP="00000000" w:rsidRDefault="00000000" w:rsidRPr="00000000" w14:paraId="000000A5">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CRM and campaigns</w:t>
            </w:r>
          </w:p>
        </w:tc>
        <w:tc>
          <w:tcPr>
            <w:tcMar>
              <w:top w:w="100.0" w:type="dxa"/>
              <w:left w:w="100.0" w:type="dxa"/>
              <w:bottom w:w="100.0" w:type="dxa"/>
              <w:right w:w="100.0" w:type="dxa"/>
            </w:tcMar>
          </w:tcPr>
          <w:p w:rsidR="00000000" w:rsidDel="00000000" w:rsidP="00000000" w:rsidRDefault="00000000" w:rsidRPr="00000000" w14:paraId="000000A6">
            <w:pPr>
              <w:widowControl w:val="0"/>
              <w:rPr>
                <w:rFonts w:ascii="Calibri" w:cs="Calibri" w:eastAsia="Calibri" w:hAnsi="Calibri"/>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7">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Lempire SAS (Lemlist)</w:t>
            </w:r>
          </w:p>
        </w:tc>
        <w:tc>
          <w:tcPr>
            <w:tcMar>
              <w:top w:w="100.0" w:type="dxa"/>
              <w:left w:w="100.0" w:type="dxa"/>
              <w:bottom w:w="100.0" w:type="dxa"/>
              <w:right w:w="100.0" w:type="dxa"/>
            </w:tcMar>
          </w:tcPr>
          <w:p w:rsidR="00000000" w:rsidDel="00000000" w:rsidP="00000000" w:rsidRDefault="00000000" w:rsidRPr="00000000" w14:paraId="000000A8">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EU</w:t>
            </w:r>
          </w:p>
        </w:tc>
        <w:tc>
          <w:tcPr>
            <w:tcMar>
              <w:top w:w="100.0" w:type="dxa"/>
              <w:left w:w="100.0" w:type="dxa"/>
              <w:bottom w:w="100.0" w:type="dxa"/>
              <w:right w:w="100.0" w:type="dxa"/>
            </w:tcMar>
          </w:tcPr>
          <w:p w:rsidR="00000000" w:rsidDel="00000000" w:rsidP="00000000" w:rsidRDefault="00000000" w:rsidRPr="00000000" w14:paraId="000000A9">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Linkedin &amp; email outreach </w:t>
            </w:r>
          </w:p>
        </w:tc>
        <w:tc>
          <w:tcPr>
            <w:tcMar>
              <w:top w:w="100.0" w:type="dxa"/>
              <w:left w:w="100.0" w:type="dxa"/>
              <w:bottom w:w="100.0" w:type="dxa"/>
              <w:right w:w="100.0" w:type="dxa"/>
            </w:tcMar>
          </w:tcPr>
          <w:p w:rsidR="00000000" w:rsidDel="00000000" w:rsidP="00000000" w:rsidRDefault="00000000" w:rsidRPr="00000000" w14:paraId="000000AA">
            <w:pPr>
              <w:widowControl w:val="0"/>
              <w:rPr>
                <w:rFonts w:ascii="Calibri" w:cs="Calibri" w:eastAsia="Calibri" w:hAnsi="Calibri"/>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B">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Growth Technologies Limited (Salesflow)</w:t>
            </w:r>
          </w:p>
        </w:tc>
        <w:tc>
          <w:tcPr>
            <w:tcMar>
              <w:top w:w="100.0" w:type="dxa"/>
              <w:left w:w="100.0" w:type="dxa"/>
              <w:bottom w:w="100.0" w:type="dxa"/>
              <w:right w:w="100.0" w:type="dxa"/>
            </w:tcMar>
          </w:tcPr>
          <w:p w:rsidR="00000000" w:rsidDel="00000000" w:rsidP="00000000" w:rsidRDefault="00000000" w:rsidRPr="00000000" w14:paraId="000000AC">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UK</w:t>
            </w:r>
          </w:p>
        </w:tc>
        <w:tc>
          <w:tcPr>
            <w:tcMar>
              <w:top w:w="100.0" w:type="dxa"/>
              <w:left w:w="100.0" w:type="dxa"/>
              <w:bottom w:w="100.0" w:type="dxa"/>
              <w:right w:w="100.0" w:type="dxa"/>
            </w:tcMar>
          </w:tcPr>
          <w:p w:rsidR="00000000" w:rsidDel="00000000" w:rsidP="00000000" w:rsidRDefault="00000000" w:rsidRPr="00000000" w14:paraId="000000AD">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Linkedin &amp; email outreach </w:t>
            </w:r>
          </w:p>
        </w:tc>
        <w:tc>
          <w:tcPr>
            <w:tcMar>
              <w:top w:w="100.0" w:type="dxa"/>
              <w:left w:w="100.0" w:type="dxa"/>
              <w:bottom w:w="100.0" w:type="dxa"/>
              <w:right w:w="100.0" w:type="dxa"/>
            </w:tcMar>
          </w:tcPr>
          <w:p w:rsidR="00000000" w:rsidDel="00000000" w:rsidP="00000000" w:rsidRDefault="00000000" w:rsidRPr="00000000" w14:paraId="000000AE">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European Commission – United Kingdom adequacy decision (GDPR Art. 45).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F">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Celonis, Inc. (Make.com)</w:t>
            </w:r>
          </w:p>
        </w:tc>
        <w:tc>
          <w:tcPr>
            <w:tcMar>
              <w:top w:w="100.0" w:type="dxa"/>
              <w:left w:w="100.0" w:type="dxa"/>
              <w:bottom w:w="100.0" w:type="dxa"/>
              <w:right w:w="100.0" w:type="dxa"/>
            </w:tcMar>
          </w:tcPr>
          <w:p w:rsidR="00000000" w:rsidDel="00000000" w:rsidP="00000000" w:rsidRDefault="00000000" w:rsidRPr="00000000" w14:paraId="000000B0">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EU</w:t>
            </w:r>
          </w:p>
        </w:tc>
        <w:tc>
          <w:tcPr>
            <w:tcMar>
              <w:top w:w="100.0" w:type="dxa"/>
              <w:left w:w="100.0" w:type="dxa"/>
              <w:bottom w:w="100.0" w:type="dxa"/>
              <w:right w:w="100.0" w:type="dxa"/>
            </w:tcMar>
          </w:tcPr>
          <w:p w:rsidR="00000000" w:rsidDel="00000000" w:rsidP="00000000" w:rsidRDefault="00000000" w:rsidRPr="00000000" w14:paraId="000000B1">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Automation tooling</w:t>
            </w:r>
          </w:p>
        </w:tc>
        <w:tc>
          <w:tcPr>
            <w:tcMar>
              <w:top w:w="100.0" w:type="dxa"/>
              <w:left w:w="100.0" w:type="dxa"/>
              <w:bottom w:w="100.0" w:type="dxa"/>
              <w:right w:w="100.0" w:type="dxa"/>
            </w:tcMar>
          </w:tcPr>
          <w:p w:rsidR="00000000" w:rsidDel="00000000" w:rsidP="00000000" w:rsidRDefault="00000000" w:rsidRPr="00000000" w14:paraId="000000B2">
            <w:pPr>
              <w:widowControl w:val="0"/>
              <w:rPr>
                <w:rFonts w:ascii="Calibri" w:cs="Calibri" w:eastAsia="Calibri" w:hAnsi="Calibri"/>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3">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Zapier, Inc. (Zapier)</w:t>
            </w:r>
          </w:p>
        </w:tc>
        <w:tc>
          <w:tcPr>
            <w:tcMar>
              <w:top w:w="100.0" w:type="dxa"/>
              <w:left w:w="100.0" w:type="dxa"/>
              <w:bottom w:w="100.0" w:type="dxa"/>
              <w:right w:w="100.0" w:type="dxa"/>
            </w:tcMar>
          </w:tcPr>
          <w:p w:rsidR="00000000" w:rsidDel="00000000" w:rsidP="00000000" w:rsidRDefault="00000000" w:rsidRPr="00000000" w14:paraId="000000B4">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w:t>
            </w:r>
          </w:p>
        </w:tc>
        <w:tc>
          <w:tcPr>
            <w:tcMar>
              <w:top w:w="100.0" w:type="dxa"/>
              <w:left w:w="100.0" w:type="dxa"/>
              <w:bottom w:w="100.0" w:type="dxa"/>
              <w:right w:w="100.0" w:type="dxa"/>
            </w:tcMar>
          </w:tcPr>
          <w:p w:rsidR="00000000" w:rsidDel="00000000" w:rsidP="00000000" w:rsidRDefault="00000000" w:rsidRPr="00000000" w14:paraId="000000B5">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Automation tooling</w:t>
            </w:r>
          </w:p>
        </w:tc>
        <w:tc>
          <w:tcPr>
            <w:tcMar>
              <w:top w:w="100.0" w:type="dxa"/>
              <w:left w:w="100.0" w:type="dxa"/>
              <w:bottom w:w="100.0" w:type="dxa"/>
              <w:right w:w="100.0" w:type="dxa"/>
            </w:tcMar>
          </w:tcPr>
          <w:p w:rsidR="00000000" w:rsidDel="00000000" w:rsidP="00000000" w:rsidRDefault="00000000" w:rsidRPr="00000000" w14:paraId="000000B6">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Adequacy decision in the form of Data Privacy Framework.</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7">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LinkedIn Ireland Unlimited Company (Linkedin campaign manager) </w:t>
            </w:r>
          </w:p>
        </w:tc>
        <w:tc>
          <w:tcPr>
            <w:tcMar>
              <w:top w:w="100.0" w:type="dxa"/>
              <w:left w:w="100.0" w:type="dxa"/>
              <w:bottom w:w="100.0" w:type="dxa"/>
              <w:right w:w="100.0" w:type="dxa"/>
            </w:tcMar>
          </w:tcPr>
          <w:p w:rsidR="00000000" w:rsidDel="00000000" w:rsidP="00000000" w:rsidRDefault="00000000" w:rsidRPr="00000000" w14:paraId="000000B8">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EU</w:t>
            </w:r>
          </w:p>
        </w:tc>
        <w:tc>
          <w:tcPr>
            <w:tcMar>
              <w:top w:w="100.0" w:type="dxa"/>
              <w:left w:w="100.0" w:type="dxa"/>
              <w:bottom w:w="100.0" w:type="dxa"/>
              <w:right w:w="100.0" w:type="dxa"/>
            </w:tcMar>
          </w:tcPr>
          <w:p w:rsidR="00000000" w:rsidDel="00000000" w:rsidP="00000000" w:rsidRDefault="00000000" w:rsidRPr="00000000" w14:paraId="000000B9">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Advertising &amp; prospecting</w:t>
            </w:r>
          </w:p>
        </w:tc>
        <w:tc>
          <w:tcPr>
            <w:tcMar>
              <w:top w:w="100.0" w:type="dxa"/>
              <w:left w:w="100.0" w:type="dxa"/>
              <w:bottom w:w="100.0" w:type="dxa"/>
              <w:right w:w="100.0" w:type="dxa"/>
            </w:tcMar>
          </w:tcPr>
          <w:p w:rsidR="00000000" w:rsidDel="00000000" w:rsidP="00000000" w:rsidRDefault="00000000" w:rsidRPr="00000000" w14:paraId="000000BA">
            <w:pPr>
              <w:widowControl w:val="0"/>
              <w:rPr>
                <w:rFonts w:ascii="Calibri" w:cs="Calibri" w:eastAsia="Calibri" w:hAnsi="Calibri"/>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B">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Meta Platform Ireland Limited (META business manager)</w:t>
            </w:r>
          </w:p>
        </w:tc>
        <w:tc>
          <w:tcPr>
            <w:tcMar>
              <w:top w:w="100.0" w:type="dxa"/>
              <w:left w:w="100.0" w:type="dxa"/>
              <w:bottom w:w="100.0" w:type="dxa"/>
              <w:right w:w="100.0" w:type="dxa"/>
            </w:tcMar>
          </w:tcPr>
          <w:p w:rsidR="00000000" w:rsidDel="00000000" w:rsidP="00000000" w:rsidRDefault="00000000" w:rsidRPr="00000000" w14:paraId="000000BC">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EU</w:t>
            </w:r>
          </w:p>
        </w:tc>
        <w:tc>
          <w:tcPr>
            <w:tcMar>
              <w:top w:w="100.0" w:type="dxa"/>
              <w:left w:w="100.0" w:type="dxa"/>
              <w:bottom w:w="100.0" w:type="dxa"/>
              <w:right w:w="100.0" w:type="dxa"/>
            </w:tcMar>
          </w:tcPr>
          <w:p w:rsidR="00000000" w:rsidDel="00000000" w:rsidP="00000000" w:rsidRDefault="00000000" w:rsidRPr="00000000" w14:paraId="000000BD">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Advertising &amp; prospecting</w:t>
            </w:r>
          </w:p>
        </w:tc>
        <w:tc>
          <w:tcPr>
            <w:tcMar>
              <w:top w:w="100.0" w:type="dxa"/>
              <w:left w:w="100.0" w:type="dxa"/>
              <w:bottom w:w="100.0" w:type="dxa"/>
              <w:right w:w="100.0" w:type="dxa"/>
            </w:tcMar>
          </w:tcPr>
          <w:p w:rsidR="00000000" w:rsidDel="00000000" w:rsidP="00000000" w:rsidRDefault="00000000" w:rsidRPr="00000000" w14:paraId="000000BE">
            <w:pPr>
              <w:widowControl w:val="0"/>
              <w:rPr>
                <w:rFonts w:ascii="Calibri" w:cs="Calibri" w:eastAsia="Calibri" w:hAnsi="Calibri"/>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F">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Google Ireland Limited (MCC / Google Ads account)</w:t>
            </w:r>
          </w:p>
        </w:tc>
        <w:tc>
          <w:tcPr>
            <w:tcMar>
              <w:top w:w="100.0" w:type="dxa"/>
              <w:left w:w="100.0" w:type="dxa"/>
              <w:bottom w:w="100.0" w:type="dxa"/>
              <w:right w:w="100.0" w:type="dxa"/>
            </w:tcMar>
          </w:tcPr>
          <w:p w:rsidR="00000000" w:rsidDel="00000000" w:rsidP="00000000" w:rsidRDefault="00000000" w:rsidRPr="00000000" w14:paraId="000000C0">
            <w:pPr>
              <w:widowControl w:val="0"/>
              <w:rPr>
                <w:rFonts w:ascii="Calibri" w:cs="Calibri" w:eastAsia="Calibri" w:hAnsi="Calibri"/>
                <w:sz w:val="20"/>
                <w:szCs w:val="20"/>
                <w:highlight w:val="red"/>
              </w:rPr>
            </w:pPr>
            <w:r w:rsidDel="00000000" w:rsidR="00000000" w:rsidRPr="00000000">
              <w:rPr>
                <w:rFonts w:ascii="Calibri" w:cs="Calibri" w:eastAsia="Calibri" w:hAnsi="Calibri"/>
                <w:sz w:val="20"/>
                <w:szCs w:val="20"/>
                <w:rtl w:val="0"/>
              </w:rPr>
              <w:t xml:space="preserve">EU</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1">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Advertising &amp; prospecting</w:t>
            </w:r>
          </w:p>
        </w:tc>
        <w:tc>
          <w:tcPr>
            <w:tcMar>
              <w:top w:w="100.0" w:type="dxa"/>
              <w:left w:w="100.0" w:type="dxa"/>
              <w:bottom w:w="100.0" w:type="dxa"/>
              <w:right w:w="100.0" w:type="dxa"/>
            </w:tcMar>
          </w:tcPr>
          <w:p w:rsidR="00000000" w:rsidDel="00000000" w:rsidP="00000000" w:rsidRDefault="00000000" w:rsidRPr="00000000" w14:paraId="000000C2">
            <w:pPr>
              <w:widowControl w:val="0"/>
              <w:rPr>
                <w:rFonts w:ascii="Calibri" w:cs="Calibri" w:eastAsia="Calibri" w:hAnsi="Calibri"/>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3">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TikTok Technology Limited</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(Tiktok business manager) </w:t>
            </w:r>
          </w:p>
        </w:tc>
        <w:tc>
          <w:tcPr>
            <w:tcMar>
              <w:top w:w="100.0" w:type="dxa"/>
              <w:left w:w="100.0" w:type="dxa"/>
              <w:bottom w:w="100.0" w:type="dxa"/>
              <w:right w:w="100.0" w:type="dxa"/>
            </w:tcMar>
          </w:tcPr>
          <w:p w:rsidR="00000000" w:rsidDel="00000000" w:rsidP="00000000" w:rsidRDefault="00000000" w:rsidRPr="00000000" w14:paraId="000000C4">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EU</w:t>
            </w:r>
          </w:p>
        </w:tc>
        <w:tc>
          <w:tcPr>
            <w:tcMar>
              <w:top w:w="100.0" w:type="dxa"/>
              <w:left w:w="100.0" w:type="dxa"/>
              <w:bottom w:w="100.0" w:type="dxa"/>
              <w:right w:w="100.0" w:type="dxa"/>
            </w:tcMar>
          </w:tcPr>
          <w:p w:rsidR="00000000" w:rsidDel="00000000" w:rsidP="00000000" w:rsidRDefault="00000000" w:rsidRPr="00000000" w14:paraId="000000C5">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Advertising &amp; prospecting</w:t>
            </w:r>
          </w:p>
        </w:tc>
        <w:tc>
          <w:tcPr>
            <w:tcMar>
              <w:top w:w="100.0" w:type="dxa"/>
              <w:left w:w="100.0" w:type="dxa"/>
              <w:bottom w:w="100.0" w:type="dxa"/>
              <w:right w:w="100.0" w:type="dxa"/>
            </w:tcMar>
          </w:tcPr>
          <w:p w:rsidR="00000000" w:rsidDel="00000000" w:rsidP="00000000" w:rsidRDefault="00000000" w:rsidRPr="00000000" w14:paraId="000000C6">
            <w:pPr>
              <w:widowControl w:val="0"/>
              <w:rPr>
                <w:rFonts w:ascii="Calibri" w:cs="Calibri" w:eastAsia="Calibri" w:hAnsi="Calibri"/>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7">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Snap Group Limited (Snapchat business manager)</w:t>
            </w:r>
          </w:p>
        </w:tc>
        <w:tc>
          <w:tcPr>
            <w:tcMar>
              <w:top w:w="100.0" w:type="dxa"/>
              <w:left w:w="100.0" w:type="dxa"/>
              <w:bottom w:w="100.0" w:type="dxa"/>
              <w:right w:w="100.0" w:type="dxa"/>
            </w:tcMar>
          </w:tcPr>
          <w:p w:rsidR="00000000" w:rsidDel="00000000" w:rsidP="00000000" w:rsidRDefault="00000000" w:rsidRPr="00000000" w14:paraId="000000C8">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UK</w:t>
            </w:r>
          </w:p>
        </w:tc>
        <w:tc>
          <w:tcPr>
            <w:tcMar>
              <w:top w:w="100.0" w:type="dxa"/>
              <w:left w:w="100.0" w:type="dxa"/>
              <w:bottom w:w="100.0" w:type="dxa"/>
              <w:right w:w="100.0" w:type="dxa"/>
            </w:tcMar>
          </w:tcPr>
          <w:p w:rsidR="00000000" w:rsidDel="00000000" w:rsidP="00000000" w:rsidRDefault="00000000" w:rsidRPr="00000000" w14:paraId="000000C9">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Advertising &amp; prospecting</w:t>
            </w:r>
          </w:p>
        </w:tc>
        <w:tc>
          <w:tcPr>
            <w:tcMar>
              <w:top w:w="100.0" w:type="dxa"/>
              <w:left w:w="100.0" w:type="dxa"/>
              <w:bottom w:w="100.0" w:type="dxa"/>
              <w:right w:w="100.0" w:type="dxa"/>
            </w:tcMar>
          </w:tcPr>
          <w:p w:rsidR="00000000" w:rsidDel="00000000" w:rsidP="00000000" w:rsidRDefault="00000000" w:rsidRPr="00000000" w14:paraId="000000CA">
            <w:pPr>
              <w:widowControl w:val="0"/>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European Commission – United Kingdom adequacy decision (GDPR Art. 45).</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B">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Microsoft Ireland Operations Limited (Microsoft advertising /  business manager)</w:t>
            </w:r>
          </w:p>
        </w:tc>
        <w:tc>
          <w:tcPr>
            <w:tcMar>
              <w:top w:w="100.0" w:type="dxa"/>
              <w:left w:w="100.0" w:type="dxa"/>
              <w:bottom w:w="100.0" w:type="dxa"/>
              <w:right w:w="100.0" w:type="dxa"/>
            </w:tcMar>
          </w:tcPr>
          <w:p w:rsidR="00000000" w:rsidDel="00000000" w:rsidP="00000000" w:rsidRDefault="00000000" w:rsidRPr="00000000" w14:paraId="000000CC">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EU</w:t>
            </w:r>
          </w:p>
        </w:tc>
        <w:tc>
          <w:tcPr>
            <w:tcMar>
              <w:top w:w="100.0" w:type="dxa"/>
              <w:left w:w="100.0" w:type="dxa"/>
              <w:bottom w:w="100.0" w:type="dxa"/>
              <w:right w:w="100.0" w:type="dxa"/>
            </w:tcMar>
          </w:tcPr>
          <w:p w:rsidR="00000000" w:rsidDel="00000000" w:rsidP="00000000" w:rsidRDefault="00000000" w:rsidRPr="00000000" w14:paraId="000000CD">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Advertising &amp; prospecting</w:t>
            </w:r>
          </w:p>
        </w:tc>
        <w:tc>
          <w:tcPr>
            <w:tcMar>
              <w:top w:w="100.0" w:type="dxa"/>
              <w:left w:w="100.0" w:type="dxa"/>
              <w:bottom w:w="100.0" w:type="dxa"/>
              <w:right w:w="100.0" w:type="dxa"/>
            </w:tcMar>
          </w:tcPr>
          <w:p w:rsidR="00000000" w:rsidDel="00000000" w:rsidP="00000000" w:rsidRDefault="00000000" w:rsidRPr="00000000" w14:paraId="000000CE">
            <w:pPr>
              <w:widowControl w:val="0"/>
              <w:rPr>
                <w:rFonts w:ascii="Calibri" w:cs="Calibri" w:eastAsia="Calibri" w:hAnsi="Calibri"/>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F">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Microsoft Corporation (Microsoft Clarity)</w:t>
            </w:r>
          </w:p>
        </w:tc>
        <w:tc>
          <w:tcPr>
            <w:tcMar>
              <w:top w:w="100.0" w:type="dxa"/>
              <w:left w:w="100.0" w:type="dxa"/>
              <w:bottom w:w="100.0" w:type="dxa"/>
              <w:right w:w="100.0" w:type="dxa"/>
            </w:tcMar>
          </w:tcPr>
          <w:p w:rsidR="00000000" w:rsidDel="00000000" w:rsidP="00000000" w:rsidRDefault="00000000" w:rsidRPr="00000000" w14:paraId="000000D0">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w:t>
            </w:r>
          </w:p>
        </w:tc>
        <w:tc>
          <w:tcPr>
            <w:tcMar>
              <w:top w:w="100.0" w:type="dxa"/>
              <w:left w:w="100.0" w:type="dxa"/>
              <w:bottom w:w="100.0" w:type="dxa"/>
              <w:right w:w="100.0" w:type="dxa"/>
            </w:tcMar>
          </w:tcPr>
          <w:p w:rsidR="00000000" w:rsidDel="00000000" w:rsidP="00000000" w:rsidRDefault="00000000" w:rsidRPr="00000000" w14:paraId="000000D1">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Web usage tracking</w:t>
            </w:r>
          </w:p>
        </w:tc>
        <w:tc>
          <w:tcPr>
            <w:tcMar>
              <w:top w:w="100.0" w:type="dxa"/>
              <w:left w:w="100.0" w:type="dxa"/>
              <w:bottom w:w="100.0" w:type="dxa"/>
              <w:right w:w="100.0" w:type="dxa"/>
            </w:tcMar>
          </w:tcPr>
          <w:p w:rsidR="00000000" w:rsidDel="00000000" w:rsidP="00000000" w:rsidRDefault="00000000" w:rsidRPr="00000000" w14:paraId="000000D2">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Adequacy decision in the form of Data Privacy Framework.</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3">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Clay Labs, Inc (Clay)</w:t>
            </w:r>
          </w:p>
        </w:tc>
        <w:tc>
          <w:tcPr>
            <w:tcMar>
              <w:top w:w="100.0" w:type="dxa"/>
              <w:left w:w="100.0" w:type="dxa"/>
              <w:bottom w:w="100.0" w:type="dxa"/>
              <w:right w:w="100.0" w:type="dxa"/>
            </w:tcMar>
          </w:tcPr>
          <w:p w:rsidR="00000000" w:rsidDel="00000000" w:rsidP="00000000" w:rsidRDefault="00000000" w:rsidRPr="00000000" w14:paraId="000000D4">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w:t>
            </w:r>
          </w:p>
        </w:tc>
        <w:tc>
          <w:tcPr>
            <w:tcMar>
              <w:top w:w="100.0" w:type="dxa"/>
              <w:left w:w="100.0" w:type="dxa"/>
              <w:bottom w:w="100.0" w:type="dxa"/>
              <w:right w:w="100.0" w:type="dxa"/>
            </w:tcMar>
          </w:tcPr>
          <w:p w:rsidR="00000000" w:rsidDel="00000000" w:rsidP="00000000" w:rsidRDefault="00000000" w:rsidRPr="00000000" w14:paraId="000000D5">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Linkedin &amp; email outreach</w:t>
            </w:r>
          </w:p>
        </w:tc>
        <w:tc>
          <w:tcPr>
            <w:tcMar>
              <w:top w:w="100.0" w:type="dxa"/>
              <w:left w:w="100.0" w:type="dxa"/>
              <w:bottom w:w="100.0" w:type="dxa"/>
              <w:right w:w="100.0" w:type="dxa"/>
            </w:tcMar>
          </w:tcPr>
          <w:p w:rsidR="00000000" w:rsidDel="00000000" w:rsidP="00000000" w:rsidRDefault="00000000" w:rsidRPr="00000000" w14:paraId="000000D6">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EU Standard Contractual Clauses (SCC) (EU 2021/914)</w:t>
            </w:r>
          </w:p>
        </w:tc>
      </w:tr>
    </w:tbl>
    <w:p w:rsidR="00000000" w:rsidDel="00000000" w:rsidP="00000000" w:rsidRDefault="00000000" w:rsidRPr="00000000" w14:paraId="000000D7">
      <w:pPr>
        <w:pStyle w:val="Heading2"/>
        <w:rPr/>
      </w:pPr>
      <w:r w:rsidDel="00000000" w:rsidR="00000000" w:rsidRPr="00000000">
        <w:rPr>
          <w:rtl w:val="0"/>
        </w:rPr>
        <w:t xml:space="preserve">Annex C: </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 Access to personal data</w:t>
      </w:r>
    </w:p>
    <w:p w:rsidR="00000000" w:rsidDel="00000000" w:rsidP="00000000" w:rsidRDefault="00000000" w:rsidRPr="00000000" w14:paraId="000000D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Access to personal data within the organization is strictly limited. Only the leadership team and the project teams specifically assigned to a project have access to the personal data relevant to that project. Folders are managed using multi-factor authentication (MFA) to prevent unauthorized access. We also ensure that project-specific information is only accessible by the project and leadership teams, while other files are governed by role-based access on a need-to-know basis.</w:t>
      </w:r>
    </w:p>
    <w:p w:rsidR="00000000" w:rsidDel="00000000" w:rsidP="00000000" w:rsidRDefault="00000000" w:rsidRPr="00000000" w14:paraId="000000DB">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DC">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2. Management of access to personal data</w:t>
      </w:r>
    </w:p>
    <w:p w:rsidR="00000000" w:rsidDel="00000000" w:rsidP="00000000" w:rsidRDefault="00000000" w:rsidRPr="00000000" w14:paraId="000000D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 ensure the security of personal data, we use MFA for all project management systems and agency tools. For shared access, LastPass is used to securely share passwords; LastPass itself is fully encrypted and only accessible with MFA. This ensures that only authorized personnel have access to sensitive information. Additionally, passwords for our core systems are required to be at least 15 characters long, including special characters, to enhance security.</w:t>
      </w:r>
    </w:p>
    <w:p w:rsidR="00000000" w:rsidDel="00000000" w:rsidP="00000000" w:rsidRDefault="00000000" w:rsidRPr="00000000" w14:paraId="000000DE">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F">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 Storage of personal data</w:t>
      </w:r>
    </w:p>
    <w:p w:rsidR="00000000" w:rsidDel="00000000" w:rsidP="00000000" w:rsidRDefault="00000000" w:rsidRPr="00000000" w14:paraId="000000E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personal data and files are stored without exception in the Google Drive cloud, which provides encryption both at rest and during transmission (SSL/TLS). Google Cloud provides end-to-end encryption, ensuring that all data is secure both when stored and when transmitted. Additionally, daily backups are made of the data, which are also encrypted. The backups are securely stored to prevent data loss.</w:t>
      </w:r>
    </w:p>
    <w:p w:rsidR="00000000" w:rsidDel="00000000" w:rsidP="00000000" w:rsidRDefault="00000000" w:rsidRPr="00000000" w14:paraId="000000E1">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2">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4. Protection against unauthorized access</w:t>
      </w:r>
    </w:p>
    <w:p w:rsidR="00000000" w:rsidDel="00000000" w:rsidP="00000000" w:rsidRDefault="00000000" w:rsidRPr="00000000" w14:paraId="000000E3">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Our systems are protected from brute force attacks and other unauthorized access using firewalls, encryption, and Intrusion Detection Systems (IDS), particularly within Google Cloud and LastPass. Additionally, our organization has an internal security breach handbook, which outlines the steps to be taken in the event of a data breach. In case of an incident, our fast-response team, consisting of the management team (MT) and operations (OPS), is immediately activated to lock systems, take measures, and inform the relevant account managers and partners. For employees not working within the EU, VPNs are provided to ensure secure access to company resources.</w:t>
      </w:r>
    </w:p>
    <w:p w:rsidR="00000000" w:rsidDel="00000000" w:rsidP="00000000" w:rsidRDefault="00000000" w:rsidRPr="00000000" w14:paraId="000000E4">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E5">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 Physical security</w:t>
      </w:r>
    </w:p>
    <w:p w:rsidR="00000000" w:rsidDel="00000000" w:rsidP="00000000" w:rsidRDefault="00000000" w:rsidRPr="00000000" w14:paraId="000000E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Our organization does not use physical servers on-site. Spare laptops are securely stored in a locked room, and access to this equipment is strictly controlled. There are no physical server rooms that require access. All macbooks make use of macOS Firewall, Xprotect Antivirus and FileVault disc encryption.</w:t>
      </w:r>
    </w:p>
    <w:p w:rsidR="00000000" w:rsidDel="00000000" w:rsidP="00000000" w:rsidRDefault="00000000" w:rsidRPr="00000000" w14:paraId="000000E7">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E8">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 Security Standards and updates</w:t>
      </w:r>
    </w:p>
    <w:p w:rsidR="00000000" w:rsidDel="00000000" w:rsidP="00000000" w:rsidRDefault="00000000" w:rsidRPr="00000000" w14:paraId="000000E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 only use cloud systems that provide automatic updates and patch management, such as Google Cloud and LastPass. These systems are continuously updated and comply with the latest security standards, keeping us up-to-date on security.</w:t>
      </w:r>
    </w:p>
    <w:p w:rsidR="00000000" w:rsidDel="00000000" w:rsidP="00000000" w:rsidRDefault="00000000" w:rsidRPr="00000000" w14:paraId="000000EA">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B">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7. Identification of vulnerabilities</w:t>
      </w:r>
    </w:p>
    <w:p w:rsidR="00000000" w:rsidDel="00000000" w:rsidP="00000000" w:rsidRDefault="00000000" w:rsidRPr="00000000" w14:paraId="000000E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Every quarter, an internal security audit is conducted on the systems we use, granted access by partners and employees, and the use of passwords. Security scores are monitored via LastPass and Google Admin. If vulnerabilities or risks are identified, measures are immediately taken, such as adjusting access rights, strengthening password security, or updating security settings. We also conduct regular checks on all sub-processors to ensure they follow the same security measures, data processing methods, and possess valid security certificates.</w:t>
      </w:r>
    </w:p>
    <w:p w:rsidR="00000000" w:rsidDel="00000000" w:rsidP="00000000" w:rsidRDefault="00000000" w:rsidRPr="00000000" w14:paraId="000000ED">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E">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8. Log management and processing of personal data</w:t>
      </w:r>
    </w:p>
    <w:p w:rsidR="00000000" w:rsidDel="00000000" w:rsidP="00000000" w:rsidRDefault="00000000" w:rsidRPr="00000000" w14:paraId="000000E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Personal data is logged during the collaboration period. This means that every access to data, changes, and data exchanges are recorded. Secure logs are used, and only authorized personnel have access to these logs. After the collaboration ends, Personal Data in active systems is deleted as soon as reasonably possible and in any event within ninety (90) days. Personal data that remains in encrypted back-ups is overwritten and rendered unrecoverable in the ordinary course of back-up cycles, and in any case no later than six (6) months after the end of the collaboration, provided no longer retention is required by law.</w:t>
      </w:r>
    </w:p>
    <w:p w:rsidR="00000000" w:rsidDel="00000000" w:rsidP="00000000" w:rsidRDefault="00000000" w:rsidRPr="00000000" w14:paraId="000000F0">
      <w:pPr>
        <w:rPr>
          <w:rFonts w:ascii="Calibri" w:cs="Calibri" w:eastAsia="Calibri" w:hAnsi="Calibri"/>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sectPr>
      <w:headerReference r:id="rId8" w:type="default"/>
      <w:footerReference r:id="rId9" w:type="default"/>
      <w:pgSz w:h="16840" w:w="11900"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 w:val="left" w:leader="none" w:pos="2268"/>
        <w:tab w:val="right" w:leader="none" w:pos="8789"/>
      </w:tabs>
      <w:spacing w:after="0" w:before="0" w:line="240" w:lineRule="auto"/>
      <w:ind w:left="0" w:right="3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 w:val="left" w:leader="none" w:pos="2268"/>
        <w:tab w:val="right" w:leader="none" w:pos="8789"/>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page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of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 w:val="left" w:leader="none" w:pos="2268"/>
        <w:tab w:val="right" w:leader="none" w:pos="8789"/>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____________</w:t>
      <w:tab/>
      <w:t xml:space="preserve">                                  ____________</w:t>
      <w:tab/>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 w:val="left" w:leader="none" w:pos="2268"/>
      </w:tabs>
      <w:spacing w:after="0" w:before="0" w:line="240" w:lineRule="auto"/>
      <w:ind w:left="0" w:right="0" w:firstLine="0"/>
      <w:jc w:val="left"/>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Controller’s initials</w:t>
      <w:tab/>
      <w:tab/>
      <w:t xml:space="preserve">Processor’s initials</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060.0" w:type="dxa"/>
      <w:jc w:val="left"/>
      <w:tblLayout w:type="fixed"/>
      <w:tblLook w:val="0600"/>
    </w:tblPr>
    <w:tblGrid>
      <w:gridCol w:w="3020"/>
      <w:gridCol w:w="3020"/>
      <w:gridCol w:w="3020"/>
      <w:tblGridChange w:id="0">
        <w:tblGrid>
          <w:gridCol w:w="3020"/>
          <w:gridCol w:w="3020"/>
          <w:gridCol w:w="3020"/>
        </w:tblGrid>
      </w:tblGridChange>
    </w:tblGrid>
    <w:tr>
      <w:trPr>
        <w:cantSplit w:val="0"/>
        <w:trHeight w:val="300" w:hRule="atLeast"/>
        <w:tblHeader w:val="0"/>
      </w:trPr>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11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2"/>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lowerLetter"/>
      <w:lvlText w:val="%1)"/>
      <w:lvlJc w:val="left"/>
      <w:pPr>
        <w:ind w:left="1428" w:hanging="360"/>
      </w:pPr>
      <w:rPr/>
    </w:lvl>
    <w:lvl w:ilvl="1">
      <w:start w:val="1"/>
      <w:numFmt w:val="lowerLetter"/>
      <w:lvlText w:val="%2."/>
      <w:lvlJc w:val="left"/>
      <w:pPr>
        <w:ind w:left="2148" w:hanging="360"/>
      </w:pPr>
      <w:rPr/>
    </w:lvl>
    <w:lvl w:ilvl="2">
      <w:start w:val="1"/>
      <w:numFmt w:val="lowerRoman"/>
      <w:lvlText w:val="%3."/>
      <w:lvlJc w:val="right"/>
      <w:pPr>
        <w:ind w:left="2868" w:hanging="180"/>
      </w:pPr>
      <w:rPr/>
    </w:lvl>
    <w:lvl w:ilvl="3">
      <w:start w:val="1"/>
      <w:numFmt w:val="decimal"/>
      <w:lvlText w:val="%4."/>
      <w:lvlJc w:val="left"/>
      <w:pPr>
        <w:ind w:left="3588" w:hanging="360"/>
      </w:pPr>
      <w:rPr/>
    </w:lvl>
    <w:lvl w:ilvl="4">
      <w:start w:val="1"/>
      <w:numFmt w:val="lowerLetter"/>
      <w:lvlText w:val="%5."/>
      <w:lvlJc w:val="left"/>
      <w:pPr>
        <w:ind w:left="4308" w:hanging="360"/>
      </w:pPr>
      <w:rPr/>
    </w:lvl>
    <w:lvl w:ilvl="5">
      <w:start w:val="1"/>
      <w:numFmt w:val="lowerRoman"/>
      <w:lvlText w:val="%6."/>
      <w:lvlJc w:val="right"/>
      <w:pPr>
        <w:ind w:left="5028" w:hanging="180"/>
      </w:pPr>
      <w:rPr/>
    </w:lvl>
    <w:lvl w:ilvl="6">
      <w:start w:val="1"/>
      <w:numFmt w:val="decimal"/>
      <w:lvlText w:val="%7."/>
      <w:lvlJc w:val="left"/>
      <w:pPr>
        <w:ind w:left="5748" w:hanging="360"/>
      </w:pPr>
      <w:rPr/>
    </w:lvl>
    <w:lvl w:ilvl="7">
      <w:start w:val="1"/>
      <w:numFmt w:val="lowerLetter"/>
      <w:lvlText w:val="%8."/>
      <w:lvlJc w:val="left"/>
      <w:pPr>
        <w:ind w:left="6468" w:hanging="360"/>
      </w:pPr>
      <w:rPr/>
    </w:lvl>
    <w:lvl w:ilvl="8">
      <w:start w:val="1"/>
      <w:numFmt w:val="lowerRoman"/>
      <w:lvlText w:val="%9."/>
      <w:lvlJc w:val="right"/>
      <w:pPr>
        <w:ind w:left="7188" w:hanging="180"/>
      </w:pPr>
      <w:rPr/>
    </w:lvl>
  </w:abstractNum>
  <w:abstractNum w:abstractNumId="5">
    <w:lvl w:ilvl="0">
      <w:start w:val="1"/>
      <w:numFmt w:val="bullet"/>
      <w:lvlText w:val="●"/>
      <w:lvlJc w:val="left"/>
      <w:pPr>
        <w:ind w:left="1211" w:hanging="360"/>
      </w:pPr>
      <w:rPr>
        <w:rFonts w:ascii="Noto Sans Symbols" w:cs="Noto Sans Symbols" w:eastAsia="Noto Sans Symbols" w:hAnsi="Noto Sans Symbols"/>
      </w:rPr>
    </w:lvl>
    <w:lvl w:ilvl="1">
      <w:start w:val="1"/>
      <w:numFmt w:val="bullet"/>
      <w:lvlText w:val="o"/>
      <w:lvlJc w:val="left"/>
      <w:pPr>
        <w:ind w:left="1931" w:hanging="360"/>
      </w:pPr>
      <w:rPr>
        <w:rFonts w:ascii="Courier New" w:cs="Courier New" w:eastAsia="Courier New" w:hAnsi="Courier New"/>
      </w:rPr>
    </w:lvl>
    <w:lvl w:ilvl="2">
      <w:start w:val="1"/>
      <w:numFmt w:val="bullet"/>
      <w:lvlText w:val="▪"/>
      <w:lvlJc w:val="left"/>
      <w:pPr>
        <w:ind w:left="2651" w:hanging="360"/>
      </w:pPr>
      <w:rPr>
        <w:rFonts w:ascii="Noto Sans Symbols" w:cs="Noto Sans Symbols" w:eastAsia="Noto Sans Symbols" w:hAnsi="Noto Sans Symbols"/>
      </w:rPr>
    </w:lvl>
    <w:lvl w:ilvl="3">
      <w:start w:val="1"/>
      <w:numFmt w:val="bullet"/>
      <w:lvlText w:val="●"/>
      <w:lvlJc w:val="left"/>
      <w:pPr>
        <w:ind w:left="3371" w:hanging="360"/>
      </w:pPr>
      <w:rPr>
        <w:rFonts w:ascii="Noto Sans Symbols" w:cs="Noto Sans Symbols" w:eastAsia="Noto Sans Symbols" w:hAnsi="Noto Sans Symbols"/>
      </w:rPr>
    </w:lvl>
    <w:lvl w:ilvl="4">
      <w:start w:val="1"/>
      <w:numFmt w:val="bullet"/>
      <w:lvlText w:val="o"/>
      <w:lvlJc w:val="left"/>
      <w:pPr>
        <w:ind w:left="4091" w:hanging="360"/>
      </w:pPr>
      <w:rPr>
        <w:rFonts w:ascii="Courier New" w:cs="Courier New" w:eastAsia="Courier New" w:hAnsi="Courier New"/>
      </w:rPr>
    </w:lvl>
    <w:lvl w:ilvl="5">
      <w:start w:val="1"/>
      <w:numFmt w:val="bullet"/>
      <w:lvlText w:val="▪"/>
      <w:lvlJc w:val="left"/>
      <w:pPr>
        <w:ind w:left="4811" w:hanging="360"/>
      </w:pPr>
      <w:rPr>
        <w:rFonts w:ascii="Noto Sans Symbols" w:cs="Noto Sans Symbols" w:eastAsia="Noto Sans Symbols" w:hAnsi="Noto Sans Symbols"/>
      </w:rPr>
    </w:lvl>
    <w:lvl w:ilvl="6">
      <w:start w:val="1"/>
      <w:numFmt w:val="bullet"/>
      <w:lvlText w:val="●"/>
      <w:lvlJc w:val="left"/>
      <w:pPr>
        <w:ind w:left="5531" w:hanging="360"/>
      </w:pPr>
      <w:rPr>
        <w:rFonts w:ascii="Noto Sans Symbols" w:cs="Noto Sans Symbols" w:eastAsia="Noto Sans Symbols" w:hAnsi="Noto Sans Symbols"/>
      </w:rPr>
    </w:lvl>
    <w:lvl w:ilvl="7">
      <w:start w:val="1"/>
      <w:numFmt w:val="bullet"/>
      <w:lvlText w:val="o"/>
      <w:lvlJc w:val="left"/>
      <w:pPr>
        <w:ind w:left="6251" w:hanging="360"/>
      </w:pPr>
      <w:rPr>
        <w:rFonts w:ascii="Courier New" w:cs="Courier New" w:eastAsia="Courier New" w:hAnsi="Courier New"/>
      </w:rPr>
    </w:lvl>
    <w:lvl w:ilvl="8">
      <w:start w:val="1"/>
      <w:numFmt w:val="bullet"/>
      <w:lvlText w:val="▪"/>
      <w:lvlJc w:val="left"/>
      <w:pPr>
        <w:ind w:left="6971" w:hanging="360"/>
      </w:pPr>
      <w:rPr>
        <w:rFonts w:ascii="Noto Sans Symbols" w:cs="Noto Sans Symbols" w:eastAsia="Noto Sans Symbols" w:hAnsi="Noto Sans Symbols"/>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501" w:hanging="360"/>
      </w:pPr>
      <w:rPr>
        <w:rFonts w:ascii="Noto Sans Symbols" w:cs="Noto Sans Symbols" w:eastAsia="Noto Sans Symbols" w:hAnsi="Noto Sans Symbols"/>
      </w:rPr>
    </w:lvl>
    <w:lvl w:ilvl="1">
      <w:start w:val="1"/>
      <w:numFmt w:val="bullet"/>
      <w:lvlText w:val="o"/>
      <w:lvlJc w:val="left"/>
      <w:pPr>
        <w:ind w:left="1221" w:hanging="360"/>
      </w:pPr>
      <w:rPr>
        <w:rFonts w:ascii="Courier New" w:cs="Courier New" w:eastAsia="Courier New" w:hAnsi="Courier New"/>
      </w:rPr>
    </w:lvl>
    <w:lvl w:ilvl="2">
      <w:start w:val="1"/>
      <w:numFmt w:val="bullet"/>
      <w:lvlText w:val="▪"/>
      <w:lvlJc w:val="left"/>
      <w:pPr>
        <w:ind w:left="1941" w:hanging="360"/>
      </w:pPr>
      <w:rPr>
        <w:rFonts w:ascii="Noto Sans Symbols" w:cs="Noto Sans Symbols" w:eastAsia="Noto Sans Symbols" w:hAnsi="Noto Sans Symbols"/>
      </w:rPr>
    </w:lvl>
    <w:lvl w:ilvl="3">
      <w:start w:val="1"/>
      <w:numFmt w:val="bullet"/>
      <w:lvlText w:val="●"/>
      <w:lvlJc w:val="left"/>
      <w:pPr>
        <w:ind w:left="2661" w:hanging="360"/>
      </w:pPr>
      <w:rPr>
        <w:rFonts w:ascii="Noto Sans Symbols" w:cs="Noto Sans Symbols" w:eastAsia="Noto Sans Symbols" w:hAnsi="Noto Sans Symbols"/>
      </w:rPr>
    </w:lvl>
    <w:lvl w:ilvl="4">
      <w:start w:val="1"/>
      <w:numFmt w:val="bullet"/>
      <w:lvlText w:val="o"/>
      <w:lvlJc w:val="left"/>
      <w:pPr>
        <w:ind w:left="3381" w:hanging="360"/>
      </w:pPr>
      <w:rPr>
        <w:rFonts w:ascii="Courier New" w:cs="Courier New" w:eastAsia="Courier New" w:hAnsi="Courier New"/>
      </w:rPr>
    </w:lvl>
    <w:lvl w:ilvl="5">
      <w:start w:val="1"/>
      <w:numFmt w:val="bullet"/>
      <w:lvlText w:val="▪"/>
      <w:lvlJc w:val="left"/>
      <w:pPr>
        <w:ind w:left="4101" w:hanging="360"/>
      </w:pPr>
      <w:rPr>
        <w:rFonts w:ascii="Noto Sans Symbols" w:cs="Noto Sans Symbols" w:eastAsia="Noto Sans Symbols" w:hAnsi="Noto Sans Symbols"/>
      </w:rPr>
    </w:lvl>
    <w:lvl w:ilvl="6">
      <w:start w:val="1"/>
      <w:numFmt w:val="bullet"/>
      <w:lvlText w:val="●"/>
      <w:lvlJc w:val="left"/>
      <w:pPr>
        <w:ind w:left="4821" w:hanging="360"/>
      </w:pPr>
      <w:rPr>
        <w:rFonts w:ascii="Noto Sans Symbols" w:cs="Noto Sans Symbols" w:eastAsia="Noto Sans Symbols" w:hAnsi="Noto Sans Symbols"/>
      </w:rPr>
    </w:lvl>
    <w:lvl w:ilvl="7">
      <w:start w:val="1"/>
      <w:numFmt w:val="bullet"/>
      <w:lvlText w:val="o"/>
      <w:lvlJc w:val="left"/>
      <w:pPr>
        <w:ind w:left="5541" w:hanging="360"/>
      </w:pPr>
      <w:rPr>
        <w:rFonts w:ascii="Courier New" w:cs="Courier New" w:eastAsia="Courier New" w:hAnsi="Courier New"/>
      </w:rPr>
    </w:lvl>
    <w:lvl w:ilvl="8">
      <w:start w:val="1"/>
      <w:numFmt w:val="bullet"/>
      <w:lvlText w:val="▪"/>
      <w:lvlJc w:val="left"/>
      <w:pPr>
        <w:ind w:left="6261"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libri" w:cs="Calibri" w:eastAsia="Calibri" w:hAnsi="Calibri"/>
      <w:b w:val="1"/>
      <w:bCs w:val="1"/>
      <w:color w:val="2c4f8e"/>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3863"/>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Standaardalinea-lettertype" w:default="1">
    <w:name w:val="Default Paragraph Font"/>
    <w:uiPriority w:val="1"/>
    <w:unhideWhenUsed w:val="1"/>
  </w:style>
  <w:style w:type="table" w:styleId="Standaardtabel" w:default="1">
    <w:name w:val="Normal Table"/>
    <w:uiPriority w:val="99"/>
    <w:semiHidden w:val="1"/>
    <w:unhideWhenUsed w:val="1"/>
    <w:tblPr>
      <w:tblInd w:w="0.0" w:type="dxa"/>
      <w:tblCellMar>
        <w:top w:w="0.0" w:type="dxa"/>
        <w:left w:w="108.0" w:type="dxa"/>
        <w:bottom w:w="0.0" w:type="dxa"/>
        <w:right w:w="108.0" w:type="dxa"/>
      </w:tblCellMar>
    </w:tblPr>
  </w:style>
  <w:style w:type="numbering" w:styleId="Geenlijst" w:default="1">
    <w:name w:val="No List"/>
    <w:uiPriority w:val="99"/>
    <w:semiHidden w:val="1"/>
    <w:unhideWhenUsed w:val="1"/>
  </w:style>
  <w:style w:type="character" w:styleId="Kop1Char" w:customStyle="1">
    <w:name w:val="Kop 1 Char"/>
    <w:basedOn w:val="Standaardalinea-lettertype"/>
    <w:link w:val="Kop1"/>
    <w:uiPriority w:val="9"/>
    <w:rsid w:val="0042664C"/>
    <w:rPr>
      <w:rFonts w:asciiTheme="majorHAnsi" w:cstheme="majorBidi" w:eastAsiaTheme="majorEastAsia" w:hAnsiTheme="majorHAnsi"/>
      <w:b w:val="1"/>
      <w:bCs w:val="1"/>
      <w:color w:val="2d4f8e" w:themeColor="accent1" w:themeShade="0000B5"/>
      <w:sz w:val="32"/>
      <w:szCs w:val="32"/>
      <w:lang w:eastAsia="ar-SA"/>
    </w:rPr>
  </w:style>
  <w:style w:type="paragraph" w:styleId="Voettekst">
    <w:name w:val="footer"/>
    <w:basedOn w:val="Standaard"/>
    <w:link w:val="VoettekstChar"/>
    <w:uiPriority w:val="99"/>
    <w:unhideWhenUsed w:val="1"/>
    <w:rsid w:val="0042664C"/>
    <w:pPr>
      <w:tabs>
        <w:tab w:val="center" w:pos="4703"/>
        <w:tab w:val="right" w:pos="9406"/>
      </w:tabs>
    </w:pPr>
  </w:style>
  <w:style w:type="character" w:styleId="VoettekstChar" w:customStyle="1">
    <w:name w:val="Voettekst Char"/>
    <w:basedOn w:val="Standaardalinea-lettertype"/>
    <w:link w:val="Voettekst"/>
    <w:uiPriority w:val="99"/>
    <w:rsid w:val="0042664C"/>
    <w:rPr>
      <w:rFonts w:ascii="Times New Roman" w:cs="Times New Roman" w:eastAsia="Times New Roman" w:hAnsi="Times New Roman"/>
      <w:szCs w:val="20"/>
      <w:lang w:eastAsia="ar-SA"/>
    </w:rPr>
  </w:style>
  <w:style w:type="character" w:styleId="Paginanummer">
    <w:name w:val="page number"/>
    <w:basedOn w:val="Standaardalinea-lettertype"/>
    <w:uiPriority w:val="99"/>
    <w:semiHidden w:val="1"/>
    <w:unhideWhenUsed w:val="1"/>
    <w:rsid w:val="0042664C"/>
  </w:style>
  <w:style w:type="paragraph" w:styleId="Lijstalinea">
    <w:name w:val="List Paragraph"/>
    <w:aliases w:val="Inspring"/>
    <w:basedOn w:val="Standaard"/>
    <w:uiPriority w:val="34"/>
    <w:qFormat w:val="1"/>
    <w:rsid w:val="0042664C"/>
    <w:pPr>
      <w:ind w:left="720"/>
      <w:contextualSpacing w:val="1"/>
    </w:pPr>
  </w:style>
  <w:style w:type="character" w:styleId="Verwijzingopmerking">
    <w:name w:val="annotation reference"/>
    <w:basedOn w:val="Standaardalinea-lettertype"/>
    <w:uiPriority w:val="99"/>
    <w:unhideWhenUsed w:val="1"/>
    <w:rsid w:val="0042664C"/>
    <w:rPr>
      <w:sz w:val="18"/>
      <w:szCs w:val="18"/>
    </w:rPr>
  </w:style>
  <w:style w:type="paragraph" w:styleId="Tekstopmerking">
    <w:name w:val="annotation text"/>
    <w:basedOn w:val="Standaard"/>
    <w:link w:val="TekstopmerkingChar"/>
    <w:uiPriority w:val="99"/>
    <w:unhideWhenUsed w:val="1"/>
    <w:rsid w:val="0042664C"/>
    <w:rPr>
      <w:szCs w:val="24"/>
    </w:rPr>
  </w:style>
  <w:style w:type="character" w:styleId="TekstopmerkingChar" w:customStyle="1">
    <w:name w:val="Tekst opmerking Char"/>
    <w:basedOn w:val="Standaardalinea-lettertype"/>
    <w:link w:val="Tekstopmerking"/>
    <w:uiPriority w:val="99"/>
    <w:rsid w:val="0042664C"/>
    <w:rPr>
      <w:rFonts w:ascii="Times New Roman" w:cs="Times New Roman" w:eastAsia="Times New Roman" w:hAnsi="Times New Roman"/>
      <w:lang w:eastAsia="ar-SA"/>
    </w:rPr>
  </w:style>
  <w:style w:type="paragraph" w:styleId="Ballontekst">
    <w:name w:val="Balloon Text"/>
    <w:basedOn w:val="Standaard"/>
    <w:link w:val="BallontekstChar"/>
    <w:uiPriority w:val="99"/>
    <w:semiHidden w:val="1"/>
    <w:unhideWhenUsed w:val="1"/>
    <w:rsid w:val="0042664C"/>
    <w:rPr>
      <w:sz w:val="18"/>
      <w:szCs w:val="18"/>
    </w:rPr>
  </w:style>
  <w:style w:type="character" w:styleId="BallontekstChar" w:customStyle="1">
    <w:name w:val="Ballontekst Char"/>
    <w:basedOn w:val="Standaardalinea-lettertype"/>
    <w:link w:val="Ballontekst"/>
    <w:uiPriority w:val="99"/>
    <w:semiHidden w:val="1"/>
    <w:rsid w:val="0042664C"/>
    <w:rPr>
      <w:rFonts w:ascii="Times New Roman" w:cs="Times New Roman" w:eastAsia="Times New Roman" w:hAnsi="Times New Roman"/>
      <w:sz w:val="18"/>
      <w:szCs w:val="18"/>
      <w:lang w:eastAsia="ar-SA"/>
    </w:rPr>
  </w:style>
  <w:style w:type="character" w:styleId="Nadruk">
    <w:name w:val="Emphasis"/>
    <w:basedOn w:val="Standaardalinea-lettertype"/>
    <w:uiPriority w:val="20"/>
    <w:qFormat w:val="1"/>
    <w:rsid w:val="008B4722"/>
    <w:rPr>
      <w:i w:val="1"/>
      <w:iCs w:val="1"/>
    </w:rPr>
  </w:style>
  <w:style w:type="paragraph" w:styleId="Onderwerpvanopmerking">
    <w:name w:val="annotation subject"/>
    <w:basedOn w:val="Tekstopmerking"/>
    <w:next w:val="Tekstopmerking"/>
    <w:link w:val="OnderwerpvanopmerkingChar"/>
    <w:uiPriority w:val="99"/>
    <w:semiHidden w:val="1"/>
    <w:unhideWhenUsed w:val="1"/>
    <w:rsid w:val="00BF51E4"/>
    <w:rPr>
      <w:b w:val="1"/>
      <w:bCs w:val="1"/>
      <w:sz w:val="20"/>
      <w:szCs w:val="20"/>
    </w:rPr>
  </w:style>
  <w:style w:type="character" w:styleId="OnderwerpvanopmerkingChar" w:customStyle="1">
    <w:name w:val="Onderwerp van opmerking Char"/>
    <w:basedOn w:val="TekstopmerkingChar"/>
    <w:link w:val="Onderwerpvanopmerking"/>
    <w:uiPriority w:val="99"/>
    <w:semiHidden w:val="1"/>
    <w:rsid w:val="00BF51E4"/>
    <w:rPr>
      <w:rFonts w:ascii="Times New Roman" w:cs="Times New Roman" w:eastAsia="Times New Roman" w:hAnsi="Times New Roman"/>
      <w:b w:val="1"/>
      <w:bCs w:val="1"/>
      <w:sz w:val="20"/>
      <w:szCs w:val="20"/>
      <w:lang w:eastAsia="ar-SA"/>
    </w:rPr>
  </w:style>
  <w:style w:type="paragraph" w:styleId="Geenafstand">
    <w:name w:val="No Spacing"/>
    <w:uiPriority w:val="1"/>
    <w:qFormat w:val="1"/>
    <w:rsid w:val="00075F56"/>
    <w:pPr>
      <w:widowControl w:val="0"/>
      <w:autoSpaceDE w:val="0"/>
      <w:autoSpaceDN w:val="0"/>
    </w:pPr>
    <w:rPr>
      <w:rFonts w:ascii="Calibri Light" w:cs="Verdana" w:eastAsia="Verdana" w:hAnsi="Calibri Light"/>
      <w:sz w:val="20"/>
      <w:szCs w:val="22"/>
      <w:lang w:val="en-US"/>
    </w:rPr>
  </w:style>
  <w:style w:type="paragraph" w:styleId="Revisie">
    <w:name w:val="Revision"/>
    <w:hidden w:val="1"/>
    <w:uiPriority w:val="99"/>
    <w:semiHidden w:val="1"/>
    <w:rsid w:val="00B16728"/>
    <w:rPr>
      <w:rFonts w:ascii="Times New Roman" w:cs="Times New Roman" w:eastAsia="Times New Roman" w:hAnsi="Times New Roman"/>
      <w:szCs w:val="20"/>
      <w:lang w:eastAsia="ar-SA"/>
    </w:rPr>
  </w:style>
  <w:style w:type="table" w:styleId="Tabelraster1" w:customStyle="1">
    <w:name w:val="Tabelraster1"/>
    <w:basedOn w:val="Standaardtabel"/>
    <w:next w:val="Tabelraster"/>
    <w:uiPriority w:val="59"/>
    <w:rsid w:val="00127C4E"/>
    <w:rPr>
      <w:rFonts w:eastAsia="Times New Roman"/>
      <w:lang w:eastAsia="nl-NL"/>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elraster">
    <w:name w:val="Table Grid"/>
    <w:basedOn w:val="Standaardtabel"/>
    <w:uiPriority w:val="39"/>
    <w:rsid w:val="00127C4E"/>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Koptekst">
    <w:name w:val="header"/>
    <w:basedOn w:val="Standaard"/>
    <w:link w:val="KoptekstChar"/>
    <w:uiPriority w:val="99"/>
    <w:unhideWhenUsed w:val="1"/>
    <w:rsid w:val="0072088D"/>
    <w:pPr>
      <w:tabs>
        <w:tab w:val="center" w:pos="4536"/>
        <w:tab w:val="right" w:pos="9072"/>
      </w:tabs>
    </w:pPr>
  </w:style>
  <w:style w:type="character" w:styleId="KoptekstChar" w:customStyle="1">
    <w:name w:val="Koptekst Char"/>
    <w:basedOn w:val="Standaardalinea-lettertype"/>
    <w:link w:val="Koptekst"/>
    <w:uiPriority w:val="99"/>
    <w:rsid w:val="0072088D"/>
    <w:rPr>
      <w:rFonts w:ascii="Times New Roman" w:cs="Times New Roman" w:eastAsia="Times New Roman" w:hAnsi="Times New Roman"/>
      <w:szCs w:val="20"/>
      <w:lang w:eastAsia="ar-SA"/>
    </w:rPr>
  </w:style>
  <w:style w:type="paragraph" w:styleId="Niveau2Artikelkop" w:customStyle="1">
    <w:name w:val="Niveau 2 Artikelkop"/>
    <w:basedOn w:val="Kop1"/>
    <w:next w:val="Standaard"/>
    <w:rsid w:val="0020062D"/>
    <w:pPr>
      <w:keepLines w:val="0"/>
      <w:widowControl w:val="0"/>
      <w:numPr>
        <w:numId w:val="13"/>
      </w:numPr>
      <w:tabs>
        <w:tab w:val="num" w:pos="360"/>
      </w:tabs>
      <w:spacing w:after="120" w:before="240"/>
      <w:ind w:left="0" w:firstLine="0"/>
    </w:pPr>
    <w:rPr>
      <w:rFonts w:ascii="Arial" w:cs="Calibri" w:eastAsia="SimSun" w:hAnsi="Arial"/>
      <w:color w:val="auto"/>
      <w:kern w:val="1"/>
      <w:sz w:val="22"/>
      <w:lang w:bidi="hi-IN" w:eastAsia="hi-IN" w:val="en-US"/>
    </w:rPr>
  </w:style>
  <w:style w:type="paragraph" w:styleId="Niveau3Artikeltekst" w:customStyle="1">
    <w:name w:val="Niveau 3 Artikeltekst"/>
    <w:basedOn w:val="Standaard"/>
    <w:rsid w:val="0020062D"/>
    <w:pPr>
      <w:widowControl w:val="0"/>
      <w:numPr>
        <w:ilvl w:val="1"/>
        <w:numId w:val="14"/>
      </w:numPr>
      <w:spacing w:after="113"/>
    </w:pPr>
    <w:rPr>
      <w:rFonts w:ascii="Arial" w:cs="Calibri" w:eastAsia="SimSun" w:hAnsi="Arial"/>
      <w:kern w:val="1"/>
      <w:sz w:val="20"/>
      <w:szCs w:val="24"/>
      <w:lang w:bidi="hi-IN" w:eastAsia="hi-IN" w:val="en-US"/>
    </w:rPr>
  </w:style>
  <w:style w:type="paragraph" w:styleId="paragraph" w:customStyle="1">
    <w:name w:val="paragraph"/>
    <w:basedOn w:val="Standaard"/>
    <w:rsid w:val="00764DC0"/>
    <w:pPr>
      <w:suppressAutoHyphens w:val="0"/>
      <w:spacing w:after="100" w:afterAutospacing="1" w:before="100" w:beforeAutospacing="1"/>
    </w:pPr>
    <w:rPr>
      <w:szCs w:val="24"/>
      <w:lang w:eastAsia="nl-NL"/>
    </w:rPr>
  </w:style>
  <w:style w:type="character" w:styleId="normaltextrun" w:customStyle="1">
    <w:name w:val="normaltextrun"/>
    <w:basedOn w:val="Standaardalinea-lettertype"/>
    <w:rsid w:val="00764DC0"/>
  </w:style>
  <w:style w:type="character" w:styleId="eop" w:customStyle="1">
    <w:name w:val="eop"/>
    <w:basedOn w:val="Standaardalinea-lettertype"/>
    <w:rsid w:val="00764DC0"/>
  </w:style>
  <w:style w:type="character" w:styleId="Kop2Char" w:customStyle="1">
    <w:name w:val="Kop 2 Char"/>
    <w:basedOn w:val="Standaardalinea-lettertype"/>
    <w:link w:val="Kop2"/>
    <w:uiPriority w:val="9"/>
    <w:rsid w:val="00A95CA8"/>
    <w:rPr>
      <w:rFonts w:asciiTheme="majorHAnsi" w:cstheme="majorBidi" w:eastAsiaTheme="majorEastAsia" w:hAnsiTheme="majorHAnsi"/>
      <w:color w:val="2f5496" w:themeColor="accent1" w:themeShade="0000BF"/>
      <w:sz w:val="26"/>
      <w:szCs w:val="26"/>
      <w:lang w:eastAsia="ar-SA"/>
    </w:rPr>
  </w:style>
  <w:style w:type="paragraph" w:styleId="Voetnoottekst">
    <w:name w:val="footnote text"/>
    <w:basedOn w:val="Standaard"/>
    <w:link w:val="VoetnoottekstChar"/>
    <w:uiPriority w:val="99"/>
    <w:semiHidden w:val="1"/>
    <w:unhideWhenUsed w:val="1"/>
    <w:rsid w:val="00EB186C"/>
    <w:rPr>
      <w:sz w:val="20"/>
    </w:rPr>
  </w:style>
  <w:style w:type="character" w:styleId="VoetnoottekstChar" w:customStyle="1">
    <w:name w:val="Voetnoottekst Char"/>
    <w:basedOn w:val="Standaardalinea-lettertype"/>
    <w:link w:val="Voetnoottekst"/>
    <w:uiPriority w:val="99"/>
    <w:semiHidden w:val="1"/>
    <w:rsid w:val="00EB186C"/>
    <w:rPr>
      <w:rFonts w:ascii="Times New Roman" w:cs="Times New Roman" w:eastAsia="Times New Roman" w:hAnsi="Times New Roman"/>
      <w:sz w:val="20"/>
      <w:szCs w:val="20"/>
      <w:lang w:eastAsia="ar-SA"/>
    </w:rPr>
  </w:style>
  <w:style w:type="character" w:styleId="Voetnootmarkering">
    <w:name w:val="footnote reference"/>
    <w:basedOn w:val="Standaardalinea-lettertype"/>
    <w:uiPriority w:val="99"/>
    <w:semiHidden w:val="1"/>
    <w:unhideWhenUsed w:val="1"/>
    <w:rsid w:val="00EB186C"/>
    <w:rPr>
      <w:vertAlign w:val="superscript"/>
    </w:rPr>
  </w:style>
  <w:style w:type="character" w:styleId="Kop3Char" w:customStyle="1">
    <w:name w:val="Kop 3 Char"/>
    <w:basedOn w:val="Standaardalinea-lettertype"/>
    <w:link w:val="Kop3"/>
    <w:uiPriority w:val="9"/>
    <w:semiHidden w:val="1"/>
    <w:rsid w:val="00C25334"/>
    <w:rPr>
      <w:rFonts w:asciiTheme="majorHAnsi" w:cstheme="majorBidi" w:eastAsiaTheme="majorEastAsia" w:hAnsiTheme="majorHAnsi"/>
      <w:color w:val="1f3763" w:themeColor="accent1" w:themeShade="00007F"/>
      <w:lang w:eastAsia="ar-SA"/>
    </w:rPr>
  </w:style>
  <w:style w:type="paragraph" w:styleId="Normaalweb">
    <w:name w:val="Normal (Web)"/>
    <w:basedOn w:val="Standaard"/>
    <w:uiPriority w:val="99"/>
    <w:semiHidden w:val="1"/>
    <w:unhideWhenUsed w:val="1"/>
    <w:rsid w:val="00030A74"/>
    <w:pPr>
      <w:suppressAutoHyphens w:val="0"/>
      <w:spacing w:after="100" w:afterAutospacing="1" w:before="100" w:beforeAutospacing="1"/>
    </w:pPr>
    <w:rPr>
      <w:szCs w:val="24"/>
      <w:lang w:eastAsia="en-US" w:val="en-US"/>
    </w:rPr>
  </w:style>
  <w:style w:type="character" w:styleId="Zwaar">
    <w:name w:val="Strong"/>
    <w:basedOn w:val="Standaardalinea-lettertype"/>
    <w:uiPriority w:val="22"/>
    <w:qFormat w:val="1"/>
    <w:rsid w:val="00042B55"/>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pSN7BcHTVFNEQLmdN+Sn3kJzrQ==">CgMxLjAyDmguaXA5bTduanpuYWx4OAByITFOaHNhX2t6WlRBZXRUV1N5RE9aMkV2SnRuWW45bzJXTA==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2025-12-24T08:34:00Z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0x010100A43670DB658AE346BEA72F945D3A5EFE</vt:lpwstr>
  </property>
  <property fmtid="{D5CDD505-2E9C-101B-9397-08002B2CF9AE}" pid="3" name="Order">
    <vt:i4>3701500</vt:i4>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MediaServiceImageTags">
    <vt:lpwstr/>
  </property>
</Properties>
</file>