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30"/>
          <w:szCs w:val="30"/>
        </w:rPr>
        <w:t xml:space="preserve">Prepoznavanje bolesti biljaka pomoću konvolucionih neuronskih mreža</w:t>
      </w:r>
    </w:p>
    <w:p>
      <w:pPr>
        <w:pBdr>
          <w:bottom w:val="single" w:color="C8D4E0" w:sz="6" w:space="6"/>
        </w:pBdr>
        <w:spacing w:after="200"/>
      </w:pPr>
      <w:r>
        <w:rPr>
          <w:i/>
          <w:iCs/>
          <w:color w:val="555555"/>
          <w:sz w:val="21"/>
          <w:szCs w:val="21"/>
        </w:rPr>
        <w:t xml:space="preserve">Analiza generalizacije modela sa laboratorijskih na stvarne terenske snimke</w:t>
      </w:r>
    </w:p>
    <w:p>
      <w:pPr>
        <w:pStyle w:val="Heading1"/>
        <w:spacing w:after="90" w:before="180"/>
      </w:pPr>
      <w:r>
        <w:rPr>
          <w:b/>
          <w:bCs/>
          <w:color w:val="1F4E79"/>
          <w:sz w:val="28"/>
          <w:szCs w:val="28"/>
        </w:rPr>
        <w:t xml:space="preserve">1. Cilj rada</w:t>
      </w:r>
    </w:p>
    <w:p>
      <w:pPr>
        <w:spacing w:after="100" w:line="250"/>
      </w:pPr>
      <w:r>
        <w:rPr>
          <w:sz w:val="20"/>
          <w:szCs w:val="20"/>
        </w:rPr>
        <w:t xml:space="preserve">Cilj rada bio je da se izgradi model za prepoznavanje bolesti biljaka na osnovu fotografije lista, a zatim da se proveri da li taj model zaista radi u realnim uslovima.</w:t>
      </w:r>
    </w:p>
    <w:p>
      <w:pPr>
        <w:spacing w:after="100" w:line="250"/>
      </w:pPr>
      <w:r>
        <w:rPr>
          <w:sz w:val="20"/>
          <w:szCs w:val="20"/>
        </w:rPr>
        <w:t xml:space="preserve">Skoro svi radovi iz ove oblasti koriste skup podataka PlantVillage, prijave tačnost preko 99 % i tu se zaustave. Međutim, svaka slika u tom skupu je studijski snimak: jedan otkinut list, centriran u kadru, na jednoličnoj sivoj pozadini. Pošto i skup za obuku i skup za testiranje potiču iz iste raspodele, visoka tačnost potvrđuje samo da je model naučio tu raspodelu — a ne da je naučio patologiju biljaka.</w:t>
      </w:r>
    </w:p>
    <w:p>
      <w:pPr>
        <w:spacing w:after="100" w:line="250"/>
      </w:pPr>
      <w:r>
        <w:rPr>
          <w:sz w:val="20"/>
          <w:szCs w:val="20"/>
        </w:rPr>
        <w:t xml:space="preserve">Zato je model ovde obučen na skupu PlantVillage, a zatim testiran, bez ikakvog dodatnog prilagođavanja, na skupu PlantDoc, koji sadrži iste bolesti fotografisane na otvorenom polju.</w:t>
      </w:r>
    </w:p>
    <w:p>
      <w:pPr>
        <w:pStyle w:val="Heading1"/>
        <w:spacing w:after="90" w:before="180"/>
      </w:pPr>
      <w:r>
        <w:rPr>
          <w:b/>
          <w:bCs/>
          <w:color w:val="1F4E79"/>
          <w:sz w:val="28"/>
          <w:szCs w:val="28"/>
        </w:rPr>
        <w:t xml:space="preserve">2. Podaci</w:t>
      </w:r>
    </w:p>
    <w:p>
      <w:pPr>
        <w:spacing w:after="160" w:line="250"/>
      </w:pPr>
      <w:r>
        <w:rPr>
          <w:sz w:val="20"/>
          <w:szCs w:val="20"/>
        </w:rPr>
        <w:t xml:space="preserve">Korišćena su tri skupa podataka, svi u parquet formatu, bez izvršnih skripti za učitavanje (bezbednosna mera: parametar trust_remote_code nikada nije postavljen).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Skup podataka</w:t>
            </w:r>
          </w:p>
        </w:tc>
        <w:tc>
          <w:tcPr>
            <w:tcW w:type="dxa" w:w="312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Uloga</w:t>
            </w:r>
          </w:p>
        </w:tc>
        <w:tc>
          <w:tcPr>
            <w:tcW w:type="dxa" w:w="312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Obim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PlantVillage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obuka, validacija, test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55.448 slika / 39 klasa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PlantDoc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nezavisan test na terenu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2.569 slika / 28 klasa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PlantVillage (kopija)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kontrola ispravnosti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8.000 slika / 38 klasa</w:t>
            </w:r>
          </w:p>
        </w:tc>
      </w:tr>
    </w:tbl>
    <w:p>
      <w:pPr>
        <w:spacing w:after="80" w:line="250"/>
      </w:pPr>
      <w:r>
        <w:rPr>
          <w:sz w:val="20"/>
          <w:szCs w:val="20"/>
        </w:rPr>
        <w:t xml:space="preserve"/>
      </w:r>
    </w:p>
    <w:p>
      <w:pPr>
        <w:spacing w:after="100" w:line="250"/>
      </w:pPr>
      <w:r>
        <w:rPr>
          <w:sz w:val="20"/>
          <w:szCs w:val="20"/>
        </w:rPr>
        <w:t xml:space="preserve">Skup PlantVillage podeljen je stratifikovano u odnosu 70/15/15 na skupove za obuku (38.812), validaciju (8.317) i testiranje (8.319). Svih 28 klasa skupa PlantDoc preslikano je na odgovarajuće klase skupa PlantVillage, tako da se modelu postavlja tačno ono pitanje za koje je obučen.</w:t>
      </w:r>
    </w:p>
    <w:p>
      <w:pPr>
        <w:pStyle w:val="Heading1"/>
        <w:spacing w:after="90" w:before="180"/>
      </w:pPr>
      <w:r>
        <w:rPr>
          <w:b/>
          <w:bCs/>
          <w:color w:val="1F4E79"/>
          <w:sz w:val="28"/>
          <w:szCs w:val="28"/>
        </w:rPr>
        <w:t xml:space="preserve">3. Metodologija</w:t>
      </w:r>
    </w:p>
    <w:p>
      <w:pPr>
        <w:spacing w:after="100" w:line="250"/>
      </w:pPr>
      <w:r>
        <w:rPr>
          <w:sz w:val="20"/>
          <w:szCs w:val="20"/>
        </w:rPr>
        <w:t xml:space="preserve">Kao model korišćena je mreža ResNet18, prethodno obučena na skupu ImageNet, sa 11.196.519 parametara. Obuka je trajala 12 epoha, odnosno 16 minuta na grafičkoj kartici NVIDIA RTX 4060.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sz w:val="20"/>
          <w:szCs w:val="20"/>
        </w:rPr>
        <w:t xml:space="preserve">Augmentacija: nasumično isecanje, rotacija, preslikavanje, promena boje i nasumično brisanje delova slike.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sz w:val="20"/>
          <w:szCs w:val="20"/>
        </w:rPr>
        <w:t xml:space="preserve">Optimizacija: AdamW, OneCycle raspored stope učenja, odsecanje gradijenta, ublažavanje oznaka, mešovita preciznost (AMP).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sz w:val="20"/>
          <w:szCs w:val="20"/>
        </w:rPr>
        <w:t xml:space="preserve">Izbor modela prema makro F1 meri na validacionom skupu, a ne prema tačnosti — skup je izrazito neuravnotežen (od oko 5.000 do svega 150 slika po klasi), pa bi tačnost favorizovala česte klase.</w:t>
      </w:r>
    </w:p>
    <w:p>
      <w:pPr>
        <w:spacing w:after="160" w:line="250"/>
      </w:pPr>
      <w:r>
        <w:rPr>
          <w:sz w:val="20"/>
          <w:szCs w:val="20"/>
        </w:rPr>
        <w:t xml:space="preserve">Pored osnovnih mera, računate su i preciznost, odziv i F1 mera po klasama, Koenova kapa, kalibracija modela (ECE) i Grad-CAM mape pažnje.</w:t>
      </w:r>
    </w:p>
    <w:p>
      <w:pPr>
        <w:pStyle w:val="Heading1"/>
        <w:spacing w:after="90" w:before="180"/>
      </w:pPr>
      <w:r>
        <w:rPr>
          <w:b/>
          <w:bCs/>
          <w:color w:val="1F4E79"/>
          <w:sz w:val="28"/>
          <w:szCs w:val="28"/>
        </w:rPr>
        <w:t xml:space="preserve">4. Rezultati</w:t>
      </w:r>
    </w:p>
    <w:p>
      <w:pPr>
        <w:spacing w:after="160" w:line="250"/>
      </w:pPr>
      <w:r>
        <w:rPr>
          <w:sz w:val="20"/>
          <w:szCs w:val="20"/>
        </w:rPr>
        <w:t xml:space="preserve">Na test skupu PlantVillage model postiže tačnost od 99,65 %, makro F1 meru 0,9946 i top-5 tačnost od 100,00 %. Po svim uobičajenim kriterijumima, rad bi na ovom mestu bio završen.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1900"/>
        <w:gridCol w:w="2160"/>
      </w:tblGrid>
      <w:tr>
        <w:trPr>
          <w:tblHeader/>
        </w:trPr>
        <w:tc>
          <w:tcPr>
            <w:tcW w:type="dxa" w:w="34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Mera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Laboratorija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Teren</w:t>
            </w:r>
          </w:p>
        </w:tc>
        <w:tc>
          <w:tcPr>
            <w:tcW w:type="dxa" w:w="216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Zadržano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Tačnost (accuracy)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0,9960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B03A1A"/>
                <w:sz w:val="18"/>
                <w:szCs w:val="18"/>
              </w:rPr>
              <w:t xml:space="preserve">0,1483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14,9 %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Balansirana tačnost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0,9948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B03A1A"/>
                <w:sz w:val="18"/>
                <w:szCs w:val="18"/>
              </w:rPr>
              <w:t xml:space="preserve">0,1425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14,3 %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Makro F1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0,9944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B03A1A"/>
                <w:sz w:val="18"/>
                <w:szCs w:val="18"/>
              </w:rPr>
              <w:t xml:space="preserve">0,1602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16,1 %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Makro preciznost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0,9942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B03A1A"/>
                <w:sz w:val="18"/>
                <w:szCs w:val="18"/>
              </w:rPr>
              <w:t xml:space="preserve">0,3551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35,7 %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Top-5 tačnost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1,0000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B03A1A"/>
                <w:sz w:val="18"/>
                <w:szCs w:val="18"/>
              </w:rPr>
              <w:t xml:space="preserve">0,4352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43,5 %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Koenova kapa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0,9958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B03A1A"/>
                <w:sz w:val="18"/>
                <w:szCs w:val="18"/>
              </w:rPr>
              <w:t xml:space="preserve">0,1308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13,1 %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Prepoznavanje biljke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0,9986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B03A1A"/>
                <w:sz w:val="18"/>
                <w:szCs w:val="18"/>
              </w:rPr>
              <w:t xml:space="preserve">0,2880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28,8 %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Zdravo / bolesno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1F4E79"/>
                <w:sz w:val="18"/>
                <w:szCs w:val="18"/>
              </w:rPr>
              <w:t xml:space="preserve">0,9991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B03A1A"/>
                <w:sz w:val="18"/>
                <w:szCs w:val="18"/>
              </w:rPr>
              <w:t xml:space="preserve">0,7415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74,2 %</w:t>
            </w:r>
          </w:p>
        </w:tc>
      </w:tr>
    </w:tbl>
    <w:p>
      <w:pPr>
        <w:spacing w:after="80" w:line="250"/>
      </w:pPr>
      <w:r>
        <w:rPr>
          <w:sz w:val="20"/>
          <w:szCs w:val="20"/>
        </w:rPr>
        <w:t xml:space="preserve"/>
      </w:r>
    </w:p>
    <w:p>
      <w:pPr>
        <w:spacing w:after="100" w:line="250"/>
      </w:pPr>
      <w:r>
        <w:rPr>
          <w:sz w:val="20"/>
          <w:szCs w:val="20"/>
        </w:rPr>
        <w:t xml:space="preserve">Na terenskim snimcima tačnost pada sa 99,60 % na 14,83 %, što je relativan pad od 85,1 %. </w:t>
      </w:r>
      <w:r>
        <w:rPr>
          <w:i/>
          <w:iCs/>
          <w:sz w:val="20"/>
          <w:szCs w:val="20"/>
        </w:rPr>
        <w:t xml:space="preserve">Nasumično pogađanje na 28 klasa daje 3,6 %.</w:t>
      </w:r>
    </w:p>
    <w:p>
      <w:pPr>
        <w:pStyle w:val="Heading1"/>
        <w:spacing w:after="90" w:before="180"/>
      </w:pPr>
      <w:r>
        <w:rPr>
          <w:b/>
          <w:bCs/>
          <w:color w:val="1F4E79"/>
          <w:sz w:val="28"/>
          <w:szCs w:val="28"/>
        </w:rPr>
        <w:t xml:space="preserve">5. Ključni nalazi</w:t>
      </w:r>
    </w:p>
    <w:p>
      <w:pPr>
        <w:spacing w:after="60" w:line="250"/>
      </w:pPr>
      <w:r>
        <w:rPr>
          <w:b/>
          <w:bCs/>
          <w:sz w:val="20"/>
          <w:szCs w:val="20"/>
        </w:rPr>
        <w:t xml:space="preserve">5.1. Model ne prepoznaje ni samu biljku</w:t>
      </w:r>
    </w:p>
    <w:p>
      <w:pPr>
        <w:spacing w:after="160" w:line="250"/>
      </w:pPr>
      <w:r>
        <w:rPr>
          <w:sz w:val="20"/>
          <w:szCs w:val="20"/>
        </w:rPr>
        <w:t xml:space="preserve">Najblaže pitanje koje se može postaviti jeste koja se biljka nalazi na slici, bez obzira na bolest. U laboratorijskim uslovima model na to odgovara tačno u 99,86 % slučajeva, a na terenu u samo 28,80 %. Dakle, ne radi se o suptilnoj zameni sličnih bolesti — model često ne prepoznaje ni vrstu biljke.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5CE" w:sz="2"/>
              <w:left w:val="single" w:color="B03A1A" w:sz="18"/>
              <w:bottom w:val="single" w:color="E8D5CE" w:sz="2"/>
              <w:right w:val="single" w:color="E8D5CE" w:sz="2"/>
            </w:tcBorders>
            <w:shd w:fill="FD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03A1A"/>
                <w:sz w:val="19"/>
                <w:szCs w:val="19"/>
              </w:rPr>
              <w:t xml:space="preserve">Najrečitiji podatak</w:t>
            </w:r>
          </w:p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34,9 % terenskih fotografija model svrstava u klasu „Background_without_leaves“, koja u skupu PlantVillage označava da na slici uopšte nema lista. Model je naučio da „list“ znači primerak izolovan na sivoj studijskoj pozadini, pa list na živoj biljci u polju za njega više ne predstavlja list.</w:t>
            </w:r>
          </w:p>
        </w:tc>
      </w:tr>
    </w:tbl>
    <w:p>
      <w:pPr>
        <w:spacing w:after="120" w:line="250"/>
      </w:pPr>
      <w:r>
        <w:rPr>
          <w:sz w:val="20"/>
          <w:szCs w:val="20"/>
        </w:rPr>
        <w:t xml:space="preserve"/>
      </w:r>
    </w:p>
    <w:p>
      <w:pPr>
        <w:spacing w:after="60" w:line="250"/>
      </w:pPr>
      <w:r>
        <w:rPr>
          <w:b/>
          <w:bCs/>
          <w:sz w:val="20"/>
          <w:szCs w:val="20"/>
        </w:rPr>
        <w:t xml:space="preserve">5.2. Model nije svestan sopstvenih grešaka</w:t>
      </w:r>
    </w:p>
    <w:p>
      <w:pPr>
        <w:spacing w:after="100" w:line="250"/>
      </w:pPr>
      <w:r>
        <w:rPr>
          <w:sz w:val="20"/>
          <w:szCs w:val="20"/>
        </w:rPr>
        <w:t xml:space="preserve">Greška kalibracije (ECE) raste sa 0,0414 na laboratorijskim slikama na 0,4370 na terenskim. Na terenu model i dalje daje ocenu pouzdanosti veću od 90 % za 12,7 % slika, a od tih predviđanja tačno je svega 22,2 %. Praktično, aplikacija bi korisniku prikazala pogrešnu dijagnozu bez ikakvog znaka nesigurnosti.</w:t>
      </w:r>
    </w:p>
    <w:p>
      <w:pPr>
        <w:spacing w:after="60" w:line="250"/>
      </w:pPr>
      <w:r>
        <w:rPr>
          <w:b/>
          <w:bCs/>
          <w:sz w:val="20"/>
          <w:szCs w:val="20"/>
        </w:rPr>
        <w:t xml:space="preserve">5.3. Jedina naizgled prihvatljiva mera nije stvarna</w:t>
      </w:r>
    </w:p>
    <w:p>
      <w:pPr>
        <w:spacing w:after="100" w:line="250"/>
      </w:pPr>
      <w:r>
        <w:rPr>
          <w:sz w:val="20"/>
          <w:szCs w:val="20"/>
        </w:rPr>
        <w:t xml:space="preserve">Svođenje zadatka na binarno pitanje „da li je biljka bolesna“ daje 74,15 % na terenu, što deluje upotrebljivo. Međutim, 67,07 % slika u skupu PlantDoc zaista jeste bolesno, pa odgovor „bolesna“ na svaku sliku daje 67,07 %. Model predviđa „bolesna“ u 85,29 % slučajeva. Sedam procentnih poena iznad konstantnog odgovora nije upotrebljiv alat.</w:t>
      </w:r>
    </w:p>
    <w:p>
      <w:pPr>
        <w:spacing w:after="60" w:line="250"/>
      </w:pPr>
      <w:r>
        <w:rPr>
          <w:b/>
          <w:bCs/>
          <w:sz w:val="20"/>
          <w:szCs w:val="20"/>
        </w:rPr>
        <w:t xml:space="preserve">5.4. Referentni skup pogrešno rangira modele</w:t>
      </w:r>
    </w:p>
    <w:p>
      <w:pPr>
        <w:spacing w:after="100" w:line="250"/>
      </w:pPr>
      <w:r>
        <w:rPr>
          <w:sz w:val="20"/>
          <w:szCs w:val="20"/>
        </w:rPr>
        <w:t xml:space="preserve">Pod istim uslovima obučena je i mreža ResNet9 sa nasumičnom inicijalizacijom, arhitektura iz polaznog rada. Na referentnom skupu ona je čak i bolja: 99,72 % naspram 99,65 %, uz manje parametara. Na terenu, međutim, postiže samo 9,85 % naspram 14,83 % — pad od 90,1 % umesto 85,1 %.</w:t>
      </w:r>
    </w:p>
    <w:p>
      <w:pPr>
        <w:spacing w:after="100" w:line="250"/>
      </w:pPr>
      <w:r>
        <w:rPr>
          <w:sz w:val="20"/>
          <w:szCs w:val="20"/>
        </w:rPr>
        <w:t xml:space="preserve">Drugim rečima, izbor modela prema tačnosti na referentnom skupu — a upravo tako se model bira — vodi ka mreži koja je u stvarnim uslovima za trećinu lošija. Referentni skup ne samo da precenjuje uspeh, nego i obrće redosled modela.</w:t>
      </w:r>
    </w:p>
    <w:p>
      <w:pPr>
        <w:spacing w:after="60" w:line="250"/>
      </w:pPr>
      <w:r>
        <w:rPr>
          <w:b/>
          <w:bCs/>
          <w:sz w:val="20"/>
          <w:szCs w:val="20"/>
        </w:rPr>
        <w:t xml:space="preserve">5.5. Kontrola ispravnosti</w:t>
      </w:r>
    </w:p>
    <w:p>
      <w:pPr>
        <w:spacing w:after="100" w:line="250"/>
      </w:pPr>
      <w:r>
        <w:rPr>
          <w:sz w:val="20"/>
          <w:szCs w:val="20"/>
        </w:rPr>
        <w:t xml:space="preserve">Da bi se isključila mogućnost greške u kodu, model je testiran i na nezavisno pripremljenoj kopiji skupa PlantVillage (drugi autor, drugačija imena klasa). Na njoj postiže 97,71 % tačnosti kroz potpuno isti kod za evaluaciju. To potvrđuje da je pad na skupu PlantDoc posledica promene domena, a ne greške u obradi podataka.</w:t>
      </w:r>
    </w:p>
    <w:p>
      <w:pPr>
        <w:pStyle w:val="Heading1"/>
        <w:spacing w:after="90" w:before="180"/>
      </w:pPr>
      <w:r>
        <w:rPr>
          <w:b/>
          <w:bCs/>
          <w:color w:val="1F4E79"/>
          <w:sz w:val="28"/>
          <w:szCs w:val="28"/>
        </w:rPr>
        <w:t xml:space="preserve">6. Zaključak</w:t>
      </w:r>
    </w:p>
    <w:p>
      <w:pPr>
        <w:spacing w:after="100" w:line="250"/>
      </w:pPr>
      <w:r>
        <w:rPr>
          <w:sz w:val="20"/>
          <w:szCs w:val="20"/>
        </w:rPr>
        <w:t xml:space="preserve">Visoka tačnost na skupu PlantVillage ne meri prepoznavanje bolesti, već koliko dobro je model naučio jednu fotografsku konvenciju. Model koji na referentnom skupu postiže 99,65 % u stvarnim uslovima greši u šest od sedam slučajeva, često tvrdi da na slici nema lista i pritom ne prijavljuje nikakvu nesigurnost.</w:t>
      </w:r>
    </w:p>
    <w:p>
      <w:pPr>
        <w:spacing w:after="60" w:line="250"/>
      </w:pPr>
      <w:r>
        <w:rPr>
          <w:sz w:val="20"/>
          <w:szCs w:val="20"/>
        </w:rPr>
        <w:t xml:space="preserve">Mere koje bi stvarno pomogle: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sz w:val="20"/>
          <w:szCs w:val="20"/>
        </w:rPr>
        <w:t xml:space="preserve">Uključiti terenske snimke u samu obuku — problem je pre svega u podacima, a tek onda u modelu.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sz w:val="20"/>
          <w:szCs w:val="20"/>
        </w:rPr>
        <w:t xml:space="preserve">Uvek prijavljivati rezultate na nezavisnom skupu; podela unutar istog skupa ne može da otkrije ovaj problem, pa ni da ispravno rangira modele.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sz w:val="20"/>
          <w:szCs w:val="20"/>
        </w:rPr>
        <w:t xml:space="preserve">Segmentacija lista pre klasifikacije, čime se uklanja pozadina kao prečica.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sz w:val="20"/>
          <w:szCs w:val="20"/>
        </w:rPr>
        <w:t xml:space="preserve">Uvesti prag pouzdanosti i mogućnost da model odgovori „nisam siguran“, umesto pogrešne a samouverene dijagnoze.</w:t>
      </w:r>
    </w:p>
    <w:p>
      <w:pPr>
        <w:spacing w:after="0" w:line="250"/>
      </w:pPr>
      <w:r>
        <w:rPr>
          <w:i/>
          <w:iCs/>
          <w:color w:val="555555"/>
          <w:sz w:val="18"/>
          <w:szCs w:val="18"/>
        </w:rPr>
        <w:t xml:space="preserve">Ograničenja: skup PlantDoc ima šumovitije oznake od skupa PlantVillage i deo slika su stok fotografije, pa je jedan deo izmerene razlike posledica kvaliteta podataka, a ne isključivo promene domena. Ipak, šum u oznakama ne može da objasni to što model trećinu slika proglašava slikama bez lista, niti pad prepoznavanja biljke na 28,8 %.</w:t>
      </w:r>
    </w:p>
    <w:sectPr>
      <w:pgSz w:w="11906" w:h="16838" w:orient="portrait"/>
      <w:pgMar w:top="850" w:right="1080" w:bottom="8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Klasifikacija bolesti biljaka — izveštaj</dc:title>
  <dc:creator>Dejan Milošević</dc:creator>
  <cp:lastModifiedBy>Un-named</cp:lastModifiedBy>
  <cp:revision>1</cp:revision>
  <dcterms:created xsi:type="dcterms:W3CDTF">2026-08-21T13:29:57.464Z</dcterms:created>
  <dcterms:modified xsi:type="dcterms:W3CDTF">2026-08-21T13:29:57.464Z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