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E1126"/>
          <w:sz w:val="18"/>
        </w:rPr>
        <w:t>KERAJAAN SARAWAK · SARAWAK GOVERNMENT</w:t>
      </w:r>
    </w:p>
    <w:p>
      <w:pPr>
        <w:spacing w:before="80"/>
      </w:pPr>
      <w:r>
        <w:rPr>
          <w:b/>
          <w:color w:val="1A1A1A"/>
          <w:sz w:val="40"/>
        </w:rPr>
        <w:t>Sarawak Government Brand &amp; Communication Guideline</w:t>
      </w:r>
    </w:p>
    <w:p>
      <w:r>
        <w:t>UKAS-BG-01 · Draft v0.1 · Effective 2026-10-01 · Unit Komunikasi Awam Sarawak (UKAS), Premier's Department</w:t>
      </w:r>
    </w:p>
    <w:p>
      <w:r>
        <w:rPr>
          <w:i/>
          <w:color w:val="CE1126"/>
        </w:rPr>
        <w:t>DRAFT FOR UKAS ADOPTION — placeholder values are marked for confirmation by UKAS.</w:t>
      </w:r>
    </w:p>
    <w:p>
      <w:pPr>
        <w:spacing w:before="200"/>
      </w:pPr>
      <w:r>
        <w:rPr>
          <w:b/>
          <w:color w:val="1A1A1A"/>
          <w:sz w:val="28"/>
        </w:rPr>
        <w:t>1. Scope</w:t>
      </w:r>
    </w:p>
    <w:p>
      <w:r>
        <w:t>All material an agency, department or state-owned entity publishes or presents in the name of the Sarawak Government: slides, brochures, posters, banners, social media, proposals and papers.</w:t>
      </w:r>
    </w:p>
    <w:p>
      <w:pPr>
        <w:spacing w:before="200"/>
      </w:pPr>
      <w:r>
        <w:rPr>
          <w:b/>
          <w:color w:val="1A1A1A"/>
          <w:sz w:val="28"/>
        </w:rPr>
        <w:t>2. Vision and pillars</w:t>
      </w:r>
    </w:p>
    <w:p>
      <w:r>
        <w:t>State vision (PCDS 2030), quoted verbatim: "Sarawak to be a thriving society driven by data and innovation, where everyone enjoys economic prosperity, social inclusivity and sustainable environment by 2030."</w:t>
      </w:r>
    </w:p>
    <w:p>
      <w:r>
        <w:t>Pillars: Economic Prosperity, Social Inclusivity, Environmental Sustainability.</w:t>
      </w:r>
    </w:p>
    <w:p>
      <w:pPr>
        <w:spacing w:before="200"/>
      </w:pPr>
      <w:r>
        <w:rPr>
          <w:b/>
          <w:color w:val="1A1A1A"/>
          <w:sz w:val="28"/>
        </w:rPr>
        <w:t>3. Colour palette (draft)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Colour</w:t>
            </w:r>
          </w:p>
        </w:tc>
        <w:tc>
          <w:tcPr>
            <w:tcW w:type="dxa" w:w="3249"/>
          </w:tcPr>
          <w:p>
            <w:r>
              <w:t>Hex</w:t>
            </w:r>
          </w:p>
        </w:tc>
        <w:tc>
          <w:tcPr>
            <w:tcW w:type="dxa" w:w="3249"/>
          </w:tcPr>
          <w:p>
            <w:r>
              <w:t>Role</w:t>
            </w:r>
          </w:p>
        </w:tc>
      </w:tr>
      <w:tr>
        <w:tc>
          <w:tcPr>
            <w:tcW w:type="dxa" w:w="3249"/>
          </w:tcPr>
          <w:p>
            <w:r>
              <w:t>Sarawak Red</w:t>
            </w:r>
          </w:p>
        </w:tc>
        <w:tc>
          <w:tcPr>
            <w:tcW w:type="dxa" w:w="3249"/>
          </w:tcPr>
          <w:p>
            <w:r>
              <w:t>#CE1126</w:t>
            </w:r>
          </w:p>
        </w:tc>
        <w:tc>
          <w:tcPr>
            <w:tcW w:type="dxa" w:w="3249"/>
          </w:tcPr>
          <w:p>
            <w:r>
              <w:t>primary</w:t>
            </w:r>
          </w:p>
        </w:tc>
      </w:tr>
      <w:tr>
        <w:tc>
          <w:tcPr>
            <w:tcW w:type="dxa" w:w="3249"/>
          </w:tcPr>
          <w:p>
            <w:r>
              <w:t>Sarawak Yellow</w:t>
            </w:r>
          </w:p>
        </w:tc>
        <w:tc>
          <w:tcPr>
            <w:tcW w:type="dxa" w:w="3249"/>
          </w:tcPr>
          <w:p>
            <w:r>
              <w:t>#FFD100</w:t>
            </w:r>
          </w:p>
        </w:tc>
        <w:tc>
          <w:tcPr>
            <w:tcW w:type="dxa" w:w="3249"/>
          </w:tcPr>
          <w:p>
            <w:r>
              <w:t>primary</w:t>
            </w:r>
          </w:p>
        </w:tc>
      </w:tr>
      <w:tr>
        <w:tc>
          <w:tcPr>
            <w:tcW w:type="dxa" w:w="3249"/>
          </w:tcPr>
          <w:p>
            <w:r>
              <w:t>Sarawak Black</w:t>
            </w:r>
          </w:p>
        </w:tc>
        <w:tc>
          <w:tcPr>
            <w:tcW w:type="dxa" w:w="3249"/>
          </w:tcPr>
          <w:p>
            <w:r>
              <w:t>#1A1A1A</w:t>
            </w:r>
          </w:p>
        </w:tc>
        <w:tc>
          <w:tcPr>
            <w:tcW w:type="dxa" w:w="3249"/>
          </w:tcPr>
          <w:p>
            <w:r>
              <w:t>primary</w:t>
            </w:r>
          </w:p>
        </w:tc>
      </w:tr>
      <w:tr>
        <w:tc>
          <w:tcPr>
            <w:tcW w:type="dxa" w:w="3249"/>
          </w:tcPr>
          <w:p>
            <w:r>
              <w:t>White</w:t>
            </w:r>
          </w:p>
        </w:tc>
        <w:tc>
          <w:tcPr>
            <w:tcW w:type="dxa" w:w="3249"/>
          </w:tcPr>
          <w:p>
            <w:r>
              <w:t>#FFFFFF</w:t>
            </w:r>
          </w:p>
        </w:tc>
        <w:tc>
          <w:tcPr>
            <w:tcW w:type="dxa" w:w="3249"/>
          </w:tcPr>
          <w:p>
            <w:r>
              <w:t>neutral</w:t>
            </w:r>
          </w:p>
        </w:tc>
      </w:tr>
      <w:tr>
        <w:tc>
          <w:tcPr>
            <w:tcW w:type="dxa" w:w="3249"/>
          </w:tcPr>
          <w:p>
            <w:r>
              <w:t>Warm Grey</w:t>
            </w:r>
          </w:p>
        </w:tc>
        <w:tc>
          <w:tcPr>
            <w:tcW w:type="dxa" w:w="3249"/>
          </w:tcPr>
          <w:p>
            <w:r>
              <w:t>#6B6B6B</w:t>
            </w:r>
          </w:p>
        </w:tc>
        <w:tc>
          <w:tcPr>
            <w:tcW w:type="dxa" w:w="3249"/>
          </w:tcPr>
          <w:p>
            <w:r>
              <w:t>neutral</w:t>
            </w:r>
          </w:p>
        </w:tc>
      </w:tr>
      <w:tr>
        <w:tc>
          <w:tcPr>
            <w:tcW w:type="dxa" w:w="3249"/>
          </w:tcPr>
          <w:p>
            <w:r>
              <w:t>Light Grey</w:t>
            </w:r>
          </w:p>
        </w:tc>
        <w:tc>
          <w:tcPr>
            <w:tcW w:type="dxa" w:w="3249"/>
          </w:tcPr>
          <w:p>
            <w:r>
              <w:t>#F2F2F2</w:t>
            </w:r>
          </w:p>
        </w:tc>
        <w:tc>
          <w:tcPr>
            <w:tcW w:type="dxa" w:w="3249"/>
          </w:tcPr>
          <w:p>
            <w:r>
              <w:t>neutral</w:t>
            </w:r>
          </w:p>
        </w:tc>
      </w:tr>
    </w:tbl>
    <w:p>
      <w:pPr>
        <w:spacing w:before="200"/>
      </w:pPr>
      <w:r>
        <w:rPr>
          <w:b/>
          <w:color w:val="1A1A1A"/>
          <w:sz w:val="28"/>
        </w:rPr>
        <w:t>4. Typography (draft)</w:t>
      </w:r>
    </w:p>
    <w:p>
      <w:r>
        <w:t>Headings: Montserrat (Bold / SemiBold). Body: Open Sans (Regular / SemiBold). Fallback: Arial.</w:t>
      </w:r>
    </w:p>
    <w:p>
      <w:pPr>
        <w:spacing w:before="200"/>
      </w:pPr>
      <w:r>
        <w:rPr>
          <w:b/>
          <w:color w:val="1A1A1A"/>
          <w:sz w:val="28"/>
        </w:rPr>
        <w:t>5. Rules</w:t>
      </w:r>
    </w:p>
    <w:p>
      <w:r>
        <w:t>Each rule has an ID used in review findings. Severity: critical (blocks clearance), major (must be fixed), minor (should be fixed).</w:t>
      </w:r>
    </w:p>
    <w:p>
      <w:pPr>
        <w:spacing w:before="160"/>
      </w:pPr>
      <w:r>
        <w:rPr>
          <w:b/>
          <w:color w:val="CE1126"/>
          <w:sz w:val="24"/>
        </w:rPr>
        <w:t>State crest &amp; logos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ID</w:t>
            </w:r>
          </w:p>
        </w:tc>
        <w:tc>
          <w:tcPr>
            <w:tcW w:type="dxa" w:w="2436"/>
          </w:tcPr>
          <w:p>
            <w:r>
              <w:t>Rule</w:t>
            </w:r>
          </w:p>
        </w:tc>
        <w:tc>
          <w:tcPr>
            <w:tcW w:type="dxa" w:w="2436"/>
          </w:tcPr>
          <w:p>
            <w:r>
              <w:t>How it is checked</w:t>
            </w:r>
          </w:p>
        </w:tc>
        <w:tc>
          <w:tcPr>
            <w:tcW w:type="dxa" w:w="2436"/>
          </w:tcPr>
          <w:p>
            <w:r>
              <w:t>Severity</w:t>
            </w:r>
          </w:p>
        </w:tc>
      </w:tr>
      <w:tr>
        <w:tc>
          <w:tcPr>
            <w:tcW w:type="dxa" w:w="2436"/>
          </w:tcPr>
          <w:p>
            <w:r>
              <w:t>BC-1.1</w:t>
            </w:r>
          </w:p>
        </w:tc>
        <w:tc>
          <w:tcPr>
            <w:tcW w:type="dxa" w:w="2436"/>
          </w:tcPr>
          <w:p>
            <w:r>
              <w:t>Material for public use carries the Sarawak state crest (Jata Negeri Sarawak).</w:t>
            </w:r>
          </w:p>
        </w:tc>
        <w:tc>
          <w:tcPr>
            <w:tcW w:type="dxa" w:w="2436"/>
          </w:tcPr>
          <w:p>
            <w:r>
              <w:t>The crest is present on the cover or first page/slide and on every standalone poster or post.</w:t>
            </w:r>
          </w:p>
        </w:tc>
        <w:tc>
          <w:tcPr>
            <w:tcW w:type="dxa" w:w="2436"/>
          </w:tcPr>
          <w:p>
            <w:r>
              <w:t>Critical</w:t>
            </w:r>
          </w:p>
        </w:tc>
      </w:tr>
      <w:tr>
        <w:tc>
          <w:tcPr>
            <w:tcW w:type="dxa" w:w="2436"/>
          </w:tcPr>
          <w:p>
            <w:r>
              <w:t>BC-1.2</w:t>
            </w:r>
          </w:p>
        </w:tc>
        <w:tc>
          <w:tcPr>
            <w:tcW w:type="dxa" w:w="2436"/>
          </w:tcPr>
          <w:p>
            <w:r>
              <w:t>The crest sits top-left or top-centre with clear space of at least a quarter of its height on every side.</w:t>
            </w:r>
          </w:p>
        </w:tc>
        <w:tc>
          <w:tcPr>
            <w:tcW w:type="dxa" w:w="2436"/>
          </w:tcPr>
          <w:p>
            <w:r>
              <w:t>Nothing (text, image edge, other logo) intrudes into the clear space; the crest is not tucked into a corner or footer.</w:t>
            </w:r>
          </w:p>
        </w:tc>
        <w:tc>
          <w:tcPr>
            <w:tcW w:type="dxa" w:w="2436"/>
          </w:tcPr>
          <w:p>
            <w:r>
              <w:t>Major</w:t>
            </w:r>
          </w:p>
        </w:tc>
      </w:tr>
      <w:tr>
        <w:tc>
          <w:tcPr>
            <w:tcW w:type="dxa" w:w="2436"/>
          </w:tcPr>
          <w:p>
            <w:r>
              <w:t>BC-1.3</w:t>
            </w:r>
          </w:p>
        </w:tc>
        <w:tc>
          <w:tcPr>
            <w:tcW w:type="dxa" w:w="2436"/>
          </w:tcPr>
          <w:p>
            <w:r>
              <w:t>The crest is never stretched, squashed, cropped, rotated, recoloured, outlined or placed on a busy background.</w:t>
            </w:r>
          </w:p>
        </w:tc>
        <w:tc>
          <w:tcPr>
            <w:tcW w:type="dxa" w:w="2436"/>
          </w:tcPr>
          <w:p>
            <w:r>
              <w:t>Proportions look natural; colours are the crest's own; the background behind it is plain.</w:t>
            </w:r>
          </w:p>
        </w:tc>
        <w:tc>
          <w:tcPr>
            <w:tcW w:type="dxa" w:w="2436"/>
          </w:tcPr>
          <w:p>
            <w:r>
              <w:t>Critical</w:t>
            </w:r>
          </w:p>
        </w:tc>
      </w:tr>
      <w:tr>
        <w:tc>
          <w:tcPr>
            <w:tcW w:type="dxa" w:w="2436"/>
          </w:tcPr>
          <w:p>
            <w:r>
              <w:t>BC-1.4</w:t>
            </w:r>
          </w:p>
        </w:tc>
        <w:tc>
          <w:tcPr>
            <w:tcW w:type="dxa" w:w="2436"/>
          </w:tcPr>
          <w:p>
            <w:r>
              <w:t>An agency logo sits to the right of the crest, no taller than the crest.</w:t>
            </w:r>
          </w:p>
        </w:tc>
        <w:tc>
          <w:tcPr>
            <w:tcW w:type="dxa" w:w="2436"/>
          </w:tcPr>
          <w:p>
            <w:r>
              <w:t>Agency or partner logos are never larger than, or placed above, the state crest.</w:t>
            </w:r>
          </w:p>
        </w:tc>
        <w:tc>
          <w:tcPr>
            <w:tcW w:type="dxa" w:w="2436"/>
          </w:tcPr>
          <w:p>
            <w:r>
              <w:t>Major</w:t>
            </w:r>
          </w:p>
        </w:tc>
      </w:tr>
      <w:tr>
        <w:tc>
          <w:tcPr>
            <w:tcW w:type="dxa" w:w="2436"/>
          </w:tcPr>
          <w:p>
            <w:r>
              <w:t>BC-1.5</w:t>
            </w:r>
          </w:p>
        </w:tc>
        <w:tc>
          <w:tcPr>
            <w:tcW w:type="dxa" w:w="2436"/>
          </w:tcPr>
          <w:p>
            <w:r>
              <w:t>No party-political logos, slogans, symbols or party colours on government material.</w:t>
            </w:r>
          </w:p>
        </w:tc>
        <w:tc>
          <w:tcPr>
            <w:tcW w:type="dxa" w:w="2436"/>
          </w:tcPr>
          <w:p>
            <w:r>
              <w:t>Any party emblem, campaign slogan or candidate branding is a breach.</w:t>
            </w:r>
          </w:p>
        </w:tc>
        <w:tc>
          <w:tcPr>
            <w:tcW w:type="dxa" w:w="2436"/>
          </w:tcPr>
          <w:p>
            <w:r>
              <w:t>Critical</w:t>
            </w:r>
          </w:p>
        </w:tc>
      </w:tr>
      <w:tr>
        <w:tc>
          <w:tcPr>
            <w:tcW w:type="dxa" w:w="2436"/>
          </w:tcPr>
          <w:p>
            <w:r>
              <w:t>BC-1.6</w:t>
            </w:r>
          </w:p>
        </w:tc>
        <w:tc>
          <w:tcPr>
            <w:tcW w:type="dxa" w:w="2436"/>
          </w:tcPr>
          <w:p>
            <w:r>
              <w:t>No superseded agency names or logos.</w:t>
            </w:r>
          </w:p>
        </w:tc>
        <w:tc>
          <w:tcPr>
            <w:tcW w:type="dxa" w:w="2436"/>
          </w:tcPr>
          <w:p>
            <w:r>
              <w:t>Old ministry or agency names and retired logos are flagged; the current official name is used.</w:t>
            </w:r>
          </w:p>
        </w:tc>
        <w:tc>
          <w:tcPr>
            <w:tcW w:type="dxa" w:w="2436"/>
          </w:tcPr>
          <w:p>
            <w:r>
              <w:t>Major</w:t>
            </w:r>
          </w:p>
        </w:tc>
      </w:tr>
    </w:tbl>
    <w:p>
      <w:pPr>
        <w:spacing w:before="160"/>
      </w:pPr>
      <w:r>
        <w:rPr>
          <w:b/>
          <w:color w:val="CE1126"/>
          <w:sz w:val="24"/>
        </w:rPr>
        <w:t>Colour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ID</w:t>
            </w:r>
          </w:p>
        </w:tc>
        <w:tc>
          <w:tcPr>
            <w:tcW w:type="dxa" w:w="2436"/>
          </w:tcPr>
          <w:p>
            <w:r>
              <w:t>Rule</w:t>
            </w:r>
          </w:p>
        </w:tc>
        <w:tc>
          <w:tcPr>
            <w:tcW w:type="dxa" w:w="2436"/>
          </w:tcPr>
          <w:p>
            <w:r>
              <w:t>How it is checked</w:t>
            </w:r>
          </w:p>
        </w:tc>
        <w:tc>
          <w:tcPr>
            <w:tcW w:type="dxa" w:w="2436"/>
          </w:tcPr>
          <w:p>
            <w:r>
              <w:t>Severity</w:t>
            </w:r>
          </w:p>
        </w:tc>
      </w:tr>
      <w:tr>
        <w:tc>
          <w:tcPr>
            <w:tcW w:type="dxa" w:w="2436"/>
          </w:tcPr>
          <w:p>
            <w:r>
              <w:t>BC-2.1</w:t>
            </w:r>
          </w:p>
        </w:tc>
        <w:tc>
          <w:tcPr>
            <w:tcW w:type="dxa" w:w="2436"/>
          </w:tcPr>
          <w:p>
            <w:r>
              <w:t>The Sarawak palette leads: Sarawak Red #CE1126, Sarawak Yellow #FFD100, Sarawak Black #1A1A1A.</w:t>
            </w:r>
          </w:p>
        </w:tc>
        <w:tc>
          <w:tcPr>
            <w:tcW w:type="dxa" w:w="2436"/>
          </w:tcPr>
          <w:p>
            <w:r>
              <w:t>Brand colour areas (headers, bands, buttons, titles) use the primary palette.</w:t>
            </w:r>
          </w:p>
        </w:tc>
        <w:tc>
          <w:tcPr>
            <w:tcW w:type="dxa" w:w="2436"/>
          </w:tcPr>
          <w:p>
            <w:r>
              <w:t>Major</w:t>
            </w:r>
          </w:p>
        </w:tc>
      </w:tr>
      <w:tr>
        <w:tc>
          <w:tcPr>
            <w:tcW w:type="dxa" w:w="2436"/>
          </w:tcPr>
          <w:p>
            <w:r>
              <w:t>BC-2.2</w:t>
            </w:r>
          </w:p>
        </w:tc>
        <w:tc>
          <w:tcPr>
            <w:tcW w:type="dxa" w:w="2436"/>
          </w:tcPr>
          <w:p>
            <w:r>
              <w:t>Neutrals support only (White, Warm Grey #6B6B6B, Light Grey #F2F2F2); no off-palette dominant colours.</w:t>
            </w:r>
          </w:p>
        </w:tc>
        <w:tc>
          <w:tcPr>
            <w:tcW w:type="dxa" w:w="2436"/>
          </w:tcPr>
          <w:p>
            <w:r>
              <w:t>Purple, teal, lime, neon or pastel schemes as the main colour are breaches.</w:t>
            </w:r>
          </w:p>
        </w:tc>
        <w:tc>
          <w:tcPr>
            <w:tcW w:type="dxa" w:w="2436"/>
          </w:tcPr>
          <w:p>
            <w:r>
              <w:t>Major</w:t>
            </w:r>
          </w:p>
        </w:tc>
      </w:tr>
      <w:tr>
        <w:tc>
          <w:tcPr>
            <w:tcW w:type="dxa" w:w="2436"/>
          </w:tcPr>
          <w:p>
            <w:r>
              <w:t>BC-2.3</w:t>
            </w:r>
          </w:p>
        </w:tc>
        <w:tc>
          <w:tcPr>
            <w:tcW w:type="dxa" w:w="2436"/>
          </w:tcPr>
          <w:p>
            <w:r>
              <w:t>Brand colours are flat; no gradients, glows or filters over brand colours or the crest.</w:t>
            </w:r>
          </w:p>
        </w:tc>
        <w:tc>
          <w:tcPr>
            <w:tcW w:type="dxa" w:w="2436"/>
          </w:tcPr>
          <w:p>
            <w:r>
              <w:t>Rainbow gradients, neon glows and heavy filters on brand elements.</w:t>
            </w:r>
          </w:p>
        </w:tc>
        <w:tc>
          <w:tcPr>
            <w:tcW w:type="dxa" w:w="2436"/>
          </w:tcPr>
          <w:p>
            <w:r>
              <w:t>Minor</w:t>
            </w:r>
          </w:p>
        </w:tc>
      </w:tr>
    </w:tbl>
    <w:p>
      <w:pPr>
        <w:spacing w:before="160"/>
      </w:pPr>
      <w:r>
        <w:rPr>
          <w:b/>
          <w:color w:val="CE1126"/>
          <w:sz w:val="24"/>
        </w:rPr>
        <w:t>Typography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ID</w:t>
            </w:r>
          </w:p>
        </w:tc>
        <w:tc>
          <w:tcPr>
            <w:tcW w:type="dxa" w:w="2436"/>
          </w:tcPr>
          <w:p>
            <w:r>
              <w:t>Rule</w:t>
            </w:r>
          </w:p>
        </w:tc>
        <w:tc>
          <w:tcPr>
            <w:tcW w:type="dxa" w:w="2436"/>
          </w:tcPr>
          <w:p>
            <w:r>
              <w:t>How it is checked</w:t>
            </w:r>
          </w:p>
        </w:tc>
        <w:tc>
          <w:tcPr>
            <w:tcW w:type="dxa" w:w="2436"/>
          </w:tcPr>
          <w:p>
            <w:r>
              <w:t>Severity</w:t>
            </w:r>
          </w:p>
        </w:tc>
      </w:tr>
      <w:tr>
        <w:tc>
          <w:tcPr>
            <w:tcW w:type="dxa" w:w="2436"/>
          </w:tcPr>
          <w:p>
            <w:r>
              <w:t>BC-3.1</w:t>
            </w:r>
          </w:p>
        </w:tc>
        <w:tc>
          <w:tcPr>
            <w:tcW w:type="dxa" w:w="2436"/>
          </w:tcPr>
          <w:p>
            <w:r>
              <w:t>Headings in Montserrat, body in Open Sans (Arial where these are not available).</w:t>
            </w:r>
          </w:p>
        </w:tc>
        <w:tc>
          <w:tcPr>
            <w:tcW w:type="dxa" w:w="2436"/>
          </w:tcPr>
          <w:p>
            <w:r>
              <w:t>Compare letterforms: geometric sans headings, humanist sans body.</w:t>
            </w:r>
          </w:p>
        </w:tc>
        <w:tc>
          <w:tcPr>
            <w:tcW w:type="dxa" w:w="2436"/>
          </w:tcPr>
          <w:p>
            <w:r>
              <w:t>Major</w:t>
            </w:r>
          </w:p>
        </w:tc>
      </w:tr>
      <w:tr>
        <w:tc>
          <w:tcPr>
            <w:tcW w:type="dxa" w:w="2436"/>
          </w:tcPr>
          <w:p>
            <w:r>
              <w:t>BC-3.2</w:t>
            </w:r>
          </w:p>
        </w:tc>
        <w:tc>
          <w:tcPr>
            <w:tcW w:type="dxa" w:w="2436"/>
          </w:tcPr>
          <w:p>
            <w:r>
              <w:t>No more than two typeface families; no novelty, comic or script typefaces.</w:t>
            </w:r>
          </w:p>
        </w:tc>
        <w:tc>
          <w:tcPr>
            <w:tcW w:type="dxa" w:w="2436"/>
          </w:tcPr>
          <w:p>
            <w:r>
              <w:t>Comic Sans, Papyrus, brush scripts and decorative display fonts are breaches.</w:t>
            </w:r>
          </w:p>
        </w:tc>
        <w:tc>
          <w:tcPr>
            <w:tcW w:type="dxa" w:w="2436"/>
          </w:tcPr>
          <w:p>
            <w:r>
              <w:t>Major</w:t>
            </w:r>
          </w:p>
        </w:tc>
      </w:tr>
      <w:tr>
        <w:tc>
          <w:tcPr>
            <w:tcW w:type="dxa" w:w="2436"/>
          </w:tcPr>
          <w:p>
            <w:r>
              <w:t>BC-3.3</w:t>
            </w:r>
          </w:p>
        </w:tc>
        <w:tc>
          <w:tcPr>
            <w:tcW w:type="dxa" w:w="2436"/>
          </w:tcPr>
          <w:p>
            <w:r>
              <w:t>Body text is legible: at least 10 pt in print, 24 px on slides, 16 px on screens.</w:t>
            </w:r>
          </w:p>
        </w:tc>
        <w:tc>
          <w:tcPr>
            <w:tcW w:type="dxa" w:w="2436"/>
          </w:tcPr>
          <w:p>
            <w:r>
              <w:t>Dense small print, footnote-sized body text on slides.</w:t>
            </w:r>
          </w:p>
        </w:tc>
        <w:tc>
          <w:tcPr>
            <w:tcW w:type="dxa" w:w="2436"/>
          </w:tcPr>
          <w:p>
            <w:r>
              <w:t>Minor</w:t>
            </w:r>
          </w:p>
        </w:tc>
      </w:tr>
    </w:tbl>
    <w:p>
      <w:pPr>
        <w:spacing w:before="160"/>
      </w:pPr>
      <w:r>
        <w:rPr>
          <w:b/>
          <w:color w:val="CE1126"/>
          <w:sz w:val="24"/>
        </w:rPr>
        <w:t>Language &amp; naming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ID</w:t>
            </w:r>
          </w:p>
        </w:tc>
        <w:tc>
          <w:tcPr>
            <w:tcW w:type="dxa" w:w="2436"/>
          </w:tcPr>
          <w:p>
            <w:r>
              <w:t>Rule</w:t>
            </w:r>
          </w:p>
        </w:tc>
        <w:tc>
          <w:tcPr>
            <w:tcW w:type="dxa" w:w="2436"/>
          </w:tcPr>
          <w:p>
            <w:r>
              <w:t>How it is checked</w:t>
            </w:r>
          </w:p>
        </w:tc>
        <w:tc>
          <w:tcPr>
            <w:tcW w:type="dxa" w:w="2436"/>
          </w:tcPr>
          <w:p>
            <w:r>
              <w:t>Severity</w:t>
            </w:r>
          </w:p>
        </w:tc>
      </w:tr>
      <w:tr>
        <w:tc>
          <w:tcPr>
            <w:tcW w:type="dxa" w:w="2436"/>
          </w:tcPr>
          <w:p>
            <w:r>
              <w:t>BC-4.1</w:t>
            </w:r>
          </w:p>
        </w:tc>
        <w:tc>
          <w:tcPr>
            <w:tcW w:type="dxa" w:w="2436"/>
          </w:tcPr>
          <w:p>
            <w:r>
              <w:t>Bahasa Melayu is the primary language of public material; English may accompany it with equal or lesser prominence.</w:t>
            </w:r>
          </w:p>
        </w:tc>
        <w:tc>
          <w:tcPr>
            <w:tcW w:type="dxa" w:w="2436"/>
          </w:tcPr>
          <w:p>
            <w:r>
              <w:t>English-only public material, or BM placed as a smaller afterthought.</w:t>
            </w:r>
          </w:p>
        </w:tc>
        <w:tc>
          <w:tcPr>
            <w:tcW w:type="dxa" w:w="2436"/>
          </w:tcPr>
          <w:p>
            <w:r>
              <w:t>Major</w:t>
            </w:r>
          </w:p>
        </w:tc>
      </w:tr>
      <w:tr>
        <w:tc>
          <w:tcPr>
            <w:tcW w:type="dxa" w:w="2436"/>
          </w:tcPr>
          <w:p>
            <w:r>
              <w:t>BC-4.2</w:t>
            </w:r>
          </w:p>
        </w:tc>
        <w:tc>
          <w:tcPr>
            <w:tcW w:type="dxa" w:w="2436"/>
          </w:tcPr>
          <w:p>
            <w:r>
              <w:t>Official titles are used: Premier of Sarawak / Premier Sarawak, Deputy Premier, Kerajaan Sarawak / Sarawak Government.</w:t>
            </w:r>
          </w:p>
        </w:tc>
        <w:tc>
          <w:tcPr>
            <w:tcW w:type="dxa" w:w="2436"/>
          </w:tcPr>
          <w:p>
            <w:r>
              <w:t>"Chief Minister", "Ketua Menteri" or "Sarawak State Government" used for the current office is a breach.</w:t>
            </w:r>
          </w:p>
        </w:tc>
        <w:tc>
          <w:tcPr>
            <w:tcW w:type="dxa" w:w="2436"/>
          </w:tcPr>
          <w:p>
            <w:r>
              <w:t>Critical</w:t>
            </w:r>
          </w:p>
        </w:tc>
      </w:tr>
      <w:tr>
        <w:tc>
          <w:tcPr>
            <w:tcW w:type="dxa" w:w="2436"/>
          </w:tcPr>
          <w:p>
            <w:r>
              <w:t>BC-4.3</w:t>
            </w:r>
          </w:p>
        </w:tc>
        <w:tc>
          <w:tcPr>
            <w:tcW w:type="dxa" w:w="2436"/>
          </w:tcPr>
          <w:p>
            <w:r>
              <w:t>The agency's full official name appears at first mention; the acronym after.</w:t>
            </w:r>
          </w:p>
        </w:tc>
        <w:tc>
          <w:tcPr>
            <w:tcW w:type="dxa" w:w="2436"/>
          </w:tcPr>
          <w:p>
            <w:r>
              <w:t>An acronym used alone with no full name anywhere in the material.</w:t>
            </w:r>
          </w:p>
        </w:tc>
        <w:tc>
          <w:tcPr>
            <w:tcW w:type="dxa" w:w="2436"/>
          </w:tcPr>
          <w:p>
            <w:r>
              <w:t>Minor</w:t>
            </w:r>
          </w:p>
        </w:tc>
      </w:tr>
      <w:tr>
        <w:tc>
          <w:tcPr>
            <w:tcW w:type="dxa" w:w="2436"/>
          </w:tcPr>
          <w:p>
            <w:r>
              <w:t>BC-4.4</w:t>
            </w:r>
          </w:p>
        </w:tc>
        <w:tc>
          <w:tcPr>
            <w:tcW w:type="dxa" w:w="2436"/>
          </w:tcPr>
          <w:p>
            <w:r>
              <w:t>Spelling, grammar and place names are correct (e.g. Sarawak, Kuching, Miri, Bintulu).</w:t>
            </w:r>
          </w:p>
        </w:tc>
        <w:tc>
          <w:tcPr>
            <w:tcW w:type="dxa" w:w="2436"/>
          </w:tcPr>
          <w:p>
            <w:r>
              <w:t>Typos in headings, misspelt place names, mixed spelling of the same term.</w:t>
            </w:r>
          </w:p>
        </w:tc>
        <w:tc>
          <w:tcPr>
            <w:tcW w:type="dxa" w:w="2436"/>
          </w:tcPr>
          <w:p>
            <w:r>
              <w:t>Minor</w:t>
            </w:r>
          </w:p>
        </w:tc>
      </w:tr>
      <w:tr>
        <w:tc>
          <w:tcPr>
            <w:tcW w:type="dxa" w:w="2436"/>
          </w:tcPr>
          <w:p>
            <w:r>
              <w:t>BC-4.5</w:t>
            </w:r>
          </w:p>
        </w:tc>
        <w:tc>
          <w:tcPr>
            <w:tcW w:type="dxa" w:w="2436"/>
          </w:tcPr>
          <w:p>
            <w:r>
              <w:t>Honorifics and order of precedence are correct when dignitaries are listed.</w:t>
            </w:r>
          </w:p>
        </w:tc>
        <w:tc>
          <w:tcPr>
            <w:tcW w:type="dxa" w:w="2436"/>
          </w:tcPr>
          <w:p>
            <w:r>
              <w:t>Missing honorifics, or officials listed out of precedence.</w:t>
            </w:r>
          </w:p>
        </w:tc>
        <w:tc>
          <w:tcPr>
            <w:tcW w:type="dxa" w:w="2436"/>
          </w:tcPr>
          <w:p>
            <w:r>
              <w:t>Major</w:t>
            </w:r>
          </w:p>
        </w:tc>
      </w:tr>
    </w:tbl>
    <w:p>
      <w:pPr>
        <w:spacing w:before="160"/>
      </w:pPr>
      <w:r>
        <w:rPr>
          <w:b/>
          <w:color w:val="CE1126"/>
          <w:sz w:val="24"/>
        </w:rPr>
        <w:t>Policy &amp; vision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ID</w:t>
            </w:r>
          </w:p>
        </w:tc>
        <w:tc>
          <w:tcPr>
            <w:tcW w:type="dxa" w:w="2436"/>
          </w:tcPr>
          <w:p>
            <w:r>
              <w:t>Rule</w:t>
            </w:r>
          </w:p>
        </w:tc>
        <w:tc>
          <w:tcPr>
            <w:tcW w:type="dxa" w:w="2436"/>
          </w:tcPr>
          <w:p>
            <w:r>
              <w:t>How it is checked</w:t>
            </w:r>
          </w:p>
        </w:tc>
        <w:tc>
          <w:tcPr>
            <w:tcW w:type="dxa" w:w="2436"/>
          </w:tcPr>
          <w:p>
            <w:r>
              <w:t>Severity</w:t>
            </w:r>
          </w:p>
        </w:tc>
      </w:tr>
      <w:tr>
        <w:tc>
          <w:tcPr>
            <w:tcW w:type="dxa" w:w="2436"/>
          </w:tcPr>
          <w:p>
            <w:r>
              <w:t>BC-5.1</w:t>
            </w:r>
          </w:p>
        </w:tc>
        <w:tc>
          <w:tcPr>
            <w:tcW w:type="dxa" w:w="2436"/>
          </w:tcPr>
          <w:p>
            <w:r>
              <w:t>Development, economic, social or environmental material links to PCDS 2030 and its pillar(s).</w:t>
            </w:r>
          </w:p>
        </w:tc>
        <w:tc>
          <w:tcPr>
            <w:tcW w:type="dxa" w:w="2436"/>
          </w:tcPr>
          <w:p>
            <w:r>
              <w:t>A programme presented with no link to Economic Prosperity, Social Inclusivity or Environmental Sustainability where one applies.</w:t>
            </w:r>
          </w:p>
        </w:tc>
        <w:tc>
          <w:tcPr>
            <w:tcW w:type="dxa" w:w="2436"/>
          </w:tcPr>
          <w:p>
            <w:r>
              <w:t>Minor</w:t>
            </w:r>
          </w:p>
        </w:tc>
      </w:tr>
      <w:tr>
        <w:tc>
          <w:tcPr>
            <w:tcW w:type="dxa" w:w="2436"/>
          </w:tcPr>
          <w:p>
            <w:r>
              <w:t>BC-5.2</w:t>
            </w:r>
          </w:p>
        </w:tc>
        <w:tc>
          <w:tcPr>
            <w:tcW w:type="dxa" w:w="2436"/>
          </w:tcPr>
          <w:p>
            <w:r>
              <w:t>No statement contradicts published state policy or the PCDS 2030 direction.</w:t>
            </w:r>
          </w:p>
        </w:tc>
        <w:tc>
          <w:tcPr>
            <w:tcW w:type="dxa" w:w="2436"/>
          </w:tcPr>
          <w:p>
            <w:r>
              <w:t>E.g. promoting expansion of coal or open burning against the green economy and renewable energy direction; dismissing digital transformation.</w:t>
            </w:r>
          </w:p>
        </w:tc>
        <w:tc>
          <w:tcPr>
            <w:tcW w:type="dxa" w:w="2436"/>
          </w:tcPr>
          <w:p>
            <w:r>
              <w:t>Critical</w:t>
            </w:r>
          </w:p>
        </w:tc>
      </w:tr>
      <w:tr>
        <w:tc>
          <w:tcPr>
            <w:tcW w:type="dxa" w:w="2436"/>
          </w:tcPr>
          <w:p>
            <w:r>
              <w:t>BC-5.3</w:t>
            </w:r>
          </w:p>
        </w:tc>
        <w:tc>
          <w:tcPr>
            <w:tcW w:type="dxa" w:w="2436"/>
          </w:tcPr>
          <w:p>
            <w:r>
              <w:t>Figures, targets, budgets and dates are sourced or marked for verification; no commitments beyond what has been approved.</w:t>
            </w:r>
          </w:p>
        </w:tc>
        <w:tc>
          <w:tcPr>
            <w:tcW w:type="dxa" w:w="2436"/>
          </w:tcPr>
          <w:p>
            <w:r>
              <w:t>Specific RM amounts, percentages or completion dates with no source or approval reference.</w:t>
            </w:r>
          </w:p>
        </w:tc>
        <w:tc>
          <w:tcPr>
            <w:tcW w:type="dxa" w:w="2436"/>
          </w:tcPr>
          <w:p>
            <w:r>
              <w:t>Major</w:t>
            </w:r>
          </w:p>
        </w:tc>
      </w:tr>
      <w:tr>
        <w:tc>
          <w:tcPr>
            <w:tcW w:type="dxa" w:w="2436"/>
          </w:tcPr>
          <w:p>
            <w:r>
              <w:t>BC-5.4</w:t>
            </w:r>
          </w:p>
        </w:tc>
        <w:tc>
          <w:tcPr>
            <w:tcW w:type="dxa" w:w="2436"/>
          </w:tcPr>
          <w:p>
            <w:r>
              <w:t>The state vision is quoted verbatim when quoted.</w:t>
            </w:r>
          </w:p>
        </w:tc>
        <w:tc>
          <w:tcPr>
            <w:tcW w:type="dxa" w:w="2436"/>
          </w:tcPr>
          <w:p>
            <w:r>
              <w:t>Paraphrased or altered wording presented as the official vision.</w:t>
            </w:r>
          </w:p>
        </w:tc>
        <w:tc>
          <w:tcPr>
            <w:tcW w:type="dxa" w:w="2436"/>
          </w:tcPr>
          <w:p>
            <w:r>
              <w:t>Minor</w:t>
            </w:r>
          </w:p>
        </w:tc>
      </w:tr>
    </w:tbl>
    <w:p>
      <w:pPr>
        <w:spacing w:before="160"/>
      </w:pPr>
      <w:r>
        <w:rPr>
          <w:b/>
          <w:color w:val="CE1126"/>
          <w:sz w:val="24"/>
        </w:rPr>
        <w:t>Imagery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ID</w:t>
            </w:r>
          </w:p>
        </w:tc>
        <w:tc>
          <w:tcPr>
            <w:tcW w:type="dxa" w:w="2436"/>
          </w:tcPr>
          <w:p>
            <w:r>
              <w:t>Rule</w:t>
            </w:r>
          </w:p>
        </w:tc>
        <w:tc>
          <w:tcPr>
            <w:tcW w:type="dxa" w:w="2436"/>
          </w:tcPr>
          <w:p>
            <w:r>
              <w:t>How it is checked</w:t>
            </w:r>
          </w:p>
        </w:tc>
        <w:tc>
          <w:tcPr>
            <w:tcW w:type="dxa" w:w="2436"/>
          </w:tcPr>
          <w:p>
            <w:r>
              <w:t>Severity</w:t>
            </w:r>
          </w:p>
        </w:tc>
      </w:tr>
      <w:tr>
        <w:tc>
          <w:tcPr>
            <w:tcW w:type="dxa" w:w="2436"/>
          </w:tcPr>
          <w:p>
            <w:r>
              <w:t>BC-6.1</w:t>
            </w:r>
          </w:p>
        </w:tc>
        <w:tc>
          <w:tcPr>
            <w:tcW w:type="dxa" w:w="2436"/>
          </w:tcPr>
          <w:p>
            <w:r>
              <w:t>Imagery represents Sarawak's communities inclusively and respectfully, in authentic Sarawak settings.</w:t>
            </w:r>
          </w:p>
        </w:tc>
        <w:tc>
          <w:tcPr>
            <w:tcW w:type="dxa" w:w="2436"/>
          </w:tcPr>
          <w:p>
            <w:r>
              <w:t>Generic foreign stock scenes standing in for Sarawak; one community shown as representing all.</w:t>
            </w:r>
          </w:p>
        </w:tc>
        <w:tc>
          <w:tcPr>
            <w:tcW w:type="dxa" w:w="2436"/>
          </w:tcPr>
          <w:p>
            <w:r>
              <w:t>Major</w:t>
            </w:r>
          </w:p>
        </w:tc>
      </w:tr>
      <w:tr>
        <w:tc>
          <w:tcPr>
            <w:tcW w:type="dxa" w:w="2436"/>
          </w:tcPr>
          <w:p>
            <w:r>
              <w:t>BC-6.2</w:t>
            </w:r>
          </w:p>
        </w:tc>
        <w:tc>
          <w:tcPr>
            <w:tcW w:type="dxa" w:w="2436"/>
          </w:tcPr>
          <w:p>
            <w:r>
              <w:t>No low-resolution, pixelated or watermarked images.</w:t>
            </w:r>
          </w:p>
        </w:tc>
        <w:tc>
          <w:tcPr>
            <w:tcW w:type="dxa" w:w="2436"/>
          </w:tcPr>
          <w:p>
            <w:r>
              <w:t>Visible stock watermarks, blocky compression, stretched photos.</w:t>
            </w:r>
          </w:p>
        </w:tc>
        <w:tc>
          <w:tcPr>
            <w:tcW w:type="dxa" w:w="2436"/>
          </w:tcPr>
          <w:p>
            <w:r>
              <w:t>Major</w:t>
            </w:r>
          </w:p>
        </w:tc>
      </w:tr>
      <w:tr>
        <w:tc>
          <w:tcPr>
            <w:tcW w:type="dxa" w:w="2436"/>
          </w:tcPr>
          <w:p>
            <w:r>
              <w:t>BC-6.3</w:t>
            </w:r>
          </w:p>
        </w:tc>
        <w:tc>
          <w:tcPr>
            <w:tcW w:type="dxa" w:w="2436"/>
          </w:tcPr>
          <w:p>
            <w:r>
              <w:t>Identifiable people, especially children, need recorded consent.</w:t>
            </w:r>
          </w:p>
        </w:tc>
        <w:tc>
          <w:tcPr>
            <w:tcW w:type="dxa" w:w="2436"/>
          </w:tcPr>
          <w:p>
            <w:r>
              <w:t>Close-up of identifiable individuals: flag for consent confirmation.</w:t>
            </w:r>
          </w:p>
        </w:tc>
        <w:tc>
          <w:tcPr>
            <w:tcW w:type="dxa" w:w="2436"/>
          </w:tcPr>
          <w:p>
            <w:r>
              <w:t>Minor</w:t>
            </w:r>
          </w:p>
        </w:tc>
      </w:tr>
      <w:tr>
        <w:tc>
          <w:tcPr>
            <w:tcW w:type="dxa" w:w="2436"/>
          </w:tcPr>
          <w:p>
            <w:r>
              <w:t>BC-6.4</w:t>
            </w:r>
          </w:p>
        </w:tc>
        <w:tc>
          <w:tcPr>
            <w:tcW w:type="dxa" w:w="2436"/>
          </w:tcPr>
          <w:p>
            <w:r>
              <w:t>Cultural motifs are used respectfully, not distorted or used as filler decoration.</w:t>
            </w:r>
          </w:p>
        </w:tc>
        <w:tc>
          <w:tcPr>
            <w:tcW w:type="dxa" w:w="2436"/>
          </w:tcPr>
          <w:p>
            <w:r>
              <w:t>Recoloured, cropped or mixed motifs from different communities used as background filler.</w:t>
            </w:r>
          </w:p>
        </w:tc>
        <w:tc>
          <w:tcPr>
            <w:tcW w:type="dxa" w:w="2436"/>
          </w:tcPr>
          <w:p>
            <w:r>
              <w:t>Major</w:t>
            </w:r>
          </w:p>
        </w:tc>
      </w:tr>
      <w:tr>
        <w:tc>
          <w:tcPr>
            <w:tcW w:type="dxa" w:w="2436"/>
          </w:tcPr>
          <w:p>
            <w:r>
              <w:t>BC-6.5</w:t>
            </w:r>
          </w:p>
        </w:tc>
        <w:tc>
          <w:tcPr>
            <w:tcW w:type="dxa" w:w="2436"/>
          </w:tcPr>
          <w:p>
            <w:r>
              <w:t>Maps show Sarawak's boundaries correctly.</w:t>
            </w:r>
          </w:p>
        </w:tc>
        <w:tc>
          <w:tcPr>
            <w:tcW w:type="dxa" w:w="2436"/>
          </w:tcPr>
          <w:p>
            <w:r>
              <w:t>Missing districts, wrong borders, or Sarawak drawn inaccurately.</w:t>
            </w:r>
          </w:p>
        </w:tc>
        <w:tc>
          <w:tcPr>
            <w:tcW w:type="dxa" w:w="2436"/>
          </w:tcPr>
          <w:p>
            <w:r>
              <w:t>Critical</w:t>
            </w:r>
          </w:p>
        </w:tc>
      </w:tr>
    </w:tbl>
    <w:p>
      <w:pPr>
        <w:spacing w:before="160"/>
      </w:pPr>
      <w:r>
        <w:rPr>
          <w:b/>
          <w:color w:val="CE1126"/>
          <w:sz w:val="24"/>
        </w:rPr>
        <w:t>Accessibility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ID</w:t>
            </w:r>
          </w:p>
        </w:tc>
        <w:tc>
          <w:tcPr>
            <w:tcW w:type="dxa" w:w="2436"/>
          </w:tcPr>
          <w:p>
            <w:r>
              <w:t>Rule</w:t>
            </w:r>
          </w:p>
        </w:tc>
        <w:tc>
          <w:tcPr>
            <w:tcW w:type="dxa" w:w="2436"/>
          </w:tcPr>
          <w:p>
            <w:r>
              <w:t>How it is checked</w:t>
            </w:r>
          </w:p>
        </w:tc>
        <w:tc>
          <w:tcPr>
            <w:tcW w:type="dxa" w:w="2436"/>
          </w:tcPr>
          <w:p>
            <w:r>
              <w:t>Severity</w:t>
            </w:r>
          </w:p>
        </w:tc>
      </w:tr>
      <w:tr>
        <w:tc>
          <w:tcPr>
            <w:tcW w:type="dxa" w:w="2436"/>
          </w:tcPr>
          <w:p>
            <w:r>
              <w:t>BC-7.1</w:t>
            </w:r>
          </w:p>
        </w:tc>
        <w:tc>
          <w:tcPr>
            <w:tcW w:type="dxa" w:w="2436"/>
          </w:tcPr>
          <w:p>
            <w:r>
              <w:t>Text has enough contrast with its background (at least 4.5:1 for body text).</w:t>
            </w:r>
          </w:p>
        </w:tc>
        <w:tc>
          <w:tcPr>
            <w:tcW w:type="dxa" w:w="2436"/>
          </w:tcPr>
          <w:p>
            <w:r>
              <w:t>Yellow text on white, grey on grey, text over photos without a panel.</w:t>
            </w:r>
          </w:p>
        </w:tc>
        <w:tc>
          <w:tcPr>
            <w:tcW w:type="dxa" w:w="2436"/>
          </w:tcPr>
          <w:p>
            <w:r>
              <w:t>Major</w:t>
            </w:r>
          </w:p>
        </w:tc>
      </w:tr>
      <w:tr>
        <w:tc>
          <w:tcPr>
            <w:tcW w:type="dxa" w:w="2436"/>
          </w:tcPr>
          <w:p>
            <w:r>
              <w:t>BC-7.2</w:t>
            </w:r>
          </w:p>
        </w:tc>
        <w:tc>
          <w:tcPr>
            <w:tcW w:type="dxa" w:w="2436"/>
          </w:tcPr>
          <w:p>
            <w:r>
              <w:t>Meaning is not carried by colour alone.</w:t>
            </w:r>
          </w:p>
        </w:tc>
        <w:tc>
          <w:tcPr>
            <w:tcW w:type="dxa" w:w="2436"/>
          </w:tcPr>
          <w:p>
            <w:r>
              <w:t>Charts or statuses distinguished only by red versus green.</w:t>
            </w:r>
          </w:p>
        </w:tc>
        <w:tc>
          <w:tcPr>
            <w:tcW w:type="dxa" w:w="2436"/>
          </w:tcPr>
          <w:p>
            <w:r>
              <w:t>Minor</w:t>
            </w:r>
          </w:p>
        </w:tc>
      </w:tr>
    </w:tbl>
    <w:p>
      <w:pPr>
        <w:spacing w:before="160"/>
      </w:pPr>
      <w:r>
        <w:rPr>
          <w:b/>
          <w:color w:val="CE1126"/>
          <w:sz w:val="24"/>
        </w:rPr>
        <w:t>Mandatory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ID</w:t>
            </w:r>
          </w:p>
        </w:tc>
        <w:tc>
          <w:tcPr>
            <w:tcW w:type="dxa" w:w="2436"/>
          </w:tcPr>
          <w:p>
            <w:r>
              <w:t>Rule</w:t>
            </w:r>
          </w:p>
        </w:tc>
        <w:tc>
          <w:tcPr>
            <w:tcW w:type="dxa" w:w="2436"/>
          </w:tcPr>
          <w:p>
            <w:r>
              <w:t>How it is checked</w:t>
            </w:r>
          </w:p>
        </w:tc>
        <w:tc>
          <w:tcPr>
            <w:tcW w:type="dxa" w:w="2436"/>
          </w:tcPr>
          <w:p>
            <w:r>
              <w:t>Severity</w:t>
            </w:r>
          </w:p>
        </w:tc>
      </w:tr>
      <w:tr>
        <w:tc>
          <w:tcPr>
            <w:tcW w:type="dxa" w:w="2436"/>
          </w:tcPr>
          <w:p>
            <w:r>
              <w:t>BC-8.1</w:t>
            </w:r>
          </w:p>
        </w:tc>
        <w:tc>
          <w:tcPr>
            <w:tcW w:type="dxa" w:w="2436"/>
          </w:tcPr>
          <w:p>
            <w:r>
              <w:t>The issuing agency is named, with a contact (phone, email or website).</w:t>
            </w:r>
          </w:p>
        </w:tc>
        <w:tc>
          <w:tcPr>
            <w:tcW w:type="dxa" w:w="2436"/>
          </w:tcPr>
          <w:p>
            <w:r>
              <w:t>No agency name or no way to contact it.</w:t>
            </w:r>
          </w:p>
        </w:tc>
        <w:tc>
          <w:tcPr>
            <w:tcW w:type="dxa" w:w="2436"/>
          </w:tcPr>
          <w:p>
            <w:r>
              <w:t>Major</w:t>
            </w:r>
          </w:p>
        </w:tc>
      </w:tr>
      <w:tr>
        <w:tc>
          <w:tcPr>
            <w:tcW w:type="dxa" w:w="2436"/>
          </w:tcPr>
          <w:p>
            <w:r>
              <w:t>BC-8.2</w:t>
            </w:r>
          </w:p>
        </w:tc>
        <w:tc>
          <w:tcPr>
            <w:tcW w:type="dxa" w:w="2436"/>
          </w:tcPr>
          <w:p>
            <w:r>
              <w:t>Official channels only: a sarawak.gov.my (or agency .gov.my) website and official email; no personal or free webmail addresses.</w:t>
            </w:r>
          </w:p>
        </w:tc>
        <w:tc>
          <w:tcPr>
            <w:tcW w:type="dxa" w:w="2436"/>
          </w:tcPr>
          <w:p>
            <w:r>
              <w:t>gmail.com, yahoo.com, hotmail.com, personal phone numbers as the official contact.</w:t>
            </w:r>
          </w:p>
        </w:tc>
        <w:tc>
          <w:tcPr>
            <w:tcW w:type="dxa" w:w="2436"/>
          </w:tcPr>
          <w:p>
            <w:r>
              <w:t>Major</w:t>
            </w:r>
          </w:p>
        </w:tc>
      </w:tr>
      <w:tr>
        <w:tc>
          <w:tcPr>
            <w:tcW w:type="dxa" w:w="2436"/>
          </w:tcPr>
          <w:p>
            <w:r>
              <w:t>BC-8.3</w:t>
            </w:r>
          </w:p>
        </w:tc>
        <w:tc>
          <w:tcPr>
            <w:tcW w:type="dxa" w:w="2436"/>
          </w:tcPr>
          <w:p>
            <w:r>
              <w:t>Proposals and presentations show a date or version.</w:t>
            </w:r>
          </w:p>
        </w:tc>
        <w:tc>
          <w:tcPr>
            <w:tcW w:type="dxa" w:w="2436"/>
          </w:tcPr>
          <w:p>
            <w:r>
              <w:t>No date or version anywhere on a proposal, paper or slide deck.</w:t>
            </w:r>
          </w:p>
        </w:tc>
        <w:tc>
          <w:tcPr>
            <w:tcW w:type="dxa" w:w="2436"/>
          </w:tcPr>
          <w:p>
            <w:r>
              <w:t>Minor</w:t>
            </w:r>
          </w:p>
        </w:tc>
      </w:tr>
      <w:tr>
        <w:tc>
          <w:tcPr>
            <w:tcW w:type="dxa" w:w="2436"/>
          </w:tcPr>
          <w:p>
            <w:r>
              <w:t>BC-8.4</w:t>
            </w:r>
          </w:p>
        </w:tc>
        <w:tc>
          <w:tcPr>
            <w:tcW w:type="dxa" w:w="2436"/>
          </w:tcPr>
          <w:p>
            <w:r>
              <w:t>Proposals and papers carry a classification where applicable (e.g. TERHAD, Untuk Kegunaan Dalaman).</w:t>
            </w:r>
          </w:p>
        </w:tc>
        <w:tc>
          <w:tcPr>
            <w:tcW w:type="dxa" w:w="2436"/>
          </w:tcPr>
          <w:p>
            <w:r>
              <w:t>Internal papers with budgets or plans and no classification marking.</w:t>
            </w:r>
          </w:p>
        </w:tc>
        <w:tc>
          <w:tcPr>
            <w:tcW w:type="dxa" w:w="2436"/>
          </w:tcPr>
          <w:p>
            <w:r>
              <w:t>Minor</w:t>
            </w:r>
          </w:p>
        </w:tc>
      </w:tr>
    </w:tbl>
    <w:p>
      <w:pPr>
        <w:spacing w:before="200"/>
      </w:pPr>
      <w:r>
        <w:rPr>
          <w:b/>
          <w:color w:val="1A1A1A"/>
          <w:sz w:val="28"/>
        </w:rPr>
        <w:t>6. Review and clearance</w:t>
      </w:r>
    </w:p>
    <w:p>
      <w:pPr>
        <w:pStyle w:val="ListBullet"/>
      </w:pPr>
      <w:r>
        <w:t>Agencies submit material through the Branding Compliance workspace before any public use.</w:t>
      </w:r>
    </w:p>
    <w:p>
      <w:pPr>
        <w:pStyle w:val="ListBullet"/>
      </w:pPr>
      <w:r>
        <w:t>Each submission is reviewed against these rules; findings name the rule, the page and the place on the page.</w:t>
      </w:r>
    </w:p>
    <w:p>
      <w:pPr>
        <w:pStyle w:val="ListBullet"/>
      </w:pPr>
      <w:r>
        <w:t>A UKAS brand officer clears the material for public use, issuing a clearance reference, or returns it with what must change.</w:t>
      </w:r>
    </w:p>
    <w:p>
      <w:pPr>
        <w:pStyle w:val="ListBullet"/>
      </w:pPr>
      <w:r>
        <w:t>A returned submission is revised and resubmitted; every version and decision is kept.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