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E1126"/>
          <w:sz w:val="18"/>
        </w:rPr>
        <w:t>KERAJAAN SARAWAK · SARAWAK GOVERNMENT</w:t>
      </w:r>
    </w:p>
    <w:p>
      <w:pPr>
        <w:spacing w:before="80"/>
      </w:pPr>
      <w:r>
        <w:rPr>
          <w:b/>
          <w:color w:val="1A1A1A"/>
          <w:sz w:val="40"/>
        </w:rPr>
        <w:t>Sarawak Government Brand Guide</w:t>
      </w:r>
    </w:p>
    <w:p>
      <w:r>
        <w:t>Draft v0.2 · Unit Komunikasi Awam Sarawak (UKAS), Premier's Department</w:t>
      </w:r>
    </w:p>
    <w:p>
      <w:r>
        <w:rPr>
          <w:i/>
          <w:color w:val="6B6B6B"/>
          <w:sz w:val="18"/>
        </w:rPr>
        <w:t>Draft. No complete Sarawak brand guide is published yet. Rules marked Official come from the State Secretary's circulars; the rest are good practice until UKAS publishes a full guide.</w:t>
      </w:r>
    </w:p>
    <w:p>
      <w:pPr>
        <w:spacing w:before="200"/>
      </w:pPr>
      <w:r>
        <w:rPr>
          <w:b/>
          <w:color w:val="1A1A1A"/>
          <w:sz w:val="28"/>
        </w:rPr>
        <w:t>1. What this guide is</w:t>
      </w:r>
    </w:p>
    <w:p>
      <w:r>
        <w:t>Every design an agency sends out, from slides and brochures to posters and social posts, is checked against the 34 rules in this guide. 6 rules are official. The check takes about a minute and shows what to fix and where.</w:t>
      </w:r>
    </w:p>
    <w:p>
      <w:pPr>
        <w:spacing w:before="200"/>
      </w:pPr>
      <w:r>
        <w:rPr>
          <w:b/>
          <w:color w:val="1A1A1A"/>
          <w:sz w:val="28"/>
        </w:rPr>
        <w:t>2. What the result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t>Result</w:t>
            </w:r>
          </w:p>
        </w:tc>
        <w:tc>
          <w:tcPr>
            <w:tcW w:type="dxa" w:w="6236"/>
          </w:tcPr>
          <w:p>
            <w:r>
              <w:t>What it means</w:t>
            </w:r>
          </w:p>
        </w:tc>
      </w:tr>
      <w:tr>
        <w:tc>
          <w:tcPr>
            <w:tcW w:type="dxa" w:w="2835"/>
          </w:tcPr>
          <w:p>
            <w:r>
              <w:t>Ready to publish</w:t>
            </w:r>
          </w:p>
        </w:tc>
        <w:tc>
          <w:tcPr>
            <w:tcW w:type="dxa" w:w="6236"/>
          </w:tcPr>
          <w:p>
            <w:r>
              <w:t>Nothing important is missing. It can go to the brand officer for approval.</w:t>
            </w:r>
          </w:p>
        </w:tc>
      </w:tr>
      <w:tr>
        <w:tc>
          <w:tcPr>
            <w:tcW w:type="dxa" w:w="2835"/>
          </w:tcPr>
          <w:p>
            <w:r>
              <w:t>Needs small fixes</w:t>
            </w:r>
          </w:p>
        </w:tc>
        <w:tc>
          <w:tcPr>
            <w:tcW w:type="dxa" w:w="6236"/>
          </w:tcPr>
          <w:p>
            <w:r>
              <w:t>A few things should change. The brand officer may still approve it.</w:t>
            </w:r>
          </w:p>
        </w:tc>
      </w:tr>
      <w:tr>
        <w:tc>
          <w:tcPr>
            <w:tcW w:type="dxa" w:w="2835"/>
          </w:tcPr>
          <w:p>
            <w:r>
              <w:t>Must fix before publishing</w:t>
            </w:r>
          </w:p>
        </w:tc>
        <w:tc>
          <w:tcPr>
            <w:tcW w:type="dxa" w:w="6236"/>
          </w:tcPr>
          <w:p>
            <w:r>
              <w:t>Something important is wrong, such as the crest or an official title. Fix it before it goes out.</w:t>
            </w:r>
          </w:p>
        </w:tc>
      </w:tr>
    </w:tbl>
    <w:p>
      <w:pPr>
        <w:spacing w:before="200"/>
      </w:pPr>
      <w:r>
        <w:rPr>
          <w:b/>
          <w:color w:val="1A1A1A"/>
          <w:sz w:val="28"/>
        </w:rPr>
        <w:t>3. Colours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>
              <w:t>Colour</w:t>
            </w:r>
          </w:p>
        </w:tc>
        <w:tc>
          <w:tcPr>
            <w:tcW w:type="dxa" w:w="2835"/>
          </w:tcPr>
          <w:p>
            <w:r>
              <w:t>Use</w:t>
            </w:r>
          </w:p>
        </w:tc>
        <w:tc>
          <w:tcPr>
            <w:tcW w:type="dxa" w:w="3402"/>
          </w:tcPr>
          <w:p>
            <w:r>
              <w:t>Code</w:t>
            </w:r>
          </w:p>
        </w:tc>
      </w:tr>
      <w:tr>
        <w:tc>
          <w:tcPr>
            <w:tcW w:type="dxa" w:w="2835"/>
          </w:tcPr>
          <w:p>
            <w:r>
              <w:t>Sarawak Red</w:t>
            </w:r>
          </w:p>
        </w:tc>
        <w:tc>
          <w:tcPr>
            <w:tcW w:type="dxa" w:w="2835"/>
          </w:tcPr>
          <w:p>
            <w:r>
              <w:t>Main colour</w:t>
            </w:r>
          </w:p>
        </w:tc>
        <w:tc>
          <w:tcPr>
            <w:tcW w:type="dxa" w:w="3402"/>
          </w:tcPr>
          <w:p>
            <w:r>
              <w:t>#CE1126</w:t>
            </w:r>
          </w:p>
        </w:tc>
      </w:tr>
      <w:tr>
        <w:tc>
          <w:tcPr>
            <w:tcW w:type="dxa" w:w="2835"/>
          </w:tcPr>
          <w:p>
            <w:r>
              <w:t>Sarawak Yellow</w:t>
            </w:r>
          </w:p>
        </w:tc>
        <w:tc>
          <w:tcPr>
            <w:tcW w:type="dxa" w:w="2835"/>
          </w:tcPr>
          <w:p>
            <w:r>
              <w:t>Main colour</w:t>
            </w:r>
          </w:p>
        </w:tc>
        <w:tc>
          <w:tcPr>
            <w:tcW w:type="dxa" w:w="3402"/>
          </w:tcPr>
          <w:p>
            <w:r>
              <w:t>#FFD100</w:t>
            </w:r>
          </w:p>
        </w:tc>
      </w:tr>
      <w:tr>
        <w:tc>
          <w:tcPr>
            <w:tcW w:type="dxa" w:w="2835"/>
          </w:tcPr>
          <w:p>
            <w:r>
              <w:t>Sarawak Black</w:t>
            </w:r>
          </w:p>
        </w:tc>
        <w:tc>
          <w:tcPr>
            <w:tcW w:type="dxa" w:w="2835"/>
          </w:tcPr>
          <w:p>
            <w:r>
              <w:t>Main colour</w:t>
            </w:r>
          </w:p>
        </w:tc>
        <w:tc>
          <w:tcPr>
            <w:tcW w:type="dxa" w:w="3402"/>
          </w:tcPr>
          <w:p>
            <w:r>
              <w:t>#1A1A1A</w:t>
            </w:r>
          </w:p>
        </w:tc>
      </w:tr>
      <w:tr>
        <w:tc>
          <w:tcPr>
            <w:tcW w:type="dxa" w:w="2835"/>
          </w:tcPr>
          <w:p>
            <w:r>
              <w:t>White</w:t>
            </w:r>
          </w:p>
        </w:tc>
        <w:tc>
          <w:tcPr>
            <w:tcW w:type="dxa" w:w="2835"/>
          </w:tcPr>
          <w:p>
            <w:r>
              <w:t>Support</w:t>
            </w:r>
          </w:p>
        </w:tc>
        <w:tc>
          <w:tcPr>
            <w:tcW w:type="dxa" w:w="3402"/>
          </w:tcPr>
          <w:p>
            <w:r>
              <w:t>#FFFFFF</w:t>
            </w:r>
          </w:p>
        </w:tc>
      </w:tr>
      <w:tr>
        <w:tc>
          <w:tcPr>
            <w:tcW w:type="dxa" w:w="2835"/>
          </w:tcPr>
          <w:p>
            <w:r>
              <w:t>Warm Grey</w:t>
            </w:r>
          </w:p>
        </w:tc>
        <w:tc>
          <w:tcPr>
            <w:tcW w:type="dxa" w:w="2835"/>
          </w:tcPr>
          <w:p>
            <w:r>
              <w:t>Support</w:t>
            </w:r>
          </w:p>
        </w:tc>
        <w:tc>
          <w:tcPr>
            <w:tcW w:type="dxa" w:w="3402"/>
          </w:tcPr>
          <w:p>
            <w:r>
              <w:t>#6B6B6B</w:t>
            </w:r>
          </w:p>
        </w:tc>
      </w:tr>
      <w:tr>
        <w:tc>
          <w:tcPr>
            <w:tcW w:type="dxa" w:w="2835"/>
          </w:tcPr>
          <w:p>
            <w:r>
              <w:t>Light Grey</w:t>
            </w:r>
          </w:p>
        </w:tc>
        <w:tc>
          <w:tcPr>
            <w:tcW w:type="dxa" w:w="2835"/>
          </w:tcPr>
          <w:p>
            <w:r>
              <w:t>Support</w:t>
            </w:r>
          </w:p>
        </w:tc>
        <w:tc>
          <w:tcPr>
            <w:tcW w:type="dxa" w:w="3402"/>
          </w:tcPr>
          <w:p>
            <w:r>
              <w:t>#F2F2F2</w:t>
            </w:r>
          </w:p>
        </w:tc>
      </w:tr>
    </w:tbl>
    <w:p>
      <w:r>
        <w:rPr>
          <w:i/>
          <w:color w:val="6B6B6B"/>
          <w:sz w:val="18"/>
        </w:rPr>
        <w:t>No official colour codes are published. These come from the state flag.</w:t>
      </w:r>
    </w:p>
    <w:p>
      <w:pPr>
        <w:spacing w:before="200"/>
      </w:pPr>
      <w:r>
        <w:rPr>
          <w:b/>
          <w:color w:val="1A1A1A"/>
          <w:sz w:val="28"/>
        </w:rPr>
        <w:t>4. Fonts</w:t>
      </w:r>
    </w:p>
    <w:p>
      <w:r>
        <w:t>Headings: Montserrat (Bold / SemiBold). Text: Open Sans (Regular / SemiBold). If you don't have them: Arial.</w:t>
      </w:r>
    </w:p>
    <w:p>
      <w:r>
        <w:rPr>
          <w:i/>
          <w:color w:val="6B6B6B"/>
          <w:sz w:val="18"/>
        </w:rPr>
        <w:t>No official fonts are published. These are placeholders.</w:t>
      </w:r>
    </w:p>
    <w:p>
      <w:pPr>
        <w:spacing w:before="200"/>
      </w:pPr>
      <w:r>
        <w:rPr>
          <w:b/>
          <w:color w:val="1A1A1A"/>
          <w:sz w:val="28"/>
        </w:rPr>
        <w:t>5. Good to know</w:t>
      </w:r>
    </w:p>
    <w:p>
      <w:pPr>
        <w:pStyle w:val="ListBullet"/>
      </w:pPr>
      <w:r>
        <w:t>Only ministries and government departments may use the State Crest freely. Statutory bodies and other organisations need the State Secretary's written permission first. (Circular Memorandum 47/75; Cap. 53, s.6)</w:t>
      </w:r>
    </w:p>
    <w:p>
      <w:pPr>
        <w:pStyle w:val="ListBullet"/>
      </w:pPr>
      <w:r>
        <w:t>Crest sizes: 2.5 cm wide × 3 cm high on official letters and forms; 4 × 4 cm on file covers; 4.5 × 5 cm on the right side of a corporate shirt; 25.4 × 20 cm on official vehicle stickers. (Surat Pekeliling Bil. 11/2022, para 3.2)</w:t>
      </w:r>
    </w:p>
    <w:p>
      <w:pPr>
        <w:pStyle w:val="ListBullet"/>
      </w:pPr>
      <w:r>
        <w:t>The department is Jabatan Premier Sarawak (JPS), no longer Jabatan Ketua Menteri (JKM). (Surat Pekeliling Bil. 11/2022)</w:t>
      </w:r>
    </w:p>
    <w:p>
      <w:pPr>
        <w:spacing w:before="200"/>
      </w:pPr>
      <w:r>
        <w:rPr>
          <w:b/>
          <w:color w:val="1A1A1A"/>
          <w:sz w:val="28"/>
        </w:rPr>
        <w:t>6. The rules</w:t>
      </w:r>
    </w:p>
    <w:p>
      <w:r>
        <w:t>Must fix: the design should not go out until it is fixed. Should fix: change it unless there is a good reason. Tip: worth doing.</w:t>
      </w:r>
    </w:p>
    <w:p>
      <w:pPr>
        <w:spacing w:before="160"/>
      </w:pPr>
      <w:r>
        <w:rPr>
          <w:b/>
          <w:color w:val="CE1126"/>
          <w:sz w:val="24"/>
        </w:rPr>
        <w:t>Crest and logos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Crest is on it</w:t>
            </w:r>
          </w:p>
        </w:tc>
        <w:tc>
          <w:tcPr>
            <w:tcW w:type="dxa" w:w="4195"/>
          </w:tcPr>
          <w:p>
            <w:r>
              <w:t>Put the Sarawak crest on the cover or first page.</w:t>
            </w:r>
          </w:p>
        </w:tc>
        <w:tc>
          <w:tcPr>
            <w:tcW w:type="dxa" w:w="1247"/>
          </w:tcPr>
          <w:p>
            <w:r>
              <w:t>Must fix</w:t>
            </w:r>
          </w:p>
        </w:tc>
        <w:tc>
          <w:tcPr>
            <w:tcW w:type="dxa" w:w="2041"/>
          </w:tcPr>
          <w:p>
            <w:r>
              <w:t>Official: Perj. Bil. 3/2011, para 3</w:t>
            </w:r>
          </w:p>
        </w:tc>
      </w:tr>
      <w:tr>
        <w:tc>
          <w:tcPr>
            <w:tcW w:type="dxa" w:w="2041"/>
          </w:tcPr>
          <w:p>
            <w:r>
              <w:t>Crest has space around it</w:t>
            </w:r>
          </w:p>
        </w:tc>
        <w:tc>
          <w:tcPr>
            <w:tcW w:type="dxa" w:w="4195"/>
          </w:tcPr>
          <w:p>
            <w:r>
              <w:t>Place the crest at the top, with empty space around it.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Official: Perj. Bil. 3/2011, para 2</w:t>
            </w:r>
          </w:p>
        </w:tc>
      </w:tr>
      <w:tr>
        <w:tc>
          <w:tcPr>
            <w:tcW w:type="dxa" w:w="2041"/>
          </w:tcPr>
          <w:p>
            <w:r>
              <w:t>Crest is not changed</w:t>
            </w:r>
          </w:p>
        </w:tc>
        <w:tc>
          <w:tcPr>
            <w:tcW w:type="dxa" w:w="4195"/>
          </w:tcPr>
          <w:p>
            <w:r>
              <w:t>Don't stretch, crop, turn or recolour the crest.</w:t>
            </w:r>
          </w:p>
        </w:tc>
        <w:tc>
          <w:tcPr>
            <w:tcW w:type="dxa" w:w="1247"/>
          </w:tcPr>
          <w:p>
            <w:r>
              <w:t>Must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Agency logo is not bigger</w:t>
            </w:r>
          </w:p>
        </w:tc>
        <w:tc>
          <w:tcPr>
            <w:tcW w:type="dxa" w:w="4195"/>
          </w:tcPr>
          <w:p>
            <w:r>
              <w:t>Put your agency logo to the right of the crest, no bigger than it.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No political party material</w:t>
            </w:r>
          </w:p>
        </w:tc>
        <w:tc>
          <w:tcPr>
            <w:tcW w:type="dxa" w:w="4195"/>
          </w:tcPr>
          <w:p>
            <w:r>
              <w:t>Leave out party logos, slogans and party colours.</w:t>
            </w:r>
          </w:p>
        </w:tc>
        <w:tc>
          <w:tcPr>
            <w:tcW w:type="dxa" w:w="1247"/>
          </w:tcPr>
          <w:p>
            <w:r>
              <w:t>Must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Current names and logos</w:t>
            </w:r>
          </w:p>
        </w:tc>
        <w:tc>
          <w:tcPr>
            <w:tcW w:type="dxa" w:w="4195"/>
          </w:tcPr>
          <w:p>
            <w:r>
              <w:t>Use current names and logos, e.g. "Jabatan Premier Sarawak", not "Jabatan Ketua Menteri".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Official: Surat Pekeliling Bil. 11/2022; Pekeliling Perjawatan Bil. 3/2020</w:t>
            </w:r>
          </w:p>
        </w:tc>
      </w:tr>
      <w:tr>
        <w:tc>
          <w:tcPr>
            <w:tcW w:type="dxa" w:w="2041"/>
          </w:tcPr>
          <w:p>
            <w:r>
              <w:t>State mottos are shown</w:t>
            </w:r>
          </w:p>
        </w:tc>
        <w:tc>
          <w:tcPr>
            <w:tcW w:type="dxa" w:w="4195"/>
          </w:tcPr>
          <w:p>
            <w:r>
              <w:t>Show "Bersatu Berusaha Berbakti" with "An Honour To Serve" below it on slides, backdrops and official papers.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Official: Perj. Bil. 3/2011, paras 2–3</w:t>
            </w:r>
          </w:p>
        </w:tc>
      </w:tr>
      <w:tr>
        <w:tc>
          <w:tcPr>
            <w:tcW w:type="dxa" w:w="2041"/>
          </w:tcPr>
          <w:p>
            <w:r>
              <w:t>"One Government" logo only at counters</w:t>
            </w:r>
          </w:p>
        </w:tc>
        <w:tc>
          <w:tcPr>
            <w:tcW w:type="dxa" w:w="4195"/>
          </w:tcPr>
          <w:p>
            <w:r>
              <w:t>Use the "One Government At Your Service" logo only on service counter signs.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Official: Perj. Bil. 3/2011, para 4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Colours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State colours lead</w:t>
            </w:r>
          </w:p>
        </w:tc>
        <w:tc>
          <w:tcPr>
            <w:tcW w:type="dxa" w:w="4195"/>
          </w:tcPr>
          <w:p>
            <w:r>
              <w:t>Use red, yellow and black as the main colours.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No other main colour</w:t>
            </w:r>
          </w:p>
        </w:tc>
        <w:tc>
          <w:tcPr>
            <w:tcW w:type="dxa" w:w="4195"/>
          </w:tcPr>
          <w:p>
            <w:r>
              <w:t>Use white and greys to support. Don't make another colour the main one.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Flat colours</w:t>
            </w:r>
          </w:p>
        </w:tc>
        <w:tc>
          <w:tcPr>
            <w:tcW w:type="dxa" w:w="4195"/>
          </w:tcPr>
          <w:p>
            <w:r>
              <w:t>Keep colours flat. No gradients, glows or filters.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Fonts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Right fonts</w:t>
            </w:r>
          </w:p>
        </w:tc>
        <w:tc>
          <w:tcPr>
            <w:tcW w:type="dxa" w:w="4195"/>
          </w:tcPr>
          <w:p>
            <w:r>
              <w:t>Use Montserrat for headings and Open Sans for text. Use Arial if you don't have them.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Two fonts at most</w:t>
            </w:r>
          </w:p>
        </w:tc>
        <w:tc>
          <w:tcPr>
            <w:tcW w:type="dxa" w:w="4195"/>
          </w:tcPr>
          <w:p>
            <w:r>
              <w:t>Use two fonts at most. No comic, handwriting or fancy fonts.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Text is big enough</w:t>
            </w:r>
          </w:p>
        </w:tc>
        <w:tc>
          <w:tcPr>
            <w:tcW w:type="dxa" w:w="4195"/>
          </w:tcPr>
          <w:p>
            <w:r>
              <w:t>Make text big enough to read: 10 pt in print, 24 px on slides, 16 px on screens.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Words and names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Language is consistent</w:t>
            </w:r>
          </w:p>
        </w:tc>
        <w:tc>
          <w:tcPr>
            <w:tcW w:type="dxa" w:w="4195"/>
          </w:tcPr>
          <w:p>
            <w:r>
              <w:t>Use Bahasa Melayu, English or both. If both, keep them equal and the translation correct.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Correct official titles</w:t>
            </w:r>
          </w:p>
        </w:tc>
        <w:tc>
          <w:tcPr>
            <w:tcW w:type="dxa" w:w="4195"/>
          </w:tcPr>
          <w:p>
            <w:r>
              <w:t>Say "Premier of Sarawak", not "Chief Minister". Say "Sarawak Government".</w:t>
            </w:r>
          </w:p>
        </w:tc>
        <w:tc>
          <w:tcPr>
            <w:tcW w:type="dxa" w:w="1247"/>
          </w:tcPr>
          <w:p>
            <w:r>
              <w:t>Must fix</w:t>
            </w:r>
          </w:p>
        </w:tc>
        <w:tc>
          <w:tcPr>
            <w:tcW w:type="dxa" w:w="2041"/>
          </w:tcPr>
          <w:p>
            <w:r>
              <w:t>Official: Surat Pekeliling Bil. 11/2022</w:t>
            </w:r>
          </w:p>
        </w:tc>
      </w:tr>
      <w:tr>
        <w:tc>
          <w:tcPr>
            <w:tcW w:type="dxa" w:w="2041"/>
          </w:tcPr>
          <w:p>
            <w:r>
              <w:t>Full name before short form</w:t>
            </w:r>
          </w:p>
        </w:tc>
        <w:tc>
          <w:tcPr>
            <w:tcW w:type="dxa" w:w="4195"/>
          </w:tcPr>
          <w:p>
            <w:r>
              <w:t>Write your agency's full name before using its short form.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Spelling is right</w:t>
            </w:r>
          </w:p>
        </w:tc>
        <w:tc>
          <w:tcPr>
            <w:tcW w:type="dxa" w:w="4195"/>
          </w:tcPr>
          <w:p>
            <w:r>
              <w:t>Check spelling, grammar and place names.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VIP titles and order</w:t>
            </w:r>
          </w:p>
        </w:tc>
        <w:tc>
          <w:tcPr>
            <w:tcW w:type="dxa" w:w="4195"/>
          </w:tcPr>
          <w:p>
            <w:r>
              <w:t>Give VIPs their proper titles and list them in the right order.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State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Linked to the state plan</w:t>
            </w:r>
          </w:p>
        </w:tc>
        <w:tc>
          <w:tcPr>
            <w:tcW w:type="dxa" w:w="4195"/>
          </w:tcPr>
          <w:p>
            <w:r>
              <w:t>Show which goal of the state's 2030 plan (PCDS 2030) this supports.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Agrees with state policy</w:t>
            </w:r>
          </w:p>
        </w:tc>
        <w:tc>
          <w:tcPr>
            <w:tcW w:type="dxa" w:w="4195"/>
          </w:tcPr>
          <w:p>
            <w:r>
              <w:t>Don't say anything that goes against state policy.</w:t>
            </w:r>
          </w:p>
        </w:tc>
        <w:tc>
          <w:tcPr>
            <w:tcW w:type="dxa" w:w="1247"/>
          </w:tcPr>
          <w:p>
            <w:r>
              <w:t>Must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Numbers are backed up</w:t>
            </w:r>
          </w:p>
        </w:tc>
        <w:tc>
          <w:tcPr>
            <w:tcW w:type="dxa" w:w="4195"/>
          </w:tcPr>
          <w:p>
            <w:r>
              <w:t>Give a source for figures, budgets and dates. Don't promise more than was approved.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Vision quoted exactly</w:t>
            </w:r>
          </w:p>
        </w:tc>
        <w:tc>
          <w:tcPr>
            <w:tcW w:type="dxa" w:w="4195"/>
          </w:tcPr>
          <w:p>
            <w:r>
              <w:t>If you quote the state vision, use the exact words.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Photos and images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Real Sarawak people and places</w:t>
            </w:r>
          </w:p>
        </w:tc>
        <w:tc>
          <w:tcPr>
            <w:tcW w:type="dxa" w:w="4195"/>
          </w:tcPr>
          <w:p>
            <w:r>
              <w:t>Show real Sarawak people and places, and include communities fairly.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Sharp photos</w:t>
            </w:r>
          </w:p>
        </w:tc>
        <w:tc>
          <w:tcPr>
            <w:tcW w:type="dxa" w:w="4195"/>
          </w:tcPr>
          <w:p>
            <w:r>
              <w:t>Use sharp photos. No blurry, stretched or watermarked images.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Permission from people shown</w:t>
            </w:r>
          </w:p>
        </w:tc>
        <w:tc>
          <w:tcPr>
            <w:tcW w:type="dxa" w:w="4195"/>
          </w:tcPr>
          <w:p>
            <w:r>
              <w:t>Get permission from people who can be recognised, especially children.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Cultural patterns used with respect</w:t>
            </w:r>
          </w:p>
        </w:tc>
        <w:tc>
          <w:tcPr>
            <w:tcW w:type="dxa" w:w="4195"/>
          </w:tcPr>
          <w:p>
            <w:r>
              <w:t>Use cultural patterns with respect, not as background filler.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Maps are correct</w:t>
            </w:r>
          </w:p>
        </w:tc>
        <w:tc>
          <w:tcPr>
            <w:tcW w:type="dxa" w:w="4195"/>
          </w:tcPr>
          <w:p>
            <w:r>
              <w:t>Draw Sarawak's borders correctly on maps.</w:t>
            </w:r>
          </w:p>
        </w:tc>
        <w:tc>
          <w:tcPr>
            <w:tcW w:type="dxa" w:w="1247"/>
          </w:tcPr>
          <w:p>
            <w:r>
              <w:t>Must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Easy to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Text stands out</w:t>
            </w:r>
          </w:p>
        </w:tc>
        <w:tc>
          <w:tcPr>
            <w:tcW w:type="dxa" w:w="4195"/>
          </w:tcPr>
          <w:p>
            <w:r>
              <w:t>Make text stand out from its background. No yellow on white.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Not colour alone</w:t>
            </w:r>
          </w:p>
        </w:tc>
        <w:tc>
          <w:tcPr>
            <w:tcW w:type="dxa" w:w="4195"/>
          </w:tcPr>
          <w:p>
            <w:r>
              <w:t>Don't rely on colour alone to show meaning. Add a label or icon.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160"/>
      </w:pPr>
      <w:r>
        <w:rPr>
          <w:b/>
          <w:color w:val="CE1126"/>
          <w:sz w:val="24"/>
        </w:rPr>
        <w:t>Contact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>
              <w:t>Rule</w:t>
            </w:r>
          </w:p>
        </w:tc>
        <w:tc>
          <w:tcPr>
            <w:tcW w:type="dxa" w:w="4195"/>
          </w:tcPr>
          <w:p>
            <w:r>
              <w:t>What to do</w:t>
            </w:r>
          </w:p>
        </w:tc>
        <w:tc>
          <w:tcPr>
            <w:tcW w:type="dxa" w:w="1247"/>
          </w:tcPr>
          <w:p>
            <w:r>
              <w:t>If missed</w:t>
            </w:r>
          </w:p>
        </w:tc>
        <w:tc>
          <w:tcPr>
            <w:tcW w:type="dxa" w:w="2041"/>
          </w:tcPr>
          <w:p>
            <w:r>
              <w:t>Source</w:t>
            </w:r>
          </w:p>
        </w:tc>
      </w:tr>
      <w:tr>
        <w:tc>
          <w:tcPr>
            <w:tcW w:type="dxa" w:w="2041"/>
          </w:tcPr>
          <w:p>
            <w:r>
              <w:t>Who it's from and how to reach you</w:t>
            </w:r>
          </w:p>
        </w:tc>
        <w:tc>
          <w:tcPr>
            <w:tcW w:type="dxa" w:w="4195"/>
          </w:tcPr>
          <w:p>
            <w:r>
              <w:t>Show your agency's name and a phone number, email or website.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Official contacts only</w:t>
            </w:r>
          </w:p>
        </w:tc>
        <w:tc>
          <w:tcPr>
            <w:tcW w:type="dxa" w:w="4195"/>
          </w:tcPr>
          <w:p>
            <w:r>
              <w:t>Use official .gov.my websites and emails. No Gmail or personal numbers.</w:t>
            </w:r>
          </w:p>
        </w:tc>
        <w:tc>
          <w:tcPr>
            <w:tcW w:type="dxa" w:w="1247"/>
          </w:tcPr>
          <w:p>
            <w:r>
              <w:t>Should fix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Date or version</w:t>
            </w:r>
          </w:p>
        </w:tc>
        <w:tc>
          <w:tcPr>
            <w:tcW w:type="dxa" w:w="4195"/>
          </w:tcPr>
          <w:p>
            <w:r>
              <w:t>Put a date or version number on proposals and slides.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  <w:tr>
        <w:tc>
          <w:tcPr>
            <w:tcW w:type="dxa" w:w="2041"/>
          </w:tcPr>
          <w:p>
            <w:r>
              <w:t>Security marking</w:t>
            </w:r>
          </w:p>
        </w:tc>
        <w:tc>
          <w:tcPr>
            <w:tcW w:type="dxa" w:w="4195"/>
          </w:tcPr>
          <w:p>
            <w:r>
              <w:t>Mark internal papers, e.g. TERHAD or "Untuk Kegunaan Dalaman".</w:t>
            </w:r>
          </w:p>
        </w:tc>
        <w:tc>
          <w:tcPr>
            <w:tcW w:type="dxa" w:w="1247"/>
          </w:tcPr>
          <w:p>
            <w:r>
              <w:t>Tip</w:t>
            </w:r>
          </w:p>
        </w:tc>
        <w:tc>
          <w:tcPr>
            <w:tcW w:type="dxa" w:w="2041"/>
          </w:tcPr>
          <w:p>
            <w:r>
              <w:t>Good practice</w:t>
            </w:r>
          </w:p>
        </w:tc>
      </w:tr>
    </w:tbl>
    <w:p>
      <w:pPr>
        <w:spacing w:before="200"/>
      </w:pPr>
      <w:r>
        <w:rPr>
          <w:b/>
          <w:color w:val="1A1A1A"/>
          <w:sz w:val="28"/>
        </w:rPr>
        <w:t>7. How approval works</w:t>
      </w:r>
    </w:p>
    <w:p>
      <w:pPr>
        <w:pStyle w:val="ListBullet"/>
      </w:pPr>
      <w:r>
        <w:t>The agency uploads the design. It is checked against these rules straight away.</w:t>
      </w:r>
    </w:p>
    <w:p>
      <w:pPr>
        <w:pStyle w:val="ListBullet"/>
      </w:pPr>
      <w:r>
        <w:t>The check shows each thing to fix, with the page and a mark on the spot.</w:t>
      </w:r>
    </w:p>
    <w:p>
      <w:pPr>
        <w:pStyle w:val="ListBullet"/>
      </w:pPr>
      <w:r>
        <w:t>A UKAS brand officer approves it for public use and gives an approval number, or sends it back with what to change.</w:t>
      </w:r>
    </w:p>
    <w:p>
      <w:pPr>
        <w:pStyle w:val="ListBullet"/>
      </w:pPr>
      <w:r>
        <w:t>The agency uploads a new version, which is checked again. Every version and decision is kept.</w:t>
      </w:r>
    </w:p>
    <w:p>
      <w:pPr>
        <w:spacing w:before="200"/>
      </w:pPr>
      <w:r>
        <w:rPr>
          <w:b/>
          <w:color w:val="1A1A1A"/>
          <w:sz w:val="28"/>
        </w:rPr>
        <w:t>8. Where the official rules come from</w:t>
      </w:r>
    </w:p>
    <w:p>
      <w:pPr>
        <w:pStyle w:val="ListBullet"/>
      </w:pPr>
      <w:r>
        <w:rPr>
          <w:b/>
        </w:rPr>
        <w:t>Surat Pekeliling Perj. Bil. 3/2011</w:t>
      </w:r>
      <w:r>
        <w:t xml:space="preserve"> — Penggunaan Logo Kenyalang, Motto "An Honour To Serve" bersama-sama "Bersatu Berusaha Berbakti" dan Logo "One Government At Your Service". Setiausaha Kerajaan Sarawak, 21 Jan 2011. https://ecircular.sarawak.gov.my/view_circular.php?id=8490</w:t>
      </w:r>
    </w:p>
    <w:p>
      <w:pPr>
        <w:pStyle w:val="ListBullet"/>
      </w:pPr>
      <w:r>
        <w:rPr>
          <w:b/>
        </w:rPr>
        <w:t>Surat Pekeliling Bil. 11/2022</w:t>
      </w:r>
      <w:r>
        <w:t xml:space="preserve"> — Penggunaan Logo dan Nama Jabatan Premier Sarawak bagi Urusan Rasmi Kerajaan. Setiausaha Kerajaan Sarawak (Jabatan Premier Sarawak), 21 Nov 2022. https://ecircular.sarawak.gov.my/view_circular.php?id=9217</w:t>
      </w:r>
    </w:p>
    <w:p>
      <w:pPr>
        <w:pStyle w:val="ListBullet"/>
      </w:pPr>
      <w:r>
        <w:rPr>
          <w:b/>
        </w:rPr>
        <w:t>Pekeliling Perjawatan Bil. 3/2020</w:t>
      </w:r>
      <w:r>
        <w:t xml:space="preserve"> — Renamed units to be referred to by their new names. Setiausaha Kerajaan Sarawak, 3 Feb 2020. https://ecircular.sarawak.gov.my/view_circular.php?id=8981</w:t>
      </w:r>
    </w:p>
    <w:p>
      <w:pPr>
        <w:pStyle w:val="ListBullet"/>
      </w:pPr>
      <w:r>
        <w:rPr>
          <w:b/>
        </w:rPr>
        <w:t>Circular Memorandum No. 47/75</w:t>
      </w:r>
      <w:r>
        <w:t xml:space="preserve"> — Use of State Crest. State Secretary, 29 Nov 1975. https://ecircular.sarawak.gov.my/view_circular.php?id=5335</w:t>
      </w:r>
    </w:p>
    <w:p>
      <w:pPr>
        <w:pStyle w:val="ListBullet"/>
      </w:pPr>
      <w:r>
        <w:rPr>
          <w:b/>
        </w:rPr>
        <w:t>State Anthem and Emblems Ordinance 2002 (Cap. 53)</w:t>
      </w:r>
      <w:r>
        <w:t xml:space="preserve"> — Protects the State Flag and State Crest; use needs the State Secretary's written permission. Laws of Sarawak, 2002. https://lawnet.sarawak.gov.my/lawnet_file/Ordinance/ORD_CAP.%2053%20LawNet%202024.pdf</w:t>
      </w:r>
    </w:p>
    <w:p>
      <w:r>
        <w:rPr>
          <w:i/>
          <w:color w:val="6B6B6B"/>
          <w:sz w:val="18"/>
        </w:rPr>
        <w:t>Circulars are public on eCircular, the Sarawak Government's circular portal (ecircular.sarawak.gov.my).</w:t>
      </w:r>
    </w:p>
    <w:p>
      <w:pPr>
        <w:spacing w:before="280"/>
      </w:pPr>
      <w:r>
        <w:rPr>
          <w:b/>
          <w:color w:val="1A1A1A"/>
          <w:sz w:val="24"/>
        </w:rPr>
        <w:t>Appendix: exact wording for brand officers</w:t>
      </w:r>
    </w:p>
    <w:p>
      <w:r>
        <w:t>The guideline wording and what the check looks for, by rule number.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</w:tcPr>
          <w:p>
            <w:r>
              <w:t>No.</w:t>
            </w:r>
          </w:p>
        </w:tc>
        <w:tc>
          <w:tcPr>
            <w:tcW w:type="dxa" w:w="4082"/>
          </w:tcPr>
          <w:p>
            <w:r>
              <w:t>Rule</w:t>
            </w:r>
          </w:p>
        </w:tc>
        <w:tc>
          <w:tcPr>
            <w:tcW w:type="dxa" w:w="4535"/>
          </w:tcPr>
          <w:p>
            <w:r>
              <w:t>What the check looks for</w:t>
            </w:r>
          </w:p>
        </w:tc>
      </w:tr>
      <w:tr>
        <w:tc>
          <w:tcPr>
            <w:tcW w:type="dxa" w:w="907"/>
          </w:tcPr>
          <w:p>
            <w:r>
              <w:t>BC-1.1</w:t>
            </w:r>
          </w:p>
        </w:tc>
        <w:tc>
          <w:tcPr>
            <w:tcW w:type="dxa" w:w="4082"/>
          </w:tcPr>
          <w:p>
            <w:r>
              <w:t>Material for public use carries the Sarawak state crest (Jata Negeri Sarawak).</w:t>
            </w:r>
          </w:p>
        </w:tc>
        <w:tc>
          <w:tcPr>
            <w:tcW w:type="dxa" w:w="4535"/>
          </w:tcPr>
          <w:p>
            <w:r>
              <w:t>The crest is present on the cover or first page/slide and on every standalone poster or post.</w:t>
            </w:r>
          </w:p>
        </w:tc>
      </w:tr>
      <w:tr>
        <w:tc>
          <w:tcPr>
            <w:tcW w:type="dxa" w:w="907"/>
          </w:tcPr>
          <w:p>
            <w:r>
              <w:t>BC-1.2</w:t>
            </w:r>
          </w:p>
        </w:tc>
        <w:tc>
          <w:tcPr>
            <w:tcW w:type="dxa" w:w="4082"/>
          </w:tcPr>
          <w:p>
            <w:r>
              <w:t>On official letters the crest sits at the top left. On other material it sits top-left or top-centre, with clear space of at least a quarter of its height on every side.</w:t>
            </w:r>
          </w:p>
        </w:tc>
        <w:tc>
          <w:tcPr>
            <w:tcW w:type="dxa" w:w="4535"/>
          </w:tcPr>
          <w:p>
            <w:r>
              <w:t>Nothing (text, image edge, other logo) intrudes into the clear space; the crest is not tucked into a corner or footer.</w:t>
            </w:r>
          </w:p>
        </w:tc>
      </w:tr>
      <w:tr>
        <w:tc>
          <w:tcPr>
            <w:tcW w:type="dxa" w:w="907"/>
          </w:tcPr>
          <w:p>
            <w:r>
              <w:t>BC-1.3</w:t>
            </w:r>
          </w:p>
        </w:tc>
        <w:tc>
          <w:tcPr>
            <w:tcW w:type="dxa" w:w="4082"/>
          </w:tcPr>
          <w:p>
            <w:r>
              <w:t>The crest is never stretched, squashed, cropped, rotated, recoloured, outlined or placed on a busy background.</w:t>
            </w:r>
          </w:p>
        </w:tc>
        <w:tc>
          <w:tcPr>
            <w:tcW w:type="dxa" w:w="4535"/>
          </w:tcPr>
          <w:p>
            <w:r>
              <w:t>Proportions look natural; colours are the crest's own; the background behind it is plain.</w:t>
            </w:r>
          </w:p>
        </w:tc>
      </w:tr>
      <w:tr>
        <w:tc>
          <w:tcPr>
            <w:tcW w:type="dxa" w:w="907"/>
          </w:tcPr>
          <w:p>
            <w:r>
              <w:t>BC-1.4</w:t>
            </w:r>
          </w:p>
        </w:tc>
        <w:tc>
          <w:tcPr>
            <w:tcW w:type="dxa" w:w="4082"/>
          </w:tcPr>
          <w:p>
            <w:r>
              <w:t>An agency logo sits to the right of the crest, no taller than the crest.</w:t>
            </w:r>
          </w:p>
        </w:tc>
        <w:tc>
          <w:tcPr>
            <w:tcW w:type="dxa" w:w="4535"/>
          </w:tcPr>
          <w:p>
            <w:r>
              <w:t>Agency or partner logos are never larger than, or placed above, the state crest.</w:t>
            </w:r>
          </w:p>
        </w:tc>
      </w:tr>
      <w:tr>
        <w:tc>
          <w:tcPr>
            <w:tcW w:type="dxa" w:w="907"/>
          </w:tcPr>
          <w:p>
            <w:r>
              <w:t>BC-1.5</w:t>
            </w:r>
          </w:p>
        </w:tc>
        <w:tc>
          <w:tcPr>
            <w:tcW w:type="dxa" w:w="4082"/>
          </w:tcPr>
          <w:p>
            <w:r>
              <w:t>No party-political logos, slogans, symbols or party colours on government material.</w:t>
            </w:r>
          </w:p>
        </w:tc>
        <w:tc>
          <w:tcPr>
            <w:tcW w:type="dxa" w:w="4535"/>
          </w:tcPr>
          <w:p>
            <w:r>
              <w:t>Any party emblem, campaign slogan or candidate branding is a breach.</w:t>
            </w:r>
          </w:p>
        </w:tc>
      </w:tr>
      <w:tr>
        <w:tc>
          <w:tcPr>
            <w:tcW w:type="dxa" w:w="907"/>
          </w:tcPr>
          <w:p>
            <w:r>
              <w:t>BC-1.6</w:t>
            </w:r>
          </w:p>
        </w:tc>
        <w:tc>
          <w:tcPr>
            <w:tcW w:type="dxa" w:w="4082"/>
          </w:tcPr>
          <w:p>
            <w:r>
              <w:t>No superseded agency names or logos: renamed departments and units are referred to by their new names (e.g. Jabatan Premier Sarawak, not Jabatan Ketua Menteri).</w:t>
            </w:r>
          </w:p>
        </w:tc>
        <w:tc>
          <w:tcPr>
            <w:tcW w:type="dxa" w:w="4535"/>
          </w:tcPr>
          <w:p>
            <w:r>
              <w:t>Old ministry or agency names and retired logos are flagged, including "Jabatan Ketua Menteri" / "JKM" for the Premier's department; the current official name is used.</w:t>
            </w:r>
          </w:p>
        </w:tc>
      </w:tr>
      <w:tr>
        <w:tc>
          <w:tcPr>
            <w:tcW w:type="dxa" w:w="907"/>
          </w:tcPr>
          <w:p>
            <w:r>
              <w:t>BC-1.7</w:t>
            </w:r>
          </w:p>
        </w:tc>
        <w:tc>
          <w:tcPr>
            <w:tcW w:type="dxa" w:w="4082"/>
          </w:tcPr>
          <w:p>
            <w:r>
              <w:t>The crest is used with the state mottos "Bersatu Berusaha Berbakti" and, below it, "An Honour To Serve" in official correspondence, slide presentations, official websites and backdrops.</w:t>
            </w:r>
          </w:p>
        </w:tc>
        <w:tc>
          <w:tcPr>
            <w:tcW w:type="dxa" w:w="4535"/>
          </w:tcPr>
          <w:p>
            <w:r>
              <w:t>Applies to slide decks, letters, proposals and papers, and event backdrops or stage banners. Posters, brochures and social media posts are not_applicable unless they are a backdrop. Missing mottos, or "An Honour To Serve" placed above "Bersatu Berusaha Berbakti", is a breach.</w:t>
            </w:r>
          </w:p>
        </w:tc>
      </w:tr>
      <w:tr>
        <w:tc>
          <w:tcPr>
            <w:tcW w:type="dxa" w:w="907"/>
          </w:tcPr>
          <w:p>
            <w:r>
              <w:t>BC-1.8</w:t>
            </w:r>
          </w:p>
        </w:tc>
        <w:tc>
          <w:tcPr>
            <w:tcW w:type="dxa" w:w="4082"/>
          </w:tcPr>
          <w:p>
            <w:r>
              <w:t>The "One Government At Your Service" logo is used at service counters only.</w:t>
            </w:r>
          </w:p>
        </w:tc>
        <w:tc>
          <w:tcPr>
            <w:tcW w:type="dxa" w:w="4535"/>
          </w:tcPr>
          <w:p>
            <w:r>
              <w:t>The "One Government At Your Service" logo on slides, brochures, posters, social media posts or papers is a breach. Counter signage passes.</w:t>
            </w:r>
          </w:p>
        </w:tc>
      </w:tr>
      <w:tr>
        <w:tc>
          <w:tcPr>
            <w:tcW w:type="dxa" w:w="907"/>
          </w:tcPr>
          <w:p>
            <w:r>
              <w:t>BC-2.1</w:t>
            </w:r>
          </w:p>
        </w:tc>
        <w:tc>
          <w:tcPr>
            <w:tcW w:type="dxa" w:w="4082"/>
          </w:tcPr>
          <w:p>
            <w:r>
              <w:t>The Sarawak palette leads: Sarawak Red #CE1126, Sarawak Yellow #FFD100, Sarawak Black #1A1A1A.</w:t>
            </w:r>
          </w:p>
        </w:tc>
        <w:tc>
          <w:tcPr>
            <w:tcW w:type="dxa" w:w="4535"/>
          </w:tcPr>
          <w:p>
            <w:r>
              <w:t>Brand colour areas (headers, bands, buttons, titles) use the primary palette.</w:t>
            </w:r>
          </w:p>
        </w:tc>
      </w:tr>
      <w:tr>
        <w:tc>
          <w:tcPr>
            <w:tcW w:type="dxa" w:w="907"/>
          </w:tcPr>
          <w:p>
            <w:r>
              <w:t>BC-2.2</w:t>
            </w:r>
          </w:p>
        </w:tc>
        <w:tc>
          <w:tcPr>
            <w:tcW w:type="dxa" w:w="4082"/>
          </w:tcPr>
          <w:p>
            <w:r>
              <w:t>Neutrals support only (White, Warm Grey #6B6B6B, Light Grey #F2F2F2); no off-palette dominant colours.</w:t>
            </w:r>
          </w:p>
        </w:tc>
        <w:tc>
          <w:tcPr>
            <w:tcW w:type="dxa" w:w="4535"/>
          </w:tcPr>
          <w:p>
            <w:r>
              <w:t>Purple, teal, lime, neon or pastel schemes as the main colour are breaches.</w:t>
            </w:r>
          </w:p>
        </w:tc>
      </w:tr>
      <w:tr>
        <w:tc>
          <w:tcPr>
            <w:tcW w:type="dxa" w:w="907"/>
          </w:tcPr>
          <w:p>
            <w:r>
              <w:t>BC-2.3</w:t>
            </w:r>
          </w:p>
        </w:tc>
        <w:tc>
          <w:tcPr>
            <w:tcW w:type="dxa" w:w="4082"/>
          </w:tcPr>
          <w:p>
            <w:r>
              <w:t>Brand colours are flat; no gradients, glows or filters over brand colours or the crest.</w:t>
            </w:r>
          </w:p>
        </w:tc>
        <w:tc>
          <w:tcPr>
            <w:tcW w:type="dxa" w:w="4535"/>
          </w:tcPr>
          <w:p>
            <w:r>
              <w:t>Rainbow gradients, neon glows and heavy filters on brand elements.</w:t>
            </w:r>
          </w:p>
        </w:tc>
      </w:tr>
      <w:tr>
        <w:tc>
          <w:tcPr>
            <w:tcW w:type="dxa" w:w="907"/>
          </w:tcPr>
          <w:p>
            <w:r>
              <w:t>BC-3.1</w:t>
            </w:r>
          </w:p>
        </w:tc>
        <w:tc>
          <w:tcPr>
            <w:tcW w:type="dxa" w:w="4082"/>
          </w:tcPr>
          <w:p>
            <w:r>
              <w:t>Headings in Montserrat, body in Open Sans (Arial where these are not available).</w:t>
            </w:r>
          </w:p>
        </w:tc>
        <w:tc>
          <w:tcPr>
            <w:tcW w:type="dxa" w:w="4535"/>
          </w:tcPr>
          <w:p>
            <w:r>
              <w:t>Compare letterforms: geometric sans headings, humanist sans body.</w:t>
            </w:r>
          </w:p>
        </w:tc>
      </w:tr>
      <w:tr>
        <w:tc>
          <w:tcPr>
            <w:tcW w:type="dxa" w:w="907"/>
          </w:tcPr>
          <w:p>
            <w:r>
              <w:t>BC-3.2</w:t>
            </w:r>
          </w:p>
        </w:tc>
        <w:tc>
          <w:tcPr>
            <w:tcW w:type="dxa" w:w="4082"/>
          </w:tcPr>
          <w:p>
            <w:r>
              <w:t>No more than two typeface families; no novelty, comic or script typefaces.</w:t>
            </w:r>
          </w:p>
        </w:tc>
        <w:tc>
          <w:tcPr>
            <w:tcW w:type="dxa" w:w="4535"/>
          </w:tcPr>
          <w:p>
            <w:r>
              <w:t>Comic Sans, Papyrus, brush scripts and decorative display fonts are breaches.</w:t>
            </w:r>
          </w:p>
        </w:tc>
      </w:tr>
      <w:tr>
        <w:tc>
          <w:tcPr>
            <w:tcW w:type="dxa" w:w="907"/>
          </w:tcPr>
          <w:p>
            <w:r>
              <w:t>BC-3.3</w:t>
            </w:r>
          </w:p>
        </w:tc>
        <w:tc>
          <w:tcPr>
            <w:tcW w:type="dxa" w:w="4082"/>
          </w:tcPr>
          <w:p>
            <w:r>
              <w:t>Body text is legible: at least 10 pt in print, 24 px on slides, 16 px on screens.</w:t>
            </w:r>
          </w:p>
        </w:tc>
        <w:tc>
          <w:tcPr>
            <w:tcW w:type="dxa" w:w="4535"/>
          </w:tcPr>
          <w:p>
            <w:r>
              <w:t>Dense small print, footnote-sized body text on slides.</w:t>
            </w:r>
          </w:p>
        </w:tc>
      </w:tr>
      <w:tr>
        <w:tc>
          <w:tcPr>
            <w:tcW w:type="dxa" w:w="907"/>
          </w:tcPr>
          <w:p>
            <w:r>
              <w:t>BC-4.1</w:t>
            </w:r>
          </w:p>
        </w:tc>
        <w:tc>
          <w:tcPr>
            <w:tcW w:type="dxa" w:w="4082"/>
          </w:tcPr>
          <w:p>
            <w:r>
              <w:t>Public material uses Bahasa Melayu, English or both. Where both are used they carry equal weight and the translation is accurate.</w:t>
            </w:r>
          </w:p>
        </w:tc>
        <w:tc>
          <w:tcPr>
            <w:tcW w:type="dxa" w:w="4535"/>
          </w:tcPr>
          <w:p>
            <w:r>
              <w:t>Material in Bahasa Melayu only, English only, or both passes. A breach is a mistranslation, one language cut short or garbled, or random switching between languages within the same heading.</w:t>
            </w:r>
          </w:p>
        </w:tc>
      </w:tr>
      <w:tr>
        <w:tc>
          <w:tcPr>
            <w:tcW w:type="dxa" w:w="907"/>
          </w:tcPr>
          <w:p>
            <w:r>
              <w:t>BC-4.2</w:t>
            </w:r>
          </w:p>
        </w:tc>
        <w:tc>
          <w:tcPr>
            <w:tcW w:type="dxa" w:w="4082"/>
          </w:tcPr>
          <w:p>
            <w:r>
              <w:t>Official titles are used: Premier of Sarawak / Premier Sarawak, Deputy Premier, Kerajaan Sarawak / Sarawak Government.</w:t>
            </w:r>
          </w:p>
        </w:tc>
        <w:tc>
          <w:tcPr>
            <w:tcW w:type="dxa" w:w="4535"/>
          </w:tcPr>
          <w:p>
            <w:r>
              <w:t>"Chief Minister", "Ketua Menteri" or "Sarawak State Government" used for the current office is a breach.</w:t>
            </w:r>
          </w:p>
        </w:tc>
      </w:tr>
      <w:tr>
        <w:tc>
          <w:tcPr>
            <w:tcW w:type="dxa" w:w="907"/>
          </w:tcPr>
          <w:p>
            <w:r>
              <w:t>BC-4.3</w:t>
            </w:r>
          </w:p>
        </w:tc>
        <w:tc>
          <w:tcPr>
            <w:tcW w:type="dxa" w:w="4082"/>
          </w:tcPr>
          <w:p>
            <w:r>
              <w:t>The agency's full official name appears at first mention; the acronym after.</w:t>
            </w:r>
          </w:p>
        </w:tc>
        <w:tc>
          <w:tcPr>
            <w:tcW w:type="dxa" w:w="4535"/>
          </w:tcPr>
          <w:p>
            <w:r>
              <w:t>An acronym used alone with no full name anywhere in the material.</w:t>
            </w:r>
          </w:p>
        </w:tc>
      </w:tr>
      <w:tr>
        <w:tc>
          <w:tcPr>
            <w:tcW w:type="dxa" w:w="907"/>
          </w:tcPr>
          <w:p>
            <w:r>
              <w:t>BC-4.4</w:t>
            </w:r>
          </w:p>
        </w:tc>
        <w:tc>
          <w:tcPr>
            <w:tcW w:type="dxa" w:w="4082"/>
          </w:tcPr>
          <w:p>
            <w:r>
              <w:t>Spelling, grammar and place names are correct (e.g. Sarawak, Kuching, Miri, Bintulu).</w:t>
            </w:r>
          </w:p>
        </w:tc>
        <w:tc>
          <w:tcPr>
            <w:tcW w:type="dxa" w:w="4535"/>
          </w:tcPr>
          <w:p>
            <w:r>
              <w:t>Typos in headings, misspelt place names, mixed spelling of the same term.</w:t>
            </w:r>
          </w:p>
        </w:tc>
      </w:tr>
      <w:tr>
        <w:tc>
          <w:tcPr>
            <w:tcW w:type="dxa" w:w="907"/>
          </w:tcPr>
          <w:p>
            <w:r>
              <w:t>BC-4.5</w:t>
            </w:r>
          </w:p>
        </w:tc>
        <w:tc>
          <w:tcPr>
            <w:tcW w:type="dxa" w:w="4082"/>
          </w:tcPr>
          <w:p>
            <w:r>
              <w:t>Honorifics and order of precedence are correct when dignitaries are listed.</w:t>
            </w:r>
          </w:p>
        </w:tc>
        <w:tc>
          <w:tcPr>
            <w:tcW w:type="dxa" w:w="4535"/>
          </w:tcPr>
          <w:p>
            <w:r>
              <w:t>Missing honorifics, or officials listed out of precedence.</w:t>
            </w:r>
          </w:p>
        </w:tc>
      </w:tr>
      <w:tr>
        <w:tc>
          <w:tcPr>
            <w:tcW w:type="dxa" w:w="907"/>
          </w:tcPr>
          <w:p>
            <w:r>
              <w:t>BC-5.1</w:t>
            </w:r>
          </w:p>
        </w:tc>
        <w:tc>
          <w:tcPr>
            <w:tcW w:type="dxa" w:w="4082"/>
          </w:tcPr>
          <w:p>
            <w:r>
              <w:t>Development, economic, social or environmental material links to PCDS 2030 and its pillar(s).</w:t>
            </w:r>
          </w:p>
        </w:tc>
        <w:tc>
          <w:tcPr>
            <w:tcW w:type="dxa" w:w="4535"/>
          </w:tcPr>
          <w:p>
            <w:r>
              <w:t>A programme presented with no link to Economic Prosperity, Social Inclusivity or Environmental Sustainability where one applies.</w:t>
            </w:r>
          </w:p>
        </w:tc>
      </w:tr>
      <w:tr>
        <w:tc>
          <w:tcPr>
            <w:tcW w:type="dxa" w:w="907"/>
          </w:tcPr>
          <w:p>
            <w:r>
              <w:t>BC-5.2</w:t>
            </w:r>
          </w:p>
        </w:tc>
        <w:tc>
          <w:tcPr>
            <w:tcW w:type="dxa" w:w="4082"/>
          </w:tcPr>
          <w:p>
            <w:r>
              <w:t>No statement contradicts published state policy or the PCDS 2030 direction.</w:t>
            </w:r>
          </w:p>
        </w:tc>
        <w:tc>
          <w:tcPr>
            <w:tcW w:type="dxa" w:w="4535"/>
          </w:tcPr>
          <w:p>
            <w:r>
              <w:t>E.g. promoting expansion of coal or open burning against the green economy and renewable energy direction; dismissing digital transformation.</w:t>
            </w:r>
          </w:p>
        </w:tc>
      </w:tr>
      <w:tr>
        <w:tc>
          <w:tcPr>
            <w:tcW w:type="dxa" w:w="907"/>
          </w:tcPr>
          <w:p>
            <w:r>
              <w:t>BC-5.3</w:t>
            </w:r>
          </w:p>
        </w:tc>
        <w:tc>
          <w:tcPr>
            <w:tcW w:type="dxa" w:w="4082"/>
          </w:tcPr>
          <w:p>
            <w:r>
              <w:t>Figures, targets, budgets and dates are sourced or marked for verification; no commitments beyond what has been approved.</w:t>
            </w:r>
          </w:p>
        </w:tc>
        <w:tc>
          <w:tcPr>
            <w:tcW w:type="dxa" w:w="4535"/>
          </w:tcPr>
          <w:p>
            <w:r>
              <w:t>Specific RM amounts, percentages or completion dates with no source or approval reference.</w:t>
            </w:r>
          </w:p>
        </w:tc>
      </w:tr>
      <w:tr>
        <w:tc>
          <w:tcPr>
            <w:tcW w:type="dxa" w:w="907"/>
          </w:tcPr>
          <w:p>
            <w:r>
              <w:t>BC-5.4</w:t>
            </w:r>
          </w:p>
        </w:tc>
        <w:tc>
          <w:tcPr>
            <w:tcW w:type="dxa" w:w="4082"/>
          </w:tcPr>
          <w:p>
            <w:r>
              <w:t>The state vision is quoted verbatim when quoted.</w:t>
            </w:r>
          </w:p>
        </w:tc>
        <w:tc>
          <w:tcPr>
            <w:tcW w:type="dxa" w:w="4535"/>
          </w:tcPr>
          <w:p>
            <w:r>
              <w:t>Paraphrased or altered wording presented as the official vision.</w:t>
            </w:r>
          </w:p>
        </w:tc>
      </w:tr>
      <w:tr>
        <w:tc>
          <w:tcPr>
            <w:tcW w:type="dxa" w:w="907"/>
          </w:tcPr>
          <w:p>
            <w:r>
              <w:t>BC-6.1</w:t>
            </w:r>
          </w:p>
        </w:tc>
        <w:tc>
          <w:tcPr>
            <w:tcW w:type="dxa" w:w="4082"/>
          </w:tcPr>
          <w:p>
            <w:r>
              <w:t>Imagery represents Sarawak's communities inclusively and respectfully, in authentic Sarawak settings.</w:t>
            </w:r>
          </w:p>
        </w:tc>
        <w:tc>
          <w:tcPr>
            <w:tcW w:type="dxa" w:w="4535"/>
          </w:tcPr>
          <w:p>
            <w:r>
              <w:t>Generic foreign stock scenes standing in for Sarawak; one community shown as representing all.</w:t>
            </w:r>
          </w:p>
        </w:tc>
      </w:tr>
      <w:tr>
        <w:tc>
          <w:tcPr>
            <w:tcW w:type="dxa" w:w="907"/>
          </w:tcPr>
          <w:p>
            <w:r>
              <w:t>BC-6.2</w:t>
            </w:r>
          </w:p>
        </w:tc>
        <w:tc>
          <w:tcPr>
            <w:tcW w:type="dxa" w:w="4082"/>
          </w:tcPr>
          <w:p>
            <w:r>
              <w:t>No low-resolution, pixelated or watermarked images.</w:t>
            </w:r>
          </w:p>
        </w:tc>
        <w:tc>
          <w:tcPr>
            <w:tcW w:type="dxa" w:w="4535"/>
          </w:tcPr>
          <w:p>
            <w:r>
              <w:t>Visible stock watermarks, blocky compression, stretched photos.</w:t>
            </w:r>
          </w:p>
        </w:tc>
      </w:tr>
      <w:tr>
        <w:tc>
          <w:tcPr>
            <w:tcW w:type="dxa" w:w="907"/>
          </w:tcPr>
          <w:p>
            <w:r>
              <w:t>BC-6.3</w:t>
            </w:r>
          </w:p>
        </w:tc>
        <w:tc>
          <w:tcPr>
            <w:tcW w:type="dxa" w:w="4082"/>
          </w:tcPr>
          <w:p>
            <w:r>
              <w:t>Identifiable people, especially children, need recorded consent.</w:t>
            </w:r>
          </w:p>
        </w:tc>
        <w:tc>
          <w:tcPr>
            <w:tcW w:type="dxa" w:w="4535"/>
          </w:tcPr>
          <w:p>
            <w:r>
              <w:t>Close-up of identifiable individuals: flag for consent confirmation.</w:t>
            </w:r>
          </w:p>
        </w:tc>
      </w:tr>
      <w:tr>
        <w:tc>
          <w:tcPr>
            <w:tcW w:type="dxa" w:w="907"/>
          </w:tcPr>
          <w:p>
            <w:r>
              <w:t>BC-6.4</w:t>
            </w:r>
          </w:p>
        </w:tc>
        <w:tc>
          <w:tcPr>
            <w:tcW w:type="dxa" w:w="4082"/>
          </w:tcPr>
          <w:p>
            <w:r>
              <w:t>Cultural motifs are used respectfully, not distorted or used as filler decoration.</w:t>
            </w:r>
          </w:p>
        </w:tc>
        <w:tc>
          <w:tcPr>
            <w:tcW w:type="dxa" w:w="4535"/>
          </w:tcPr>
          <w:p>
            <w:r>
              <w:t>Recoloured, cropped or mixed motifs from different communities used as background filler.</w:t>
            </w:r>
          </w:p>
        </w:tc>
      </w:tr>
      <w:tr>
        <w:tc>
          <w:tcPr>
            <w:tcW w:type="dxa" w:w="907"/>
          </w:tcPr>
          <w:p>
            <w:r>
              <w:t>BC-6.5</w:t>
            </w:r>
          </w:p>
        </w:tc>
        <w:tc>
          <w:tcPr>
            <w:tcW w:type="dxa" w:w="4082"/>
          </w:tcPr>
          <w:p>
            <w:r>
              <w:t>Maps show Sarawak's boundaries correctly.</w:t>
            </w:r>
          </w:p>
        </w:tc>
        <w:tc>
          <w:tcPr>
            <w:tcW w:type="dxa" w:w="4535"/>
          </w:tcPr>
          <w:p>
            <w:r>
              <w:t>Missing districts, wrong borders, or Sarawak drawn inaccurately.</w:t>
            </w:r>
          </w:p>
        </w:tc>
      </w:tr>
      <w:tr>
        <w:tc>
          <w:tcPr>
            <w:tcW w:type="dxa" w:w="907"/>
          </w:tcPr>
          <w:p>
            <w:r>
              <w:t>BC-7.1</w:t>
            </w:r>
          </w:p>
        </w:tc>
        <w:tc>
          <w:tcPr>
            <w:tcW w:type="dxa" w:w="4082"/>
          </w:tcPr>
          <w:p>
            <w:r>
              <w:t>Text has enough contrast with its background (at least 4.5:1 for body text).</w:t>
            </w:r>
          </w:p>
        </w:tc>
        <w:tc>
          <w:tcPr>
            <w:tcW w:type="dxa" w:w="4535"/>
          </w:tcPr>
          <w:p>
            <w:r>
              <w:t>Yellow text on white, grey on grey, text over photos without a panel.</w:t>
            </w:r>
          </w:p>
        </w:tc>
      </w:tr>
      <w:tr>
        <w:tc>
          <w:tcPr>
            <w:tcW w:type="dxa" w:w="907"/>
          </w:tcPr>
          <w:p>
            <w:r>
              <w:t>BC-7.2</w:t>
            </w:r>
          </w:p>
        </w:tc>
        <w:tc>
          <w:tcPr>
            <w:tcW w:type="dxa" w:w="4082"/>
          </w:tcPr>
          <w:p>
            <w:r>
              <w:t>Meaning is not carried by colour alone.</w:t>
            </w:r>
          </w:p>
        </w:tc>
        <w:tc>
          <w:tcPr>
            <w:tcW w:type="dxa" w:w="4535"/>
          </w:tcPr>
          <w:p>
            <w:r>
              <w:t>Charts or statuses distinguished only by red versus green.</w:t>
            </w:r>
          </w:p>
        </w:tc>
      </w:tr>
      <w:tr>
        <w:tc>
          <w:tcPr>
            <w:tcW w:type="dxa" w:w="907"/>
          </w:tcPr>
          <w:p>
            <w:r>
              <w:t>BC-8.1</w:t>
            </w:r>
          </w:p>
        </w:tc>
        <w:tc>
          <w:tcPr>
            <w:tcW w:type="dxa" w:w="4082"/>
          </w:tcPr>
          <w:p>
            <w:r>
              <w:t>The issuing agency is named, with a contact (phone, email or website).</w:t>
            </w:r>
          </w:p>
        </w:tc>
        <w:tc>
          <w:tcPr>
            <w:tcW w:type="dxa" w:w="4535"/>
          </w:tcPr>
          <w:p>
            <w:r>
              <w:t>No agency name or no way to contact it.</w:t>
            </w:r>
          </w:p>
        </w:tc>
      </w:tr>
      <w:tr>
        <w:tc>
          <w:tcPr>
            <w:tcW w:type="dxa" w:w="907"/>
          </w:tcPr>
          <w:p>
            <w:r>
              <w:t>BC-8.2</w:t>
            </w:r>
          </w:p>
        </w:tc>
        <w:tc>
          <w:tcPr>
            <w:tcW w:type="dxa" w:w="4082"/>
          </w:tcPr>
          <w:p>
            <w:r>
              <w:t>Official channels only: a sarawak.gov.my (or agency .gov.my) website and official email; no personal or free webmail addresses.</w:t>
            </w:r>
          </w:p>
        </w:tc>
        <w:tc>
          <w:tcPr>
            <w:tcW w:type="dxa" w:w="4535"/>
          </w:tcPr>
          <w:p>
            <w:r>
              <w:t>gmail.com, yahoo.com, hotmail.com, personal phone numbers as the official contact.</w:t>
            </w:r>
          </w:p>
        </w:tc>
      </w:tr>
      <w:tr>
        <w:tc>
          <w:tcPr>
            <w:tcW w:type="dxa" w:w="907"/>
          </w:tcPr>
          <w:p>
            <w:r>
              <w:t>BC-8.3</w:t>
            </w:r>
          </w:p>
        </w:tc>
        <w:tc>
          <w:tcPr>
            <w:tcW w:type="dxa" w:w="4082"/>
          </w:tcPr>
          <w:p>
            <w:r>
              <w:t>Proposals and presentations show a date or version.</w:t>
            </w:r>
          </w:p>
        </w:tc>
        <w:tc>
          <w:tcPr>
            <w:tcW w:type="dxa" w:w="4535"/>
          </w:tcPr>
          <w:p>
            <w:r>
              <w:t>No date or version anywhere on a proposal, paper or slide deck.</w:t>
            </w:r>
          </w:p>
        </w:tc>
      </w:tr>
      <w:tr>
        <w:tc>
          <w:tcPr>
            <w:tcW w:type="dxa" w:w="907"/>
          </w:tcPr>
          <w:p>
            <w:r>
              <w:t>BC-8.4</w:t>
            </w:r>
          </w:p>
        </w:tc>
        <w:tc>
          <w:tcPr>
            <w:tcW w:type="dxa" w:w="4082"/>
          </w:tcPr>
          <w:p>
            <w:r>
              <w:t>Proposals and papers carry a classification where applicable (e.g. TERHAD, Untuk Kegunaan Dalaman).</w:t>
            </w:r>
          </w:p>
        </w:tc>
        <w:tc>
          <w:tcPr>
            <w:tcW w:type="dxa" w:w="4535"/>
          </w:tcPr>
          <w:p>
            <w:r>
              <w:t>Internal papers with budgets or plans and no classification marking.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