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pPr>
        <w:pStyle w:val="papertitle"/>
        <w:spacing w:before="5pt" w:beforeAutospacing="1" w:after="5pt" w:afterAutospacing="1"/>
      </w:pPr>
      <w:r>
        <w:t>Various peculiarities of automated test and measurements in power electronics “</w:t>
      </w:r>
      <w:r>
        <w:rPr>
          <w:color w:val="FF0000"/>
        </w:rPr>
        <w:t>python</w:t>
      </w:r>
      <w:r>
        <w:t>”</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3572"/>
        <w:gridCol w:w="3255"/>
        <w:gridCol w:w="3572"/>
      </w:tblGrid>
      <w:tr>
        <w:tc>
          <w:tcPr>
            <w:tcW w:w="178.60pt" w:type="dxa"/>
          </w:tcPr>
          <w:p>
            <w:pPr>
              <w:pStyle w:val="Author"/>
              <w:spacing w:before="5pt" w:beforeAutospacing="1"/>
              <w:rPr>
                <w:sz w:val="16"/>
                <w:szCs w:val="16"/>
              </w:rPr>
            </w:pPr>
            <w:r>
              <w:rPr>
                <w:sz w:val="18"/>
                <w:szCs w:val="18"/>
              </w:rPr>
              <w:t>Tsveti Hranov</w:t>
            </w:r>
            <w:r>
              <w:rPr>
                <w:sz w:val="18"/>
                <w:szCs w:val="18"/>
              </w:rPr>
              <w:br/>
            </w:r>
            <w:r>
              <w:rPr>
                <w:i/>
                <w:sz w:val="18"/>
                <w:szCs w:val="18"/>
              </w:rPr>
              <w:t>Assistant professor, Department of Power Electronics</w:t>
            </w:r>
            <w:r>
              <w:rPr>
                <w:sz w:val="18"/>
                <w:szCs w:val="18"/>
              </w:rPr>
              <w:br/>
            </w:r>
            <w:r>
              <w:rPr>
                <w:i/>
                <w:sz w:val="18"/>
                <w:szCs w:val="18"/>
              </w:rPr>
              <w:t>Technical University of Sofia</w:t>
            </w:r>
            <w:r>
              <w:rPr>
                <w:i/>
                <w:sz w:val="18"/>
                <w:szCs w:val="18"/>
              </w:rPr>
              <w:br/>
            </w:r>
            <w:r>
              <w:rPr>
                <w:sz w:val="18"/>
                <w:szCs w:val="18"/>
              </w:rPr>
              <w:t>Sofia, Bulgaria</w:t>
            </w:r>
            <w:r>
              <w:rPr>
                <w:sz w:val="18"/>
                <w:szCs w:val="18"/>
              </w:rPr>
              <w:br/>
              <w:t>chranov@tu-sofia.bg</w:t>
            </w:r>
          </w:p>
        </w:tc>
        <w:tc>
          <w:tcPr>
            <w:tcW w:w="162.75pt" w:type="dxa"/>
          </w:tcPr>
          <w:p>
            <w:pPr>
              <w:pStyle w:val="Author"/>
              <w:spacing w:before="5pt" w:beforeAutospacing="1"/>
              <w:rPr>
                <w:sz w:val="18"/>
                <w:szCs w:val="18"/>
              </w:rPr>
            </w:pPr>
            <w:r>
              <w:rPr>
                <w:sz w:val="18"/>
                <w:szCs w:val="18"/>
              </w:rPr>
              <w:t xml:space="preserve">Anton Dekov  </w:t>
            </w:r>
            <w:r>
              <w:rPr>
                <w:sz w:val="18"/>
                <w:szCs w:val="18"/>
              </w:rPr>
              <w:br/>
            </w:r>
            <w:r>
              <w:rPr>
                <w:i/>
                <w:sz w:val="18"/>
                <w:szCs w:val="18"/>
              </w:rPr>
              <w:t>Student, Department of Power Electronics</w:t>
            </w:r>
            <w:r>
              <w:rPr>
                <w:sz w:val="18"/>
                <w:szCs w:val="18"/>
              </w:rPr>
              <w:br/>
            </w:r>
            <w:r>
              <w:rPr>
                <w:i/>
                <w:sz w:val="18"/>
                <w:szCs w:val="18"/>
              </w:rPr>
              <w:t>Technical University of Sofia</w:t>
            </w:r>
            <w:r>
              <w:rPr>
                <w:i/>
                <w:sz w:val="18"/>
                <w:szCs w:val="18"/>
              </w:rPr>
              <w:br/>
            </w:r>
            <w:r>
              <w:rPr>
                <w:sz w:val="18"/>
                <w:szCs w:val="18"/>
              </w:rPr>
              <w:t>Sofia, Bulgaria</w:t>
            </w:r>
            <w:r>
              <w:rPr>
                <w:sz w:val="18"/>
                <w:szCs w:val="18"/>
              </w:rPr>
              <w:br/>
              <w:t>adekov@tu-sofia.bg</w:t>
            </w:r>
          </w:p>
        </w:tc>
        <w:tc>
          <w:tcPr>
            <w:tcW w:w="178.60pt" w:type="dxa"/>
          </w:tcPr>
          <w:p>
            <w:pPr>
              <w:pStyle w:val="Author"/>
              <w:spacing w:before="5pt" w:beforeAutospacing="1"/>
              <w:rPr>
                <w:sz w:val="16"/>
                <w:szCs w:val="16"/>
              </w:rPr>
            </w:pPr>
            <w:r>
              <w:rPr>
                <w:sz w:val="18"/>
                <w:szCs w:val="18"/>
              </w:rPr>
              <w:t>Vladimir Dimitrov</w:t>
            </w:r>
            <w:r>
              <w:rPr>
                <w:sz w:val="18"/>
                <w:szCs w:val="18"/>
              </w:rPr>
              <w:br/>
            </w:r>
            <w:r>
              <w:rPr>
                <w:i/>
                <w:sz w:val="18"/>
                <w:szCs w:val="18"/>
              </w:rPr>
              <w:t>Associate professor, Department of Power Electronics</w:t>
            </w:r>
            <w:r>
              <w:rPr>
                <w:sz w:val="18"/>
                <w:szCs w:val="18"/>
              </w:rPr>
              <w:br/>
            </w:r>
            <w:r>
              <w:rPr>
                <w:i/>
                <w:sz w:val="18"/>
                <w:szCs w:val="18"/>
              </w:rPr>
              <w:t>Technical University of Sofia</w:t>
            </w:r>
            <w:r>
              <w:rPr>
                <w:i/>
                <w:sz w:val="18"/>
                <w:szCs w:val="18"/>
              </w:rPr>
              <w:br/>
            </w:r>
            <w:r>
              <w:rPr>
                <w:sz w:val="18"/>
                <w:szCs w:val="18"/>
              </w:rPr>
              <w:t>Sofia, Bulgaria</w:t>
            </w:r>
            <w:r>
              <w:rPr>
                <w:sz w:val="18"/>
                <w:szCs w:val="18"/>
              </w:rPr>
              <w:br/>
              <w:t>dimitrov@tu-sofia.bg</w:t>
            </w:r>
          </w:p>
        </w:tc>
      </w:tr>
    </w:tbl>
    <w:p>
      <w:pPr>
        <w:pStyle w:val="Author"/>
        <w:tabs>
          <w:tab w:val="start" w:pos="250.45pt"/>
          <w:tab w:val="center" w:pos="261.35pt"/>
        </w:tabs>
        <w:spacing w:before="5pt" w:beforeAutospacing="1" w:after="5pt" w:afterAutospacing="1" w:line="6pt" w:lineRule="auto"/>
        <w:jc w:val="start"/>
        <w:sectPr>
          <w:headerReference w:type="first" r:id="rId8"/>
          <w:footerReference w:type="first" r:id="rId9"/>
          <w:pgSz w:w="612pt" w:h="792pt" w:code="1"/>
          <w:pgMar w:top="54pt" w:right="44.65pt" w:bottom="72pt" w:left="44.65pt" w:header="36pt" w:footer="36pt" w:gutter="0pt"/>
          <w:cols w:space="36pt"/>
          <w:titlePg/>
          <w:docGrid w:linePitch="360"/>
        </w:sectPr>
      </w:pPr>
      <w:r>
        <w:rPr>
          <w:sz w:val="16"/>
          <w:szCs w:val="16"/>
        </w:rPr>
        <w:tab/>
      </w:r>
    </w:p>
    <w:p>
      <w:pPr>
        <w:pStyle w:val="Author"/>
        <w:spacing w:before="5pt" w:beforeAutospacing="1"/>
        <w:rPr>
          <w:sz w:val="18"/>
          <w:szCs w:val="18"/>
        </w:rPr>
      </w:pPr>
      <w:r>
        <w:rPr>
          <w:i/>
          <w:sz w:val="18"/>
          <w:szCs w:val="18"/>
        </w:rPr>
        <w:br/>
      </w:r>
    </w:p>
    <w:p>
      <w:pPr>
        <w:pStyle w:val="Author"/>
        <w:spacing w:before="5pt" w:beforeAutospacing="1"/>
        <w:jc w:val="both"/>
        <w:rPr>
          <w:sz w:val="16"/>
          <w:szCs w:val="16"/>
        </w:rPr>
      </w:pPr>
    </w:p>
    <w:p>
      <w:pPr>
        <w:pStyle w:val="Author"/>
        <w:spacing w:before="5pt" w:beforeAutospacing="1"/>
        <w:jc w:val="both"/>
        <w:rPr>
          <w:sz w:val="16"/>
          <w:szCs w:val="16"/>
        </w:rPr>
        <w:sectPr>
          <w:type w:val="continuous"/>
          <w:pgSz w:w="612pt" w:h="792pt" w:code="1"/>
          <w:pgMar w:top="54pt" w:right="44.65pt" w:bottom="72pt" w:left="44.65pt" w:header="36pt" w:footer="36pt" w:gutter="0pt"/>
          <w:cols w:num="4" w:space="10.80pt"/>
          <w:docGrid w:linePitch="360"/>
        </w:sectPr>
      </w:pPr>
    </w:p>
    <w:p>
      <w:pPr>
        <w:pStyle w:val="Abstract"/>
        <w:rPr>
          <w:i/>
          <w:iCs/>
        </w:rPr>
      </w:pPr>
      <w:r>
        <w:rPr>
          <w:i/>
          <w:iCs/>
        </w:rPr>
        <w:t>Abstract</w:t>
      </w:r>
      <w:r>
        <w:t xml:space="preserve">—The paper presents aspects for adoption of the automated test and measurement workflow and algorithms related to the study of power electronic converters. </w:t>
      </w:r>
      <w:r>
        <w:t>Particularly this is related with some peculiarities of various test bench configurations and how this test-bench configurations affect the speed, performance and accuracy of the carried measurements and produced data.</w:t>
      </w:r>
      <w:r>
        <w:t xml:space="preserve"> First a test without a device is performed to evaluate the measurement instruments and after that the effect of it has been investigated. The test is based on a virtual instrument (VI), written in Python programming language with various instrument control and data acquisition and processing libraries. The main idea of this VI is to preform efficiency tests of power converters. It is of critical aspect that the researcher is aware of this peculiarities in order to make accurate conclusions on power converter parameters such as efficiency, load and line regulation, reliability and safety of the devices tested.</w:t>
      </w:r>
    </w:p>
    <w:p>
      <w:pPr>
        <w:pStyle w:val="Keywords"/>
      </w:pPr>
      <w:r>
        <w:t xml:space="preserve">Keywords—power electronics, automated test and measurement, conversion efficiency, data </w:t>
      </w:r>
      <w:proofErr w:type="spellStart"/>
      <w:r>
        <w:t>acquisiton</w:t>
      </w:r>
      <w:proofErr w:type="spellEnd"/>
    </w:p>
    <w:p>
      <w:pPr>
        <w:pStyle w:val="Heading1"/>
      </w:pPr>
      <w:r>
        <w:t>Introduction</w:t>
      </w:r>
    </w:p>
    <w:p>
      <w:pPr>
        <w:pStyle w:val="BodyText"/>
        <w:rPr>
          <w:lang w:val="en-US"/>
        </w:rPr>
      </w:pPr>
      <w:r>
        <w:rPr>
          <w:lang w:val="en-US"/>
        </w:rPr>
        <w:t>Automated measurements in power electronic devices have become increasingly common in recent years, driven by advancements in sensor technology, data processing capabilities, and the need for efficient and accurate monitoring and control in various applications. Current state observations yield that many modern power electronic devices, such as inverters, converters, and motor drives, are equipped with built-in sensors and measurement circuits to monitor parameters like voltage, current, temperature, and power. These devices often include microcontrollers or dedicated measurement ICs to process and analyze the measured data in real-time. The integration of power electronic devices with the Internet of Things (</w:t>
      </w:r>
      <w:proofErr w:type="spellStart"/>
      <w:r>
        <w:rPr>
          <w:lang w:val="en-US"/>
        </w:rPr>
        <w:t>IoT</w:t>
      </w:r>
      <w:proofErr w:type="spellEnd"/>
      <w:r>
        <w:rPr>
          <w:lang w:val="en-US"/>
        </w:rPr>
        <w:t xml:space="preserve">) and Industry 4.0 concepts is driving the adoption of automated measurements further. By connecting power electronic devices to cloud-based platforms and data analytics tools, manufacturers can gather valuable insights into device performance, energy consumption, and operational trends across distributed systems. Automation of measurements in power electronics enables real-time monitoring, fault detection, and adaptive control strategies, leading to improved efficiency, reliability, and safety. Automated measurement systems can also facilitate remote monitoring and diagnostics, allowing for </w:t>
      </w:r>
      <w:r>
        <w:rPr>
          <w:lang w:val="en-US"/>
        </w:rPr>
        <w:t>predictive maintenance and optimization of system performance. Looking ahead, the future of automated measurements in power electronic devices is likely to be characterized by even greater levels of intelligence, autonomy, and connectivity. This includes advancements in sensor technology (for example wide-bandgap semiconductors, fiber-optic sensors), enhanced data processing capabilities (edge computing, Artificial Intelligence/Machine Learning algorithms, etc.), and seamless integration with emerging technologies such as 5G/6G networks and edge computing infrastructure.</w:t>
      </w:r>
    </w:p>
    <w:p>
      <w:pPr>
        <w:pStyle w:val="Heading1"/>
      </w:pPr>
      <w:r>
        <w:t>Goal of the study</w:t>
      </w:r>
    </w:p>
    <w:p>
      <w:pPr>
        <w:pStyle w:val="BodyText"/>
        <w:rPr>
          <w:lang w:val="en-US"/>
        </w:rPr>
      </w:pPr>
      <w:r>
        <w:rPr>
          <w:lang w:val="en-US"/>
        </w:rPr>
        <w:t xml:space="preserve">The present study is oriented at studying the influence of the automated measurement speed versus the accuracy of the measurements. From engineering perspective it is desired that the measurement cycles be as fast as possible and with absolute accuracy at best. However settling time of the power converters often impose a restrictions on how fast measurements can take place. Yet another restriction is the fluctuation of voltages and currents due to temperature, switching ripple, input and output regulation and electromagnetic interference. Some form of rounding can be implemented to remedy the effects, however the rounding steps, algorithm and approach should be carefully selected in order to acquire the most accurate data. Often neglected by the test personnel is the settling time of the instruments themselves – after all the involved laboratory units such as power supplies, electronic loads, digital </w:t>
      </w:r>
      <w:proofErr w:type="spellStart"/>
      <w:r>
        <w:rPr>
          <w:lang w:val="en-US"/>
        </w:rPr>
        <w:t>multimeters</w:t>
      </w:r>
      <w:proofErr w:type="spellEnd"/>
      <w:r>
        <w:rPr>
          <w:lang w:val="en-US"/>
        </w:rPr>
        <w:t>, oscilloscopes do have also some settling time, they do acquire ambient noise and electromagnetic interference, so care should be taken that the automated steps do allow some time their internal parameters and calibration algorithms to settle and perform an accurate measurement of the device under test.</w:t>
      </w:r>
    </w:p>
    <w:p>
      <w:pPr>
        <w:pStyle w:val="Heading2"/>
      </w:pPr>
      <w:r>
        <w:t>Testing approach</w:t>
      </w:r>
    </w:p>
    <w:p>
      <w:pPr>
        <w:pStyle w:val="BodyText"/>
        <w:rPr>
          <w:lang w:val="en-US"/>
        </w:rPr>
      </w:pPr>
      <w:r>
        <w:rPr>
          <w:lang w:val="en-US"/>
        </w:rPr>
        <w:t xml:space="preserve">The current study is carried out in the following systematic approach. First tests are performed only with the measurement and control instruments without an attached power electronic converter. Main takeaway of this study is to identify optimum delay between two measurements and whether there are differences between instruments, vendors and models. Second a full evaluation of the test bench is carried out and conclusions </w:t>
      </w:r>
      <w:r>
        <w:rPr>
          <w:lang w:val="en-US"/>
        </w:rPr>
        <w:lastRenderedPageBreak/>
        <w:t>are drawn based on the acquired results between the interaction between instruments and device-under-test. Obtained results would be of interest to both professionals in the field and trainees, students and people looking to get involved in the topic.</w:t>
      </w:r>
    </w:p>
    <w:p>
      <w:pPr>
        <w:pStyle w:val="Heading2"/>
      </w:pPr>
      <w:r>
        <w:t>Virtual instruments and software packages</w:t>
      </w:r>
    </w:p>
    <w:p>
      <w:pPr>
        <w:pStyle w:val="sponsors"/>
        <w:framePr w:wrap="auto" w:vAnchor="page" w:hAnchor="page" w:x="43.40pt" w:y="720.05pt"/>
        <w:ind w:firstLine="14.45pt"/>
        <w:rPr>
          <w:lang w:val="bg-BG"/>
        </w:rPr>
      </w:pPr>
      <w:r>
        <w:t xml:space="preserve">This work is funded by the research and development sector at the Technical University of Sofia, contract </w:t>
      </w:r>
      <w:r>
        <w:rPr>
          <w:lang w:val="bg-BG"/>
        </w:rPr>
        <w:t xml:space="preserve">№ </w:t>
      </w:r>
      <w:r>
        <w:t>2</w:t>
      </w:r>
      <w:r>
        <w:rPr>
          <w:lang w:val="bg-BG"/>
        </w:rPr>
        <w:t>4</w:t>
      </w:r>
      <w:r>
        <w:t>1ПР0001</w:t>
      </w:r>
      <w:r>
        <w:rPr>
          <w:lang w:val="bg-BG"/>
        </w:rPr>
        <w:t>5</w:t>
      </w:r>
      <w:r>
        <w:t>-03/</w:t>
      </w:r>
      <w:r>
        <w:rPr>
          <w:lang w:val="bg-BG"/>
        </w:rPr>
        <w:t>28</w:t>
      </w:r>
      <w:r>
        <w:t>.0</w:t>
      </w:r>
      <w:r>
        <w:rPr>
          <w:lang w:val="bg-BG"/>
        </w:rPr>
        <w:t>3</w:t>
      </w:r>
      <w:r>
        <w:t>.202</w:t>
      </w:r>
      <w:r>
        <w:rPr>
          <w:lang w:val="bg-BG"/>
        </w:rPr>
        <w:t>4</w:t>
      </w:r>
    </w:p>
    <w:p>
      <w:pPr>
        <w:pStyle w:val="BodyText"/>
      </w:pPr>
      <w:r>
        <w:rPr>
          <w:lang w:val="en-US"/>
        </w:rPr>
        <w:t xml:space="preserve">The virtual instrument is based on the programming language Python with the following additional libraries: </w:t>
      </w:r>
      <w:r>
        <w:rPr>
          <w:rStyle w:val="HTMLDefinition"/>
        </w:rPr>
        <w:t>pandas</w:t>
      </w:r>
      <w:r>
        <w:rPr>
          <w:lang w:val="en-US"/>
        </w:rPr>
        <w:t xml:space="preserve">, </w:t>
      </w:r>
      <w:proofErr w:type="spellStart"/>
      <w:r>
        <w:rPr>
          <w:rStyle w:val="HTMLDefinition"/>
        </w:rPr>
        <w:t>pyvisa</w:t>
      </w:r>
      <w:proofErr w:type="spellEnd"/>
      <w:r>
        <w:rPr>
          <w:lang w:val="en-US"/>
        </w:rPr>
        <w:t xml:space="preserve">, </w:t>
      </w:r>
      <w:proofErr w:type="spellStart"/>
      <w:r>
        <w:rPr>
          <w:rStyle w:val="HTMLDefinition"/>
        </w:rPr>
        <w:t>mathplotlib</w:t>
      </w:r>
      <w:proofErr w:type="spellEnd"/>
      <w:r>
        <w:rPr>
          <w:lang w:val="en-US"/>
        </w:rPr>
        <w:t xml:space="preserve"> and for the graphical user interface (GUI) is used the </w:t>
      </w:r>
      <w:r>
        <w:rPr>
          <w:rStyle w:val="HTMLDefinition"/>
        </w:rPr>
        <w:t>PyQt6</w:t>
      </w:r>
      <w:r>
        <w:rPr>
          <w:lang w:val="en-US"/>
        </w:rPr>
        <w:t xml:space="preserve"> framework. A screenshot of the program in action is shown on figure 1.</w:t>
      </w:r>
      <w:r>
        <w:t xml:space="preserve"> </w:t>
      </w:r>
    </w:p>
    <w:p>
      <w:pPr>
        <w:pStyle w:val="BodyText"/>
        <w:ind w:firstLine="0pt"/>
      </w:pPr>
      <w:r>
        <w:rPr>
          <w:noProof/>
          <w:lang w:val="en-US" w:eastAsia="en-US"/>
        </w:rPr>
        <w:drawing>
          <wp:inline distT="0" distB="0" distL="0" distR="0">
            <wp:extent cx="3188335" cy="211518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8335" cy="2115185"/>
                    </a:xfrm>
                    <a:prstGeom prst="rect">
                      <a:avLst/>
                    </a:prstGeom>
                    <a:noFill/>
                    <a:ln>
                      <a:noFill/>
                    </a:ln>
                  </pic:spPr>
                </pic:pic>
              </a:graphicData>
            </a:graphic>
          </wp:inline>
        </w:drawing>
      </w:r>
    </w:p>
    <w:p>
      <w:pPr>
        <w:pStyle w:val="figurecaption"/>
      </w:pPr>
      <w:r>
        <w:t>Graphical user interface of the program for automated test and measurement</w:t>
      </w:r>
    </w:p>
    <w:p>
      <w:pPr>
        <w:pStyle w:val="BodyText"/>
      </w:pPr>
      <w:r>
        <w:rPr>
          <w:lang w:val="en-US"/>
        </w:rPr>
        <w:t xml:space="preserve">The basic instrument control GUI has the following sections – instrument selection by query from the </w:t>
      </w:r>
      <w:r>
        <w:rPr>
          <w:rStyle w:val="HTMLDefinition"/>
        </w:rPr>
        <w:t>COM</w:t>
      </w:r>
      <w:r>
        <w:rPr>
          <w:lang w:val="en-US"/>
        </w:rPr>
        <w:t xml:space="preserve"> ports (be it real or USB-emulated). Additional assistance is provided programmatically by querying the instruments first with the </w:t>
      </w:r>
      <w:r>
        <w:rPr>
          <w:rStyle w:val="HTMLDefinition"/>
        </w:rPr>
        <w:t>*IDN?</w:t>
      </w:r>
      <w:r>
        <w:rPr>
          <w:lang w:val="en-US"/>
        </w:rPr>
        <w:t xml:space="preserve"> string and placing them in selectable choice combo boxes, as shown on figure 2.</w:t>
      </w:r>
      <w:r>
        <w:t xml:space="preserve"> </w:t>
      </w:r>
    </w:p>
    <w:p>
      <w:pPr>
        <w:pStyle w:val="BodyText"/>
        <w:ind w:firstLine="0pt"/>
      </w:pPr>
      <w:r>
        <w:rPr>
          <w:noProof/>
          <w:lang w:val="en-US" w:eastAsia="en-US"/>
        </w:rPr>
        <w:drawing>
          <wp:inline distT="0" distB="0" distL="0" distR="0">
            <wp:extent cx="3188335" cy="1415449"/>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8335" cy="1415449"/>
                    </a:xfrm>
                    <a:prstGeom prst="rect">
                      <a:avLst/>
                    </a:prstGeom>
                    <a:noFill/>
                    <a:ln>
                      <a:noFill/>
                    </a:ln>
                  </pic:spPr>
                </pic:pic>
              </a:graphicData>
            </a:graphic>
          </wp:inline>
        </w:drawing>
      </w:r>
    </w:p>
    <w:p>
      <w:pPr>
        <w:pStyle w:val="figurecaption"/>
      </w:pPr>
      <w:r>
        <w:t>Dialog to choose power supply and electronic load, based on their *IDN? queries</w:t>
      </w:r>
    </w:p>
    <w:p>
      <w:pPr>
        <w:pStyle w:val="BodyText"/>
        <w:rPr>
          <w:lang w:val="en-US"/>
        </w:rPr>
      </w:pPr>
      <w:r>
        <w:rPr>
          <w:lang w:val="en-US"/>
        </w:rPr>
        <w:t xml:space="preserve">Next section is the test parameters definitions. It begins with fields to set the name of the tested converter, input voltage set-up and output current limit. The instrument is primarily designed to take automated load characteristics of a DC-DC converter, so next fields determine a test loop by entering data about the starting current value, step increase and the end threshold current. Also a very important feature is given to allow the user to adjust the time step at which the instruments change their settings. Additional options include a “Reset VDC on Measurements”, which resets the input voltage source after a measurement is acquired, for example when a converter is </w:t>
      </w:r>
      <w:r>
        <w:rPr>
          <w:lang w:val="en-US"/>
        </w:rPr>
        <w:t>required to go from 0 to nominal input and observe transients, etc. The option “Reset DC load on measurement” is similar, but resets the output load, this could be used to observe the transient response of the initial output voltage ramp-up. The last option named “Discharge capacitor on DC Load” is used to delay the turn-off of the electronic load until the output capacitors on the converter have been discharged fully, this can be used for safety and performance measures. Finally, a button to start the measurements and a progress bar of the measurement loop is placed below.</w:t>
      </w:r>
    </w:p>
    <w:p>
      <w:pPr>
        <w:pStyle w:val="BodyText"/>
        <w:rPr>
          <w:lang w:val="en-US"/>
        </w:rPr>
      </w:pPr>
      <w:r>
        <w:rPr>
          <w:lang w:val="en-US"/>
        </w:rPr>
        <w:t>As an additional safety and flexibility, “STOP” and “Disconnect VDC” buttons are placed, which can be used to interrupt measurements and take safety measurements if something abruptly goes wrong.</w:t>
      </w:r>
    </w:p>
    <w:p>
      <w:pPr>
        <w:pStyle w:val="BodyText"/>
        <w:rPr>
          <w:lang w:val="en-US"/>
        </w:rPr>
      </w:pPr>
      <w:r>
        <w:rPr>
          <w:lang w:val="en-US"/>
        </w:rPr>
        <w:t xml:space="preserve">On the right side using the </w:t>
      </w:r>
      <w:proofErr w:type="spellStart"/>
      <w:r>
        <w:rPr>
          <w:rStyle w:val="HTMLDefinition"/>
        </w:rPr>
        <w:t>mathplotlib</w:t>
      </w:r>
      <w:proofErr w:type="spellEnd"/>
      <w:r>
        <w:rPr>
          <w:lang w:val="en-US"/>
        </w:rPr>
        <w:t xml:space="preserve"> python package an efficiency curve is plotted after the measurements have been completed, allowing the operator to observe the obtained data. By clicking the “Save Data” button, the measurements are exported to an Excel file, where they can be later further processed.</w:t>
      </w:r>
    </w:p>
    <w:p>
      <w:pPr>
        <w:pStyle w:val="BodyText"/>
        <w:rPr>
          <w:lang w:val="en-US"/>
        </w:rPr>
      </w:pPr>
      <w:r>
        <w:rPr>
          <w:lang w:val="en-US"/>
        </w:rPr>
        <w:t>The processing program, running in parallel thread to the GUI has an extensive error handling capabilities and takes necessary steps to guarantee safe operation of the DC/DC converter and instruments. For example if an instrument is not found, the thread provides the operator with a dialog box and a message, that states that the connection has been lost. If the input power supply programmatically doesn’t respond, a message is stated that it should be stopped manually. On aborting of the measurements, both tools are suspended and reset to their default inactive state. All these features make the application very rugged and compliant with general safety precautions.</w:t>
      </w:r>
    </w:p>
    <w:p>
      <w:pPr>
        <w:pStyle w:val="Heading2"/>
      </w:pPr>
      <w:r>
        <w:t>Maintaining the Integrity of the Specifications</w:t>
      </w:r>
    </w:p>
    <w:p>
      <w:pPr>
        <w:pStyle w:val="sponsors"/>
        <w:framePr w:wrap="auto" w:vAnchor="page" w:hAnchor="page" w:x="43.40pt" w:y="720.05pt"/>
        <w:ind w:firstLine="14.45pt"/>
        <w:rPr>
          <w:lang w:val="bg-BG"/>
        </w:rPr>
      </w:pPr>
      <w:r>
        <w:t xml:space="preserve">This work is funded by the research and development sector at the Technical University of Sofia, contract </w:t>
      </w:r>
      <w:r>
        <w:rPr>
          <w:lang w:val="bg-BG"/>
        </w:rPr>
        <w:t xml:space="preserve">№ </w:t>
      </w:r>
      <w:r>
        <w:t>2</w:t>
      </w:r>
      <w:r>
        <w:rPr>
          <w:lang w:val="bg-BG"/>
        </w:rPr>
        <w:t>4</w:t>
      </w:r>
      <w:r>
        <w:t>1ПР0001</w:t>
      </w:r>
      <w:r>
        <w:rPr>
          <w:lang w:val="bg-BG"/>
        </w:rPr>
        <w:t>5</w:t>
      </w:r>
      <w:r>
        <w:t>-03/</w:t>
      </w:r>
      <w:r>
        <w:rPr>
          <w:lang w:val="bg-BG"/>
        </w:rPr>
        <w:t>28</w:t>
      </w:r>
      <w:r>
        <w:t>.0</w:t>
      </w:r>
      <w:r>
        <w:rPr>
          <w:lang w:val="bg-BG"/>
        </w:rPr>
        <w:t>3</w:t>
      </w:r>
      <w:r>
        <w:t>.202</w:t>
      </w:r>
      <w:r>
        <w:rPr>
          <w:lang w:val="bg-BG"/>
        </w:rPr>
        <w:t>4</w:t>
      </w:r>
    </w:p>
    <w:p>
      <w:pPr>
        <w:pStyle w:val="BodyText"/>
        <w:rPr>
          <w:lang w:val="en-US"/>
        </w:rPr>
      </w:pPr>
      <w:r>
        <w:rPr>
          <w:lang w:val="en-US"/>
        </w:rPr>
        <w:t>In order to produce accurate results, the operators need to be aware of the peculiarities of both the instruments and device under test. This means that they should be working in steady-state operation, the losses in the wiring and connecting conductors should be minimized as low as possible and protections or limits of the specifications shouldn’t be exceeded.</w:t>
      </w:r>
    </w:p>
    <w:p>
      <w:pPr>
        <w:pStyle w:val="Heading1"/>
      </w:pPr>
      <w:r>
        <w:t>Experiments</w:t>
      </w:r>
    </w:p>
    <w:p>
      <w:pPr>
        <w:pStyle w:val="BodyText"/>
      </w:pPr>
      <w:r>
        <w:rPr>
          <w:lang w:val="en-US"/>
        </w:rPr>
        <w:t xml:space="preserve">Several experiments have been conducted in order to demonstrate the peculiarities of the automated test and measurement. First a no device test is conducted to evaluate the settling time effect on the instruments and their influence on the measurements. After that a full set-up measurement is conducted with demonstration of the dependence on the device under test on the settling time of the instruments. The instruments being operated on are </w:t>
      </w:r>
      <w:r>
        <w:t xml:space="preserve">electronic-load TENMA 72-13210 </w:t>
      </w:r>
      <w:r>
        <w:rPr>
          <w:lang w:val="en-US"/>
        </w:rPr>
        <w:t xml:space="preserve">and input </w:t>
      </w:r>
      <w:r>
        <w:t xml:space="preserve">power supply  </w:t>
      </w:r>
      <w:proofErr w:type="spellStart"/>
      <w:r>
        <w:t>GwINSTEK</w:t>
      </w:r>
      <w:proofErr w:type="spellEnd"/>
      <w:r>
        <w:t xml:space="preserve"> PSW30-36 </w:t>
      </w:r>
      <w:r>
        <w:rPr>
          <w:lang w:val="en-US"/>
        </w:rPr>
        <w:t>with firmware report string as shown on figure 2. The host operating systems are both Windows 10 and Arch Linux in order to evaluate the open source and cross-platform nature of the software.</w:t>
      </w:r>
    </w:p>
    <w:p>
      <w:pPr>
        <w:pStyle w:val="Heading2"/>
      </w:pPr>
      <w:r>
        <w:t>No device under test instrument transient evaluation</w:t>
      </w:r>
    </w:p>
    <w:p>
      <w:pPr>
        <w:pStyle w:val="BodyText"/>
        <w:rPr>
          <w:lang w:val="en-US"/>
        </w:rPr>
      </w:pPr>
      <w:r>
        <w:rPr>
          <w:lang w:val="en-US"/>
        </w:rPr>
        <w:t xml:space="preserve">The tests of the settling time for the instruments is very important, because it will determine the accuracy of the measurements taken. Usually the desire is to conduct the measurements as fast as possible dictated by the need to test as </w:t>
      </w:r>
      <w:r>
        <w:rPr>
          <w:lang w:val="en-US"/>
        </w:rPr>
        <w:lastRenderedPageBreak/>
        <w:t>many devices as possible, but if the instrument is not supporting the nominal parameters, the device under test will also not be able to stabilize its parameters. Thus a standard time based evaluation of the instruments must be conducted in order to determine whether the instrument has sufficient delay to reach its steady state operation.</w:t>
      </w:r>
    </w:p>
    <w:p>
      <w:pPr>
        <w:pStyle w:val="BodyText"/>
        <w:rPr>
          <w:lang w:val="en-US"/>
        </w:rPr>
      </w:pPr>
      <w:r>
        <w:rPr>
          <w:lang w:val="en-US"/>
        </w:rPr>
        <w:t xml:space="preserve">For the first test a 50 </w:t>
      </w:r>
      <w:proofErr w:type="spellStart"/>
      <w:r>
        <w:rPr>
          <w:lang w:val="en-US"/>
        </w:rPr>
        <w:t>ms</w:t>
      </w:r>
      <w:proofErr w:type="spellEnd"/>
      <w:r>
        <w:rPr>
          <w:lang w:val="en-US"/>
        </w:rPr>
        <w:t xml:space="preserve"> delay between the measurements is carried. The results are summarized in table I. The table contains the momentary measurements of the input and output voltages and currents and the additional settings of the measurement’s procedures, such as input supply reset and electronic load reset.</w:t>
      </w:r>
    </w:p>
    <w:p>
      <w:pPr>
        <w:pStyle w:val="tablehead"/>
      </w:pPr>
      <w:r>
        <w:t>Results from 50ms measurement instruments settling time without device under test</w:t>
      </w:r>
    </w:p>
    <w:tbl>
      <w:tblPr>
        <w:tblStyle w:val="TableGrid"/>
        <w:tblW w:w="0pt" w:type="dxa"/>
        <w:tblLook w:firstRow="1" w:lastRow="0" w:firstColumn="1" w:lastColumn="0" w:noHBand="0" w:noVBand="1"/>
      </w:tblPr>
      <w:tblGrid>
        <w:gridCol w:w="1004"/>
        <w:gridCol w:w="1004"/>
        <w:gridCol w:w="1005"/>
        <w:gridCol w:w="1005"/>
        <w:gridCol w:w="1005"/>
      </w:tblGrid>
      <w:tr>
        <w:tc>
          <w:tcPr>
            <w:tcW w:w="251.15pt" w:type="dxa"/>
            <w:gridSpan w:val="5"/>
          </w:tcPr>
          <w:p>
            <w:pPr>
              <w:pStyle w:val="tablecolhead"/>
            </w:pPr>
            <w:r>
              <w:t>50ms measurements delay</w:t>
            </w:r>
          </w:p>
        </w:tc>
      </w:tr>
      <w:tr>
        <w:tc>
          <w:tcPr>
            <w:tcW w:w="50.20pt" w:type="dxa"/>
          </w:tcPr>
          <w:p>
            <w:pPr>
              <w:pStyle w:val="tablecolhead"/>
            </w:pPr>
            <w:r>
              <w:t>Input Current [A]</w:t>
            </w:r>
          </w:p>
        </w:tc>
        <w:tc>
          <w:tcPr>
            <w:tcW w:w="50.20pt" w:type="dxa"/>
          </w:tcPr>
          <w:p>
            <w:pPr>
              <w:pStyle w:val="tablecolhead"/>
            </w:pPr>
            <w:r>
              <w:t>Input Voltage [V]</w:t>
            </w:r>
          </w:p>
        </w:tc>
        <w:tc>
          <w:tcPr>
            <w:tcW w:w="50.25pt" w:type="dxa"/>
          </w:tcPr>
          <w:p>
            <w:pPr>
              <w:pStyle w:val="tablecolhead"/>
            </w:pPr>
            <w:r>
              <w:t>Output Voltage [V]</w:t>
            </w:r>
          </w:p>
        </w:tc>
        <w:tc>
          <w:tcPr>
            <w:tcW w:w="50.25pt" w:type="dxa"/>
          </w:tcPr>
          <w:p>
            <w:pPr>
              <w:pStyle w:val="tablecolhead"/>
            </w:pPr>
            <w:r>
              <w:t>Output Current [A]</w:t>
            </w:r>
          </w:p>
        </w:tc>
        <w:tc>
          <w:tcPr>
            <w:tcW w:w="50.25pt" w:type="dxa"/>
          </w:tcPr>
          <w:p>
            <w:pPr>
              <w:pStyle w:val="tablecolhead"/>
            </w:pPr>
            <w:r>
              <w:t>Mode</w:t>
            </w:r>
          </w:p>
        </w:tc>
      </w:tr>
      <w:tr>
        <w:tc>
          <w:tcPr>
            <w:tcW w:w="50.20pt" w:type="dxa"/>
          </w:tcPr>
          <w:p>
            <w:r>
              <w:t>0,105</w:t>
            </w:r>
          </w:p>
        </w:tc>
        <w:tc>
          <w:tcPr>
            <w:tcW w:w="50.20pt" w:type="dxa"/>
          </w:tcPr>
          <w:p>
            <w:r>
              <w:t>1,859</w:t>
            </w:r>
          </w:p>
        </w:tc>
        <w:tc>
          <w:tcPr>
            <w:tcW w:w="50.25pt" w:type="dxa"/>
          </w:tcPr>
          <w:p>
            <w:r>
              <w:t>0</w:t>
            </w:r>
          </w:p>
        </w:tc>
        <w:tc>
          <w:tcPr>
            <w:tcW w:w="50.25pt" w:type="dxa"/>
          </w:tcPr>
          <w:p>
            <w:r>
              <w:t>0</w:t>
            </w:r>
          </w:p>
        </w:tc>
        <w:tc>
          <w:tcPr>
            <w:tcW w:w="50.25pt" w:type="dxa"/>
            <w:vMerge w:val="restart"/>
          </w:tcPr>
          <w:p>
            <w:r>
              <w:t>No reset</w:t>
            </w:r>
          </w:p>
          <w:p/>
        </w:tc>
      </w:tr>
      <w:tr>
        <w:tc>
          <w:tcPr>
            <w:tcW w:w="50.20pt" w:type="dxa"/>
          </w:tcPr>
          <w:p>
            <w:r>
              <w:t>0,071</w:t>
            </w:r>
          </w:p>
        </w:tc>
        <w:tc>
          <w:tcPr>
            <w:tcW w:w="50.20pt" w:type="dxa"/>
          </w:tcPr>
          <w:p>
            <w:r>
              <w:t>14,966</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14,996</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0,422</w:t>
            </w:r>
          </w:p>
        </w:tc>
        <w:tc>
          <w:tcPr>
            <w:tcW w:w="50.20pt" w:type="dxa"/>
          </w:tcPr>
          <w:p>
            <w:r>
              <w:t>1,895</w:t>
            </w:r>
          </w:p>
        </w:tc>
        <w:tc>
          <w:tcPr>
            <w:tcW w:w="50.25pt" w:type="dxa"/>
          </w:tcPr>
          <w:p>
            <w:r>
              <w:t>0</w:t>
            </w:r>
          </w:p>
        </w:tc>
        <w:tc>
          <w:tcPr>
            <w:tcW w:w="50.25pt" w:type="dxa"/>
          </w:tcPr>
          <w:p>
            <w:r>
              <w:t>0</w:t>
            </w:r>
          </w:p>
        </w:tc>
        <w:tc>
          <w:tcPr>
            <w:tcW w:w="50.25pt" w:type="dxa"/>
            <w:vMerge w:val="restart"/>
          </w:tcPr>
          <w:p>
            <w:r>
              <w:t>VDC Reset</w:t>
            </w:r>
          </w:p>
          <w:p/>
        </w:tc>
      </w:tr>
      <w:tr>
        <w:tc>
          <w:tcPr>
            <w:tcW w:w="50.20pt" w:type="dxa"/>
          </w:tcPr>
          <w:p>
            <w:r>
              <w:t>0,356</w:t>
            </w:r>
          </w:p>
        </w:tc>
        <w:tc>
          <w:tcPr>
            <w:tcW w:w="50.20pt" w:type="dxa"/>
          </w:tcPr>
          <w:p>
            <w:r>
              <w:t>10,775</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0,777</w:t>
            </w:r>
          </w:p>
        </w:tc>
        <w:tc>
          <w:tcPr>
            <w:tcW w:w="50.20pt" w:type="dxa"/>
          </w:tcPr>
          <w:p>
            <w:r>
              <w:t>10,077</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0,404</w:t>
            </w:r>
          </w:p>
        </w:tc>
        <w:tc>
          <w:tcPr>
            <w:tcW w:w="50.20pt" w:type="dxa"/>
          </w:tcPr>
          <w:p>
            <w:r>
              <w:t>11,031</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0,448</w:t>
            </w:r>
          </w:p>
        </w:tc>
        <w:tc>
          <w:tcPr>
            <w:tcW w:w="50.20pt" w:type="dxa"/>
          </w:tcPr>
          <w:p>
            <w:r>
              <w:t>10,807</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0,042</w:t>
            </w:r>
          </w:p>
        </w:tc>
        <w:tc>
          <w:tcPr>
            <w:tcW w:w="50.20pt" w:type="dxa"/>
          </w:tcPr>
          <w:p>
            <w:r>
              <w:t>2,149</w:t>
            </w:r>
          </w:p>
        </w:tc>
        <w:tc>
          <w:tcPr>
            <w:tcW w:w="50.25pt" w:type="dxa"/>
          </w:tcPr>
          <w:p>
            <w:r>
              <w:t>0</w:t>
            </w:r>
          </w:p>
        </w:tc>
        <w:tc>
          <w:tcPr>
            <w:tcW w:w="50.25pt" w:type="dxa"/>
          </w:tcPr>
          <w:p>
            <w:r>
              <w:t>0</w:t>
            </w:r>
          </w:p>
        </w:tc>
        <w:tc>
          <w:tcPr>
            <w:tcW w:w="50.25pt" w:type="dxa"/>
            <w:vMerge w:val="restart"/>
          </w:tcPr>
          <w:p>
            <w:r>
              <w:t>Load Reset</w:t>
            </w:r>
          </w:p>
          <w:p/>
        </w:tc>
      </w:tr>
      <w:tr>
        <w:tc>
          <w:tcPr>
            <w:tcW w:w="50.20pt" w:type="dxa"/>
          </w:tcPr>
          <w:p>
            <w:r>
              <w:t>0</w:t>
            </w:r>
          </w:p>
        </w:tc>
        <w:tc>
          <w:tcPr>
            <w:tcW w:w="50.20pt" w:type="dxa"/>
          </w:tcPr>
          <w:p>
            <w:r>
              <w:t>14,992</w:t>
            </w:r>
          </w:p>
        </w:tc>
        <w:tc>
          <w:tcPr>
            <w:tcW w:w="50.25pt" w:type="dxa"/>
          </w:tcPr>
          <w:p>
            <w:r>
              <w:t>0,0616</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14,996</w:t>
            </w:r>
          </w:p>
        </w:tc>
        <w:tc>
          <w:tcPr>
            <w:tcW w:w="50.25pt" w:type="dxa"/>
          </w:tcPr>
          <w:p>
            <w:r>
              <w:t>0,1133</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14,997</w:t>
            </w:r>
          </w:p>
        </w:tc>
        <w:tc>
          <w:tcPr>
            <w:tcW w:w="50.25pt" w:type="dxa"/>
          </w:tcPr>
          <w:p>
            <w:r>
              <w:t>0,077</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14,998</w:t>
            </w:r>
          </w:p>
        </w:tc>
        <w:tc>
          <w:tcPr>
            <w:tcW w:w="50.25pt" w:type="dxa"/>
          </w:tcPr>
          <w:p>
            <w:r>
              <w:t>0,077</w:t>
            </w:r>
          </w:p>
        </w:tc>
        <w:tc>
          <w:tcPr>
            <w:tcW w:w="50.25pt" w:type="dxa"/>
          </w:tcPr>
          <w:p>
            <w:r>
              <w:t>0</w:t>
            </w:r>
          </w:p>
        </w:tc>
        <w:tc>
          <w:tcPr>
            <w:tcW w:w="50.25pt" w:type="dxa"/>
            <w:vMerge/>
          </w:tcPr>
          <w:p>
            <w:pPr>
              <w:pStyle w:val="BodyText"/>
              <w:ind w:firstLine="0pt"/>
              <w:rPr>
                <w:lang w:val="en-US"/>
              </w:rPr>
            </w:pPr>
          </w:p>
        </w:tc>
      </w:tr>
      <w:tr>
        <w:tc>
          <w:tcPr>
            <w:tcW w:w="50.20pt" w:type="dxa"/>
          </w:tcPr>
          <w:p>
            <w:r>
              <w:t>0,363</w:t>
            </w:r>
          </w:p>
        </w:tc>
        <w:tc>
          <w:tcPr>
            <w:tcW w:w="50.20pt" w:type="dxa"/>
          </w:tcPr>
          <w:p>
            <w:r>
              <w:t>2,984</w:t>
            </w:r>
          </w:p>
        </w:tc>
        <w:tc>
          <w:tcPr>
            <w:tcW w:w="50.25pt" w:type="dxa"/>
          </w:tcPr>
          <w:p>
            <w:r>
              <w:t>0</w:t>
            </w:r>
          </w:p>
        </w:tc>
        <w:tc>
          <w:tcPr>
            <w:tcW w:w="50.25pt" w:type="dxa"/>
          </w:tcPr>
          <w:p>
            <w:r>
              <w:t>0</w:t>
            </w:r>
          </w:p>
        </w:tc>
        <w:tc>
          <w:tcPr>
            <w:tcW w:w="50.25pt" w:type="dxa"/>
            <w:vMerge w:val="restart"/>
          </w:tcPr>
          <w:p>
            <w:r>
              <w:t>VDC &amp; Load Reset</w:t>
            </w:r>
          </w:p>
        </w:tc>
      </w:tr>
      <w:tr>
        <w:tc>
          <w:tcPr>
            <w:tcW w:w="50.20pt" w:type="dxa"/>
          </w:tcPr>
          <w:p>
            <w:r>
              <w:t>0,926</w:t>
            </w:r>
          </w:p>
        </w:tc>
        <w:tc>
          <w:tcPr>
            <w:tcW w:w="50.20pt" w:type="dxa"/>
          </w:tcPr>
          <w:p>
            <w:r>
              <w:t>10,537</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0,377</w:t>
            </w:r>
          </w:p>
        </w:tc>
        <w:tc>
          <w:tcPr>
            <w:tcW w:w="50.20pt" w:type="dxa"/>
          </w:tcPr>
          <w:p>
            <w:r>
              <w:t>10,144</w:t>
            </w:r>
          </w:p>
        </w:tc>
        <w:tc>
          <w:tcPr>
            <w:tcW w:w="50.25pt" w:type="dxa"/>
          </w:tcPr>
          <w:p>
            <w:r>
              <w:t>0,1606</w:t>
            </w:r>
          </w:p>
        </w:tc>
        <w:tc>
          <w:tcPr>
            <w:tcW w:w="50.25pt" w:type="dxa"/>
          </w:tcPr>
          <w:p>
            <w:r>
              <w:t>0</w:t>
            </w:r>
          </w:p>
        </w:tc>
        <w:tc>
          <w:tcPr>
            <w:tcW w:w="50.25pt" w:type="dxa"/>
            <w:vMerge/>
          </w:tcPr>
          <w:p>
            <w:pPr>
              <w:pStyle w:val="BodyText"/>
              <w:ind w:firstLine="0pt"/>
              <w:rPr>
                <w:lang w:val="en-US"/>
              </w:rPr>
            </w:pPr>
          </w:p>
        </w:tc>
      </w:tr>
      <w:tr>
        <w:tc>
          <w:tcPr>
            <w:tcW w:w="50.20pt" w:type="dxa"/>
          </w:tcPr>
          <w:p>
            <w:r>
              <w:t>0,682</w:t>
            </w:r>
          </w:p>
        </w:tc>
        <w:tc>
          <w:tcPr>
            <w:tcW w:w="50.20pt" w:type="dxa"/>
          </w:tcPr>
          <w:p>
            <w:r>
              <w:t>10,098</w:t>
            </w:r>
          </w:p>
        </w:tc>
        <w:tc>
          <w:tcPr>
            <w:tcW w:w="50.25pt" w:type="dxa"/>
          </w:tcPr>
          <w:p>
            <w:r>
              <w:t>0,1141</w:t>
            </w:r>
          </w:p>
        </w:tc>
        <w:tc>
          <w:tcPr>
            <w:tcW w:w="50.25pt" w:type="dxa"/>
          </w:tcPr>
          <w:p>
            <w:r>
              <w:t>0</w:t>
            </w:r>
          </w:p>
        </w:tc>
        <w:tc>
          <w:tcPr>
            <w:tcW w:w="50.25pt" w:type="dxa"/>
            <w:vMerge/>
          </w:tcPr>
          <w:p>
            <w:pPr>
              <w:pStyle w:val="BodyText"/>
              <w:ind w:firstLine="0pt"/>
              <w:rPr>
                <w:lang w:val="en-US"/>
              </w:rPr>
            </w:pPr>
          </w:p>
        </w:tc>
      </w:tr>
      <w:tr>
        <w:tc>
          <w:tcPr>
            <w:tcW w:w="50.20pt" w:type="dxa"/>
          </w:tcPr>
          <w:p>
            <w:r>
              <w:t>0,743</w:t>
            </w:r>
          </w:p>
        </w:tc>
        <w:tc>
          <w:tcPr>
            <w:tcW w:w="50.20pt" w:type="dxa"/>
          </w:tcPr>
          <w:p>
            <w:r>
              <w:t>10,146</w:t>
            </w:r>
          </w:p>
        </w:tc>
        <w:tc>
          <w:tcPr>
            <w:tcW w:w="50.25pt" w:type="dxa"/>
          </w:tcPr>
          <w:p>
            <w:r>
              <w:t>0,0726</w:t>
            </w:r>
          </w:p>
        </w:tc>
        <w:tc>
          <w:tcPr>
            <w:tcW w:w="50.25pt" w:type="dxa"/>
          </w:tcPr>
          <w:p>
            <w:r>
              <w:t>0</w:t>
            </w:r>
          </w:p>
        </w:tc>
        <w:tc>
          <w:tcPr>
            <w:tcW w:w="50.25pt" w:type="dxa"/>
            <w:vMerge/>
          </w:tcPr>
          <w:p>
            <w:pPr>
              <w:pStyle w:val="BodyText"/>
              <w:ind w:firstLine="0pt"/>
              <w:rPr>
                <w:lang w:val="en-US"/>
              </w:rPr>
            </w:pPr>
          </w:p>
        </w:tc>
      </w:tr>
    </w:tbl>
    <w:p>
      <w:pPr>
        <w:pStyle w:val="BodyText"/>
        <w:rPr>
          <w:lang w:val="en-US"/>
        </w:rPr>
      </w:pPr>
      <w:r>
        <w:rPr>
          <w:lang w:val="en-US"/>
        </w:rPr>
        <w:t xml:space="preserve">The desired input voltage is defined as 15V and the constant current (CC) threshold setting is 1A. The electronic load is set to achieve constant current setting of 0 to 1A with 0.2A step. As it can be observed, the input power supply doesn’t have enough time to settle down, however if there is no output reset, after a while the output is stabilized (output capacitors are loaded) and the output voltage seems “stable”. However whether the output or load is reset, the devices don’t seem to be able to settle for 50 </w:t>
      </w:r>
      <w:proofErr w:type="spellStart"/>
      <w:r>
        <w:rPr>
          <w:lang w:val="en-US"/>
        </w:rPr>
        <w:t>ms.</w:t>
      </w:r>
      <w:proofErr w:type="spellEnd"/>
    </w:p>
    <w:p>
      <w:pPr>
        <w:pStyle w:val="BodyText"/>
        <w:rPr>
          <w:lang w:val="en-US"/>
        </w:rPr>
      </w:pPr>
      <w:r>
        <w:rPr>
          <w:lang w:val="en-US"/>
        </w:rPr>
        <w:t xml:space="preserve"> In table II are presented the same tests with the same parameters except the measurement interval is defined to be 100 </w:t>
      </w:r>
      <w:proofErr w:type="spellStart"/>
      <w:r>
        <w:rPr>
          <w:lang w:val="en-US"/>
        </w:rPr>
        <w:t>ms.</w:t>
      </w:r>
      <w:proofErr w:type="spellEnd"/>
      <w:r>
        <w:rPr>
          <w:lang w:val="en-US"/>
        </w:rPr>
        <w:t xml:space="preserve"> Looking at the numbers it is observed that the devices still don’t have enough time to settle exactly, however regarding the amplitudes, they are nearing the desired parameters. </w:t>
      </w:r>
    </w:p>
    <w:p>
      <w:pPr>
        <w:pStyle w:val="tablehead"/>
      </w:pPr>
      <w:r>
        <w:t>Results from 100ms measurement instruments settling time without device under test</w:t>
      </w:r>
    </w:p>
    <w:tbl>
      <w:tblPr>
        <w:tblStyle w:val="TableGrid"/>
        <w:tblW w:w="0pt" w:type="dxa"/>
        <w:tblLook w:firstRow="1" w:lastRow="0" w:firstColumn="1" w:lastColumn="0" w:noHBand="0" w:noVBand="1"/>
      </w:tblPr>
      <w:tblGrid>
        <w:gridCol w:w="1004"/>
        <w:gridCol w:w="1004"/>
        <w:gridCol w:w="1005"/>
        <w:gridCol w:w="1005"/>
        <w:gridCol w:w="1005"/>
      </w:tblGrid>
      <w:tr>
        <w:tc>
          <w:tcPr>
            <w:tcW w:w="251.15pt" w:type="dxa"/>
            <w:gridSpan w:val="5"/>
          </w:tcPr>
          <w:p>
            <w:pPr>
              <w:pStyle w:val="tablecolhead"/>
            </w:pPr>
            <w:r>
              <w:t>100ms measurements delay</w:t>
            </w:r>
          </w:p>
        </w:tc>
      </w:tr>
      <w:tr>
        <w:tc>
          <w:tcPr>
            <w:tcW w:w="50.20pt" w:type="dxa"/>
          </w:tcPr>
          <w:p>
            <w:pPr>
              <w:pStyle w:val="tablecolhead"/>
            </w:pPr>
            <w:r>
              <w:t>Input Current [A]</w:t>
            </w:r>
          </w:p>
        </w:tc>
        <w:tc>
          <w:tcPr>
            <w:tcW w:w="50.20pt" w:type="dxa"/>
          </w:tcPr>
          <w:p>
            <w:pPr>
              <w:pStyle w:val="tablecolhead"/>
            </w:pPr>
            <w:r>
              <w:t>Input Voltage [V]</w:t>
            </w:r>
          </w:p>
        </w:tc>
        <w:tc>
          <w:tcPr>
            <w:tcW w:w="50.25pt" w:type="dxa"/>
          </w:tcPr>
          <w:p>
            <w:pPr>
              <w:pStyle w:val="tablecolhead"/>
            </w:pPr>
            <w:r>
              <w:t>Output Voltage [V]</w:t>
            </w:r>
          </w:p>
        </w:tc>
        <w:tc>
          <w:tcPr>
            <w:tcW w:w="50.25pt" w:type="dxa"/>
          </w:tcPr>
          <w:p>
            <w:pPr>
              <w:pStyle w:val="tablecolhead"/>
            </w:pPr>
            <w:r>
              <w:t>Output Current [A]</w:t>
            </w:r>
          </w:p>
        </w:tc>
        <w:tc>
          <w:tcPr>
            <w:tcW w:w="50.25pt" w:type="dxa"/>
          </w:tcPr>
          <w:p>
            <w:pPr>
              <w:pStyle w:val="tablecolhead"/>
            </w:pPr>
            <w:r>
              <w:t>Mode</w:t>
            </w:r>
          </w:p>
        </w:tc>
      </w:tr>
      <w:tr>
        <w:tc>
          <w:tcPr>
            <w:tcW w:w="50.20pt" w:type="dxa"/>
          </w:tcPr>
          <w:p>
            <w:r>
              <w:t>0,722</w:t>
            </w:r>
          </w:p>
        </w:tc>
        <w:tc>
          <w:tcPr>
            <w:tcW w:w="50.20pt" w:type="dxa"/>
          </w:tcPr>
          <w:p>
            <w:r>
              <w:t>12,212</w:t>
            </w:r>
          </w:p>
        </w:tc>
        <w:tc>
          <w:tcPr>
            <w:tcW w:w="50.25pt" w:type="dxa"/>
          </w:tcPr>
          <w:p>
            <w:r>
              <w:t>0</w:t>
            </w:r>
          </w:p>
        </w:tc>
        <w:tc>
          <w:tcPr>
            <w:tcW w:w="50.25pt" w:type="dxa"/>
          </w:tcPr>
          <w:p>
            <w:r>
              <w:t>0</w:t>
            </w:r>
          </w:p>
        </w:tc>
        <w:tc>
          <w:tcPr>
            <w:tcW w:w="50.25pt" w:type="dxa"/>
            <w:vMerge w:val="restart"/>
            <w:vAlign w:val="center"/>
          </w:tcPr>
          <w:p>
            <w:r>
              <w:t>No reset</w:t>
            </w:r>
          </w:p>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14,997</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0,684</w:t>
            </w:r>
          </w:p>
        </w:tc>
        <w:tc>
          <w:tcPr>
            <w:tcW w:w="50.20pt" w:type="dxa"/>
          </w:tcPr>
          <w:p>
            <w:r>
              <w:t>12,357</w:t>
            </w:r>
          </w:p>
        </w:tc>
        <w:tc>
          <w:tcPr>
            <w:tcW w:w="50.25pt" w:type="dxa"/>
          </w:tcPr>
          <w:p>
            <w:r>
              <w:t>0</w:t>
            </w:r>
          </w:p>
        </w:tc>
        <w:tc>
          <w:tcPr>
            <w:tcW w:w="50.25pt" w:type="dxa"/>
          </w:tcPr>
          <w:p>
            <w:r>
              <w:t>0</w:t>
            </w:r>
          </w:p>
        </w:tc>
        <w:tc>
          <w:tcPr>
            <w:tcW w:w="50.25pt" w:type="dxa"/>
            <w:vMerge w:val="restart"/>
            <w:vAlign w:val="center"/>
          </w:tcPr>
          <w:p>
            <w:r>
              <w:t>VDC Reset</w:t>
            </w:r>
          </w:p>
        </w:tc>
      </w:tr>
      <w:tr>
        <w:tc>
          <w:tcPr>
            <w:tcW w:w="50.20pt" w:type="dxa"/>
          </w:tcPr>
          <w:p>
            <w:r>
              <w:t>0,534</w:t>
            </w:r>
          </w:p>
        </w:tc>
        <w:tc>
          <w:tcPr>
            <w:tcW w:w="50.20pt" w:type="dxa"/>
          </w:tcPr>
          <w:p>
            <w:r>
              <w:t>14,815</w:t>
            </w:r>
          </w:p>
        </w:tc>
        <w:tc>
          <w:tcPr>
            <w:tcW w:w="50.25pt" w:type="dxa"/>
          </w:tcPr>
          <w:p>
            <w:r>
              <w:t>0,0017</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0,474</w:t>
            </w:r>
          </w:p>
        </w:tc>
        <w:tc>
          <w:tcPr>
            <w:tcW w:w="50.20pt" w:type="dxa"/>
          </w:tcPr>
          <w:p>
            <w:r>
              <w:t>14,753</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0,592</w:t>
            </w:r>
          </w:p>
        </w:tc>
        <w:tc>
          <w:tcPr>
            <w:tcW w:w="50.20pt" w:type="dxa"/>
          </w:tcPr>
          <w:p>
            <w:r>
              <w:t>14,78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0,546</w:t>
            </w:r>
          </w:p>
        </w:tc>
        <w:tc>
          <w:tcPr>
            <w:tcW w:w="50.20pt" w:type="dxa"/>
          </w:tcPr>
          <w:p>
            <w:r>
              <w:t>14,822</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1,14</w:t>
            </w:r>
          </w:p>
        </w:tc>
        <w:tc>
          <w:tcPr>
            <w:tcW w:w="50.20pt" w:type="dxa"/>
          </w:tcPr>
          <w:p>
            <w:r>
              <w:t>12,071</w:t>
            </w:r>
          </w:p>
        </w:tc>
        <w:tc>
          <w:tcPr>
            <w:tcW w:w="50.25pt" w:type="dxa"/>
          </w:tcPr>
          <w:p>
            <w:r>
              <w:t>0</w:t>
            </w:r>
          </w:p>
        </w:tc>
        <w:tc>
          <w:tcPr>
            <w:tcW w:w="50.25pt" w:type="dxa"/>
          </w:tcPr>
          <w:p>
            <w:r>
              <w:t>0</w:t>
            </w:r>
          </w:p>
        </w:tc>
        <w:tc>
          <w:tcPr>
            <w:tcW w:w="50.25pt" w:type="dxa"/>
            <w:vMerge w:val="restart"/>
            <w:vAlign w:val="center"/>
          </w:tcPr>
          <w:p>
            <w:r>
              <w:t>Load Reset</w:t>
            </w:r>
          </w:p>
        </w:tc>
      </w:tr>
      <w:tr>
        <w:tc>
          <w:tcPr>
            <w:tcW w:w="50.20pt" w:type="dxa"/>
          </w:tcPr>
          <w:p>
            <w:r>
              <w:t>0</w:t>
            </w:r>
          </w:p>
        </w:tc>
        <w:tc>
          <w:tcPr>
            <w:tcW w:w="50.20pt" w:type="dxa"/>
          </w:tcPr>
          <w:p>
            <w:r>
              <w:t>14,997</w:t>
            </w:r>
          </w:p>
        </w:tc>
        <w:tc>
          <w:tcPr>
            <w:tcW w:w="50.25pt" w:type="dxa"/>
          </w:tcPr>
          <w:p>
            <w:r>
              <w:t>0,089</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14,997</w:t>
            </w:r>
          </w:p>
        </w:tc>
        <w:tc>
          <w:tcPr>
            <w:tcW w:w="50.25pt" w:type="dxa"/>
          </w:tcPr>
          <w:p>
            <w:r>
              <w:t>0,1003</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0,1033</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0,074</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1,558</w:t>
            </w:r>
          </w:p>
        </w:tc>
        <w:tc>
          <w:tcPr>
            <w:tcW w:w="50.20pt" w:type="dxa"/>
          </w:tcPr>
          <w:p>
            <w:r>
              <w:t>11,031</w:t>
            </w:r>
          </w:p>
        </w:tc>
        <w:tc>
          <w:tcPr>
            <w:tcW w:w="50.25pt" w:type="dxa"/>
          </w:tcPr>
          <w:p>
            <w:r>
              <w:t>0</w:t>
            </w:r>
          </w:p>
        </w:tc>
        <w:tc>
          <w:tcPr>
            <w:tcW w:w="50.25pt" w:type="dxa"/>
          </w:tcPr>
          <w:p>
            <w:r>
              <w:t>0</w:t>
            </w:r>
          </w:p>
        </w:tc>
        <w:tc>
          <w:tcPr>
            <w:tcW w:w="50.25pt" w:type="dxa"/>
            <w:vMerge w:val="restart"/>
            <w:vAlign w:val="center"/>
          </w:tcPr>
          <w:p>
            <w:r>
              <w:t>VDC &amp; Load Reset</w:t>
            </w:r>
          </w:p>
        </w:tc>
      </w:tr>
      <w:tr>
        <w:tc>
          <w:tcPr>
            <w:tcW w:w="50.20pt" w:type="dxa"/>
          </w:tcPr>
          <w:p>
            <w:r>
              <w:t>0,442</w:t>
            </w:r>
          </w:p>
        </w:tc>
        <w:tc>
          <w:tcPr>
            <w:tcW w:w="50.20pt" w:type="dxa"/>
          </w:tcPr>
          <w:p>
            <w:r>
              <w:t>14,75</w:t>
            </w:r>
          </w:p>
        </w:tc>
        <w:tc>
          <w:tcPr>
            <w:tcW w:w="50.25pt" w:type="dxa"/>
          </w:tcPr>
          <w:p>
            <w:r>
              <w:t>0,1404</w:t>
            </w:r>
          </w:p>
        </w:tc>
        <w:tc>
          <w:tcPr>
            <w:tcW w:w="50.25pt" w:type="dxa"/>
          </w:tcPr>
          <w:p>
            <w:r>
              <w:t>0</w:t>
            </w:r>
          </w:p>
        </w:tc>
        <w:tc>
          <w:tcPr>
            <w:tcW w:w="50.25pt" w:type="dxa"/>
            <w:vMerge/>
          </w:tcPr>
          <w:p>
            <w:pPr>
              <w:pStyle w:val="BodyText"/>
              <w:ind w:firstLine="0pt"/>
              <w:rPr>
                <w:lang w:val="en-US"/>
              </w:rPr>
            </w:pPr>
          </w:p>
        </w:tc>
      </w:tr>
      <w:tr>
        <w:tc>
          <w:tcPr>
            <w:tcW w:w="50.20pt" w:type="dxa"/>
          </w:tcPr>
          <w:p>
            <w:r>
              <w:t>0,509</w:t>
            </w:r>
          </w:p>
        </w:tc>
        <w:tc>
          <w:tcPr>
            <w:tcW w:w="50.20pt" w:type="dxa"/>
          </w:tcPr>
          <w:p>
            <w:r>
              <w:t>14,793</w:t>
            </w:r>
          </w:p>
        </w:tc>
        <w:tc>
          <w:tcPr>
            <w:tcW w:w="50.25pt" w:type="dxa"/>
          </w:tcPr>
          <w:p>
            <w:r>
              <w:t>0,1114</w:t>
            </w:r>
          </w:p>
        </w:tc>
        <w:tc>
          <w:tcPr>
            <w:tcW w:w="50.25pt" w:type="dxa"/>
          </w:tcPr>
          <w:p>
            <w:r>
              <w:t>0</w:t>
            </w:r>
          </w:p>
        </w:tc>
        <w:tc>
          <w:tcPr>
            <w:tcW w:w="50.25pt" w:type="dxa"/>
            <w:vMerge/>
          </w:tcPr>
          <w:p>
            <w:pPr>
              <w:pStyle w:val="BodyText"/>
              <w:ind w:firstLine="0pt"/>
              <w:rPr>
                <w:lang w:val="en-US"/>
              </w:rPr>
            </w:pPr>
          </w:p>
        </w:tc>
      </w:tr>
      <w:tr>
        <w:tc>
          <w:tcPr>
            <w:tcW w:w="50.20pt" w:type="dxa"/>
          </w:tcPr>
          <w:p>
            <w:r>
              <w:t>0,448</w:t>
            </w:r>
          </w:p>
        </w:tc>
        <w:tc>
          <w:tcPr>
            <w:tcW w:w="50.20pt" w:type="dxa"/>
          </w:tcPr>
          <w:p>
            <w:r>
              <w:t>14,77</w:t>
            </w:r>
          </w:p>
        </w:tc>
        <w:tc>
          <w:tcPr>
            <w:tcW w:w="50.25pt" w:type="dxa"/>
          </w:tcPr>
          <w:p>
            <w:r>
              <w:t>0,077</w:t>
            </w:r>
          </w:p>
        </w:tc>
        <w:tc>
          <w:tcPr>
            <w:tcW w:w="50.25pt" w:type="dxa"/>
          </w:tcPr>
          <w:p>
            <w:r>
              <w:t>0</w:t>
            </w:r>
          </w:p>
        </w:tc>
        <w:tc>
          <w:tcPr>
            <w:tcW w:w="50.25pt" w:type="dxa"/>
            <w:vMerge/>
          </w:tcPr>
          <w:p>
            <w:pPr>
              <w:pStyle w:val="BodyText"/>
              <w:ind w:firstLine="0pt"/>
              <w:rPr>
                <w:lang w:val="en-US"/>
              </w:rPr>
            </w:pPr>
          </w:p>
        </w:tc>
      </w:tr>
      <w:tr>
        <w:tc>
          <w:tcPr>
            <w:tcW w:w="50.20pt" w:type="dxa"/>
          </w:tcPr>
          <w:p>
            <w:r>
              <w:t>0,549</w:t>
            </w:r>
          </w:p>
        </w:tc>
        <w:tc>
          <w:tcPr>
            <w:tcW w:w="50.20pt" w:type="dxa"/>
          </w:tcPr>
          <w:p>
            <w:r>
              <w:t>14,796</w:t>
            </w:r>
          </w:p>
        </w:tc>
        <w:tc>
          <w:tcPr>
            <w:tcW w:w="50.25pt" w:type="dxa"/>
          </w:tcPr>
          <w:p>
            <w:r>
              <w:t>0,1175</w:t>
            </w:r>
          </w:p>
        </w:tc>
        <w:tc>
          <w:tcPr>
            <w:tcW w:w="50.25pt" w:type="dxa"/>
          </w:tcPr>
          <w:p>
            <w:r>
              <w:t>0</w:t>
            </w:r>
          </w:p>
        </w:tc>
        <w:tc>
          <w:tcPr>
            <w:tcW w:w="50.25pt" w:type="dxa"/>
            <w:vMerge/>
          </w:tcPr>
          <w:p>
            <w:pPr>
              <w:pStyle w:val="BodyText"/>
              <w:ind w:firstLine="0pt"/>
              <w:rPr>
                <w:lang w:val="en-US"/>
              </w:rPr>
            </w:pPr>
          </w:p>
        </w:tc>
      </w:tr>
    </w:tbl>
    <w:p>
      <w:pPr>
        <w:pStyle w:val="BodyText"/>
        <w:ind w:firstLine="0pt"/>
        <w:rPr>
          <w:lang w:val="en-US"/>
        </w:rPr>
      </w:pPr>
      <w:r>
        <w:rPr>
          <w:lang w:val="en-US"/>
        </w:rPr>
        <w:t>The conclusion is that 100ms is still insufficient for the measurement to be accurate, regarding this specific instruments.</w:t>
      </w:r>
    </w:p>
    <w:p>
      <w:pPr>
        <w:pStyle w:val="BodyText"/>
        <w:rPr>
          <w:lang w:val="en-US"/>
        </w:rPr>
      </w:pPr>
      <w:r>
        <w:rPr>
          <w:lang w:val="en-US"/>
        </w:rPr>
        <w:t>In table III are summarized the results for 200ms measurement delay, all other settings are the same. Now it can be observed, that the settling delay for the power supply is surpassed by this delay value, however the electronic load still needs more time to settle in the cases where it is reset.</w:t>
      </w:r>
    </w:p>
    <w:p>
      <w:pPr>
        <w:pStyle w:val="tablehead"/>
      </w:pPr>
      <w:r>
        <w:t>Results from 200ms measurement instruments settling time without device under test</w:t>
      </w:r>
    </w:p>
    <w:tbl>
      <w:tblPr>
        <w:tblStyle w:val="TableGrid"/>
        <w:tblW w:w="251.15pt" w:type="dxa"/>
        <w:tblLook w:firstRow="1" w:lastRow="0" w:firstColumn="1" w:lastColumn="0" w:noHBand="0" w:noVBand="1"/>
      </w:tblPr>
      <w:tblGrid>
        <w:gridCol w:w="1004"/>
        <w:gridCol w:w="1004"/>
        <w:gridCol w:w="1005"/>
        <w:gridCol w:w="1005"/>
        <w:gridCol w:w="1005"/>
      </w:tblGrid>
      <w:tr>
        <w:tc>
          <w:tcPr>
            <w:tcW w:w="251.15pt" w:type="dxa"/>
            <w:gridSpan w:val="5"/>
          </w:tcPr>
          <w:p>
            <w:pPr>
              <w:pStyle w:val="tablecolhead"/>
            </w:pPr>
            <w:r>
              <w:t>200ms measurements delay</w:t>
            </w:r>
          </w:p>
        </w:tc>
      </w:tr>
      <w:tr>
        <w:tc>
          <w:tcPr>
            <w:tcW w:w="50.20pt" w:type="dxa"/>
          </w:tcPr>
          <w:p>
            <w:pPr>
              <w:pStyle w:val="tablecolhead"/>
            </w:pPr>
            <w:r>
              <w:t>Input Current [A]</w:t>
            </w:r>
          </w:p>
        </w:tc>
        <w:tc>
          <w:tcPr>
            <w:tcW w:w="50.20pt" w:type="dxa"/>
          </w:tcPr>
          <w:p>
            <w:pPr>
              <w:pStyle w:val="tablecolhead"/>
            </w:pPr>
            <w:r>
              <w:t>Input Voltage [V]</w:t>
            </w:r>
          </w:p>
        </w:tc>
        <w:tc>
          <w:tcPr>
            <w:tcW w:w="50.25pt" w:type="dxa"/>
          </w:tcPr>
          <w:p>
            <w:pPr>
              <w:pStyle w:val="tablecolhead"/>
            </w:pPr>
            <w:r>
              <w:t>Output Voltage [V]</w:t>
            </w:r>
          </w:p>
        </w:tc>
        <w:tc>
          <w:tcPr>
            <w:tcW w:w="50.25pt" w:type="dxa"/>
          </w:tcPr>
          <w:p>
            <w:pPr>
              <w:pStyle w:val="tablecolhead"/>
            </w:pPr>
            <w:r>
              <w:t>Output Current [A]</w:t>
            </w:r>
          </w:p>
        </w:tc>
        <w:tc>
          <w:tcPr>
            <w:tcW w:w="50.25pt" w:type="dxa"/>
          </w:tcPr>
          <w:p>
            <w:pPr>
              <w:pStyle w:val="tablecolhead"/>
            </w:pPr>
            <w:r>
              <w:t>Mode</w:t>
            </w:r>
          </w:p>
        </w:tc>
      </w:tr>
      <w:tr>
        <w:tc>
          <w:tcPr>
            <w:tcW w:w="50.20pt" w:type="dxa"/>
          </w:tcPr>
          <w:p>
            <w:r>
              <w:t>0</w:t>
            </w:r>
          </w:p>
        </w:tc>
        <w:tc>
          <w:tcPr>
            <w:tcW w:w="50.20pt" w:type="dxa"/>
          </w:tcPr>
          <w:p>
            <w:r>
              <w:t>14,997</w:t>
            </w:r>
          </w:p>
        </w:tc>
        <w:tc>
          <w:tcPr>
            <w:tcW w:w="50.25pt" w:type="dxa"/>
          </w:tcPr>
          <w:p>
            <w:r>
              <w:t>0</w:t>
            </w:r>
          </w:p>
        </w:tc>
        <w:tc>
          <w:tcPr>
            <w:tcW w:w="50.25pt" w:type="dxa"/>
          </w:tcPr>
          <w:p>
            <w:r>
              <w:t>0</w:t>
            </w:r>
          </w:p>
        </w:tc>
        <w:tc>
          <w:tcPr>
            <w:tcW w:w="50.25pt" w:type="dxa"/>
            <w:vMerge w:val="restart"/>
            <w:vAlign w:val="center"/>
          </w:tcPr>
          <w:p>
            <w:r>
              <w:t>No reset</w:t>
            </w:r>
          </w:p>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14,999</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14,999</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14,997</w:t>
            </w:r>
          </w:p>
        </w:tc>
        <w:tc>
          <w:tcPr>
            <w:tcW w:w="50.25pt" w:type="dxa"/>
          </w:tcPr>
          <w:p>
            <w:r>
              <w:t>0</w:t>
            </w:r>
          </w:p>
        </w:tc>
        <w:tc>
          <w:tcPr>
            <w:tcW w:w="50.25pt" w:type="dxa"/>
          </w:tcPr>
          <w:p>
            <w:r>
              <w:t>0</w:t>
            </w:r>
          </w:p>
        </w:tc>
        <w:tc>
          <w:tcPr>
            <w:tcW w:w="50.25pt" w:type="dxa"/>
            <w:vMerge w:val="restart"/>
            <w:vAlign w:val="center"/>
          </w:tcPr>
          <w:p>
            <w:r>
              <w:t>VDC Reset</w:t>
            </w:r>
          </w:p>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restart"/>
            <w:vAlign w:val="center"/>
          </w:tcPr>
          <w:p>
            <w:r>
              <w:t>Load Reset</w:t>
            </w:r>
          </w:p>
          <w:p/>
        </w:tc>
      </w:tr>
      <w:tr>
        <w:tc>
          <w:tcPr>
            <w:tcW w:w="50.20pt" w:type="dxa"/>
          </w:tcPr>
          <w:p>
            <w:r>
              <w:t>0</w:t>
            </w:r>
          </w:p>
        </w:tc>
        <w:tc>
          <w:tcPr>
            <w:tcW w:w="50.20pt" w:type="dxa"/>
          </w:tcPr>
          <w:p>
            <w:r>
              <w:t>14,999</w:t>
            </w:r>
          </w:p>
        </w:tc>
        <w:tc>
          <w:tcPr>
            <w:tcW w:w="50.25pt" w:type="dxa"/>
          </w:tcPr>
          <w:p>
            <w:r>
              <w:t>0,0305</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14,999</w:t>
            </w:r>
          </w:p>
        </w:tc>
        <w:tc>
          <w:tcPr>
            <w:tcW w:w="50.25pt" w:type="dxa"/>
          </w:tcPr>
          <w:p>
            <w:r>
              <w:t>0,0439</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14,999</w:t>
            </w:r>
          </w:p>
        </w:tc>
        <w:tc>
          <w:tcPr>
            <w:tcW w:w="50.25pt" w:type="dxa"/>
          </w:tcPr>
          <w:p>
            <w:r>
              <w:t>0,0284</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14,999</w:t>
            </w:r>
          </w:p>
        </w:tc>
        <w:tc>
          <w:tcPr>
            <w:tcW w:w="50.25pt" w:type="dxa"/>
          </w:tcPr>
          <w:p>
            <w:r>
              <w:t>0,0284</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restart"/>
            <w:vAlign w:val="center"/>
          </w:tcPr>
          <w:p>
            <w:r>
              <w:t>VDC &amp; Load Reset</w:t>
            </w:r>
          </w:p>
        </w:tc>
      </w:tr>
      <w:tr>
        <w:tc>
          <w:tcPr>
            <w:tcW w:w="50.20pt" w:type="dxa"/>
          </w:tcPr>
          <w:p>
            <w:r>
              <w:t>0</w:t>
            </w:r>
          </w:p>
        </w:tc>
        <w:tc>
          <w:tcPr>
            <w:tcW w:w="50.20pt" w:type="dxa"/>
          </w:tcPr>
          <w:p>
            <w:r>
              <w:t>14,998</w:t>
            </w:r>
          </w:p>
        </w:tc>
        <w:tc>
          <w:tcPr>
            <w:tcW w:w="50.25pt" w:type="dxa"/>
          </w:tcPr>
          <w:p>
            <w:r>
              <w:t>0,0328</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14,998</w:t>
            </w:r>
          </w:p>
        </w:tc>
        <w:tc>
          <w:tcPr>
            <w:tcW w:w="50.25pt" w:type="dxa"/>
          </w:tcPr>
          <w:p>
            <w:r>
              <w:t>0,0278</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14,998</w:t>
            </w:r>
          </w:p>
        </w:tc>
        <w:tc>
          <w:tcPr>
            <w:tcW w:w="50.25pt" w:type="dxa"/>
          </w:tcPr>
          <w:p>
            <w:r>
              <w:t>0,0299</w:t>
            </w:r>
          </w:p>
        </w:tc>
        <w:tc>
          <w:tcPr>
            <w:tcW w:w="50.25pt" w:type="dxa"/>
          </w:tcPr>
          <w:p>
            <w:r>
              <w:t>0</w:t>
            </w:r>
          </w:p>
        </w:tc>
        <w:tc>
          <w:tcPr>
            <w:tcW w:w="50.25pt" w:type="dxa"/>
            <w:vMerge/>
          </w:tcPr>
          <w:p>
            <w:pPr>
              <w:pStyle w:val="BodyText"/>
              <w:ind w:firstLine="0pt"/>
              <w:rPr>
                <w:lang w:val="en-US"/>
              </w:rPr>
            </w:pPr>
          </w:p>
        </w:tc>
      </w:tr>
    </w:tbl>
    <w:p>
      <w:pPr>
        <w:pStyle w:val="BodyText"/>
        <w:rPr>
          <w:lang w:val="en-US"/>
        </w:rPr>
      </w:pPr>
      <w:r>
        <w:rPr>
          <w:lang w:val="en-US"/>
        </w:rPr>
        <w:lastRenderedPageBreak/>
        <w:t>In table IV the measurement delay is increased to half a second. This time the settling time is enough to settle both the electronic load and input power supply unit.</w:t>
      </w:r>
    </w:p>
    <w:p>
      <w:pPr>
        <w:pStyle w:val="tablehead"/>
      </w:pPr>
      <w:r>
        <w:t>Results from 500ms measurement instruments settling time without device under test</w:t>
      </w:r>
    </w:p>
    <w:tbl>
      <w:tblPr>
        <w:tblStyle w:val="TableGrid"/>
        <w:tblW w:w="251.15pt" w:type="dxa"/>
        <w:tblLook w:firstRow="1" w:lastRow="0" w:firstColumn="1" w:lastColumn="0" w:noHBand="0" w:noVBand="1"/>
      </w:tblPr>
      <w:tblGrid>
        <w:gridCol w:w="1004"/>
        <w:gridCol w:w="1004"/>
        <w:gridCol w:w="1005"/>
        <w:gridCol w:w="1005"/>
        <w:gridCol w:w="1005"/>
      </w:tblGrid>
      <w:tr>
        <w:tc>
          <w:tcPr>
            <w:tcW w:w="251.15pt" w:type="dxa"/>
            <w:gridSpan w:val="5"/>
          </w:tcPr>
          <w:p>
            <w:pPr>
              <w:pStyle w:val="tablecolhead"/>
            </w:pPr>
            <w:r>
              <w:t>500ms measurements delay</w:t>
            </w:r>
          </w:p>
        </w:tc>
      </w:tr>
      <w:tr>
        <w:tc>
          <w:tcPr>
            <w:tcW w:w="50.20pt" w:type="dxa"/>
          </w:tcPr>
          <w:p>
            <w:pPr>
              <w:pStyle w:val="tablecolhead"/>
            </w:pPr>
            <w:r>
              <w:t>Input Current [A]</w:t>
            </w:r>
          </w:p>
        </w:tc>
        <w:tc>
          <w:tcPr>
            <w:tcW w:w="50.20pt" w:type="dxa"/>
          </w:tcPr>
          <w:p>
            <w:pPr>
              <w:pStyle w:val="tablecolhead"/>
            </w:pPr>
            <w:r>
              <w:t>Input Voltage [V]</w:t>
            </w:r>
          </w:p>
        </w:tc>
        <w:tc>
          <w:tcPr>
            <w:tcW w:w="50.25pt" w:type="dxa"/>
          </w:tcPr>
          <w:p>
            <w:pPr>
              <w:pStyle w:val="tablecolhead"/>
            </w:pPr>
            <w:r>
              <w:t>Output Voltage [V]</w:t>
            </w:r>
          </w:p>
        </w:tc>
        <w:tc>
          <w:tcPr>
            <w:tcW w:w="50.25pt" w:type="dxa"/>
          </w:tcPr>
          <w:p>
            <w:pPr>
              <w:pStyle w:val="tablecolhead"/>
            </w:pPr>
            <w:r>
              <w:t>Output Current [A]</w:t>
            </w:r>
          </w:p>
        </w:tc>
        <w:tc>
          <w:tcPr>
            <w:tcW w:w="50.25pt" w:type="dxa"/>
          </w:tcPr>
          <w:p>
            <w:pPr>
              <w:pStyle w:val="tablecolhead"/>
            </w:pPr>
            <w:r>
              <w:t>Mode</w:t>
            </w:r>
          </w:p>
        </w:tc>
      </w:tr>
      <w:tr>
        <w:tc>
          <w:tcPr>
            <w:tcW w:w="50.20pt" w:type="dxa"/>
          </w:tcPr>
          <w:p>
            <w:r>
              <w:t>0</w:t>
            </w:r>
          </w:p>
        </w:tc>
        <w:tc>
          <w:tcPr>
            <w:tcW w:w="50.20pt" w:type="dxa"/>
          </w:tcPr>
          <w:p>
            <w:r>
              <w:t>14,992</w:t>
            </w:r>
          </w:p>
        </w:tc>
        <w:tc>
          <w:tcPr>
            <w:tcW w:w="50.25pt" w:type="dxa"/>
          </w:tcPr>
          <w:p>
            <w:r>
              <w:t>0</w:t>
            </w:r>
          </w:p>
        </w:tc>
        <w:tc>
          <w:tcPr>
            <w:tcW w:w="50.25pt" w:type="dxa"/>
          </w:tcPr>
          <w:p>
            <w:r>
              <w:t>0</w:t>
            </w:r>
          </w:p>
        </w:tc>
        <w:tc>
          <w:tcPr>
            <w:tcW w:w="50.25pt" w:type="dxa"/>
            <w:vMerge w:val="restart"/>
            <w:vAlign w:val="center"/>
          </w:tcPr>
          <w:p>
            <w:r>
              <w:t>No reset</w:t>
            </w:r>
          </w:p>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14,993</w:t>
            </w:r>
          </w:p>
        </w:tc>
        <w:tc>
          <w:tcPr>
            <w:tcW w:w="50.25pt" w:type="dxa"/>
          </w:tcPr>
          <w:p>
            <w:r>
              <w:t>0</w:t>
            </w:r>
          </w:p>
        </w:tc>
        <w:tc>
          <w:tcPr>
            <w:tcW w:w="50.25pt" w:type="dxa"/>
          </w:tcPr>
          <w:p>
            <w:r>
              <w:t>0</w:t>
            </w:r>
          </w:p>
        </w:tc>
        <w:tc>
          <w:tcPr>
            <w:tcW w:w="50.25pt" w:type="dxa"/>
            <w:vMerge w:val="restart"/>
            <w:vAlign w:val="center"/>
          </w:tcPr>
          <w:p>
            <w:r>
              <w:t>VDC Reset</w:t>
            </w:r>
          </w:p>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14,996</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14,991</w:t>
            </w:r>
          </w:p>
        </w:tc>
        <w:tc>
          <w:tcPr>
            <w:tcW w:w="50.25pt" w:type="dxa"/>
          </w:tcPr>
          <w:p>
            <w:r>
              <w:t>0</w:t>
            </w:r>
          </w:p>
        </w:tc>
        <w:tc>
          <w:tcPr>
            <w:tcW w:w="50.25pt" w:type="dxa"/>
          </w:tcPr>
          <w:p>
            <w:r>
              <w:t>0</w:t>
            </w:r>
          </w:p>
        </w:tc>
        <w:tc>
          <w:tcPr>
            <w:tcW w:w="50.25pt" w:type="dxa"/>
            <w:vMerge w:val="restart"/>
            <w:vAlign w:val="center"/>
          </w:tcPr>
          <w:p>
            <w:r>
              <w:t>Load Reset</w:t>
            </w:r>
          </w:p>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14,999</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14,999</w:t>
            </w:r>
          </w:p>
        </w:tc>
        <w:tc>
          <w:tcPr>
            <w:tcW w:w="50.25pt" w:type="dxa"/>
          </w:tcPr>
          <w:p>
            <w:r>
              <w:t>0</w:t>
            </w:r>
          </w:p>
        </w:tc>
        <w:tc>
          <w:tcPr>
            <w:tcW w:w="50.25pt" w:type="dxa"/>
          </w:tcPr>
          <w:p>
            <w:r>
              <w:t>0</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14,992</w:t>
            </w:r>
          </w:p>
        </w:tc>
        <w:tc>
          <w:tcPr>
            <w:tcW w:w="50.25pt" w:type="dxa"/>
          </w:tcPr>
          <w:p>
            <w:r>
              <w:t>0</w:t>
            </w:r>
          </w:p>
        </w:tc>
        <w:tc>
          <w:tcPr>
            <w:tcW w:w="50.25pt" w:type="dxa"/>
          </w:tcPr>
          <w:p>
            <w:r>
              <w:t>0</w:t>
            </w:r>
          </w:p>
        </w:tc>
        <w:tc>
          <w:tcPr>
            <w:tcW w:w="50.25pt" w:type="dxa"/>
            <w:vMerge w:val="restart"/>
            <w:vAlign w:val="center"/>
          </w:tcPr>
          <w:p>
            <w:r>
              <w:t>VDC &amp; Load Reset</w:t>
            </w:r>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tcPr>
          <w:p>
            <w:pPr>
              <w:pStyle w:val="BodyText"/>
              <w:ind w:firstLine="0pt"/>
              <w:rPr>
                <w:lang w:val="en-US"/>
              </w:rPr>
            </w:pPr>
          </w:p>
        </w:tc>
      </w:tr>
      <w:tr>
        <w:tc>
          <w:tcPr>
            <w:tcW w:w="50.20pt" w:type="dxa"/>
          </w:tcPr>
          <w:p>
            <w:r>
              <w:t>0</w:t>
            </w:r>
          </w:p>
        </w:tc>
        <w:tc>
          <w:tcPr>
            <w:tcW w:w="50.20pt" w:type="dxa"/>
          </w:tcPr>
          <w:p>
            <w:r>
              <w:t>14,995</w:t>
            </w:r>
          </w:p>
        </w:tc>
        <w:tc>
          <w:tcPr>
            <w:tcW w:w="50.25pt" w:type="dxa"/>
          </w:tcPr>
          <w:p>
            <w:r>
              <w:t>0</w:t>
            </w:r>
          </w:p>
        </w:tc>
        <w:tc>
          <w:tcPr>
            <w:tcW w:w="50.25pt" w:type="dxa"/>
          </w:tcPr>
          <w:p>
            <w:r>
              <w:t>0</w:t>
            </w:r>
          </w:p>
        </w:tc>
        <w:tc>
          <w:tcPr>
            <w:tcW w:w="50.25pt" w:type="dxa"/>
            <w:vMerge/>
          </w:tcPr>
          <w:p>
            <w:pPr>
              <w:pStyle w:val="BodyText"/>
              <w:ind w:firstLine="0pt"/>
              <w:rPr>
                <w:lang w:val="en-US"/>
              </w:rPr>
            </w:pPr>
          </w:p>
        </w:tc>
      </w:tr>
    </w:tbl>
    <w:p>
      <w:pPr>
        <w:pStyle w:val="BodyText"/>
        <w:rPr>
          <w:lang w:val="en-US"/>
        </w:rPr>
      </w:pPr>
      <w:r>
        <w:rPr>
          <w:lang w:val="en-US"/>
        </w:rPr>
        <w:t>The presented tables show how important is the proper choice of measurement delay time for the automated measurement with real-world data. Results may vary between different manufacturers, models and devices, however the presented effects should be taken into account.</w:t>
      </w:r>
    </w:p>
    <w:p>
      <w:pPr>
        <w:pStyle w:val="Heading2"/>
      </w:pPr>
      <w:r>
        <w:t>Transient evaluation with device under test</w:t>
      </w:r>
    </w:p>
    <w:p>
      <w:pPr>
        <w:pStyle w:val="BodyText"/>
        <w:rPr>
          <w:lang w:val="en-US"/>
        </w:rPr>
      </w:pPr>
      <w:r>
        <w:rPr>
          <w:lang w:val="en-US"/>
        </w:rPr>
        <w:t>So far results have been presented without any converter connected to the leads of the instruments. The next iteration is to test the influence of the converter in the measurement loop. Of course the expected result is to observe a further delay in the settling time but other aspects are of interest as well.</w:t>
      </w:r>
    </w:p>
    <w:p>
      <w:pPr>
        <w:pStyle w:val="BodyText"/>
        <w:rPr>
          <w:lang w:val="en-US"/>
        </w:rPr>
      </w:pPr>
      <w:r>
        <w:rPr>
          <w:lang w:val="en-US"/>
        </w:rPr>
        <w:t xml:space="preserve">In the previous study it was observed that the instruments are settled after 500ms delay, so it makes sense that the investigation should begin from that point forward. </w:t>
      </w:r>
      <w:r>
        <w:rPr>
          <w:lang w:val="en-US"/>
        </w:rPr>
        <w:t xml:space="preserve">In table V </w:t>
      </w:r>
      <w:r>
        <w:rPr>
          <w:lang w:val="en-US"/>
        </w:rPr>
        <w:t xml:space="preserve">are presented </w:t>
      </w:r>
      <w:r>
        <w:rPr>
          <w:lang w:val="en-US"/>
        </w:rPr>
        <w:t>the</w:t>
      </w:r>
      <w:r>
        <w:rPr>
          <w:lang w:val="en-US"/>
        </w:rPr>
        <w:t xml:space="preserve"> results with a device under test, based on an evaluation board based on chip MP8859 with a </w:t>
      </w:r>
      <w:r>
        <w:rPr>
          <w:lang w:val="en-US"/>
        </w:rPr>
        <w:t>measurement delay increased to half a se</w:t>
      </w:r>
      <w:r>
        <w:rPr>
          <w:lang w:val="en-US"/>
        </w:rPr>
        <w:t>cond. The chip is a buck-boost device that particularly is tuned to operate in buck mode, stepping its output voltage down to 5 volts.</w:t>
      </w:r>
    </w:p>
    <w:p>
      <w:pPr>
        <w:pStyle w:val="tablehead"/>
      </w:pPr>
      <w:r>
        <w:t xml:space="preserve">Results from </w:t>
      </w:r>
      <w:r>
        <w:t>5</w:t>
      </w:r>
      <w:r>
        <w:t xml:space="preserve">00ms measurement </w:t>
      </w:r>
      <w:r>
        <w:t xml:space="preserve">delay with </w:t>
      </w:r>
      <w:r>
        <w:t>device under test</w:t>
      </w:r>
    </w:p>
    <w:tbl>
      <w:tblPr>
        <w:tblStyle w:val="TableGrid"/>
        <w:tblW w:w="251.15pt" w:type="dxa"/>
        <w:tblLook w:firstRow="1" w:lastRow="0" w:firstColumn="1" w:lastColumn="0" w:noHBand="0" w:noVBand="1"/>
      </w:tblPr>
      <w:tblGrid>
        <w:gridCol w:w="1004"/>
        <w:gridCol w:w="1004"/>
        <w:gridCol w:w="1005"/>
        <w:gridCol w:w="1005"/>
        <w:gridCol w:w="1005"/>
      </w:tblGrid>
      <w:tr>
        <w:tc>
          <w:tcPr>
            <w:tcW w:w="251.15pt" w:type="dxa"/>
            <w:gridSpan w:val="5"/>
          </w:tcPr>
          <w:p>
            <w:pPr>
              <w:pStyle w:val="tablecolhead"/>
            </w:pPr>
            <w:r>
              <w:t>500ms measurements delay</w:t>
            </w:r>
          </w:p>
        </w:tc>
      </w:tr>
      <w:tr>
        <w:tc>
          <w:tcPr>
            <w:tcW w:w="50.20pt" w:type="dxa"/>
          </w:tcPr>
          <w:p>
            <w:pPr>
              <w:pStyle w:val="tablecolhead"/>
            </w:pPr>
            <w:r>
              <w:t>Input Current [A]</w:t>
            </w:r>
          </w:p>
        </w:tc>
        <w:tc>
          <w:tcPr>
            <w:tcW w:w="50.20pt" w:type="dxa"/>
          </w:tcPr>
          <w:p>
            <w:pPr>
              <w:pStyle w:val="tablecolhead"/>
            </w:pPr>
            <w:r>
              <w:t>Input Voltage [V]</w:t>
            </w:r>
          </w:p>
        </w:tc>
        <w:tc>
          <w:tcPr>
            <w:tcW w:w="50.25pt" w:type="dxa"/>
          </w:tcPr>
          <w:p>
            <w:pPr>
              <w:pStyle w:val="tablecolhead"/>
            </w:pPr>
            <w:r>
              <w:t>Output Voltage [V]</w:t>
            </w:r>
          </w:p>
        </w:tc>
        <w:tc>
          <w:tcPr>
            <w:tcW w:w="50.25pt" w:type="dxa"/>
          </w:tcPr>
          <w:p>
            <w:pPr>
              <w:pStyle w:val="tablecolhead"/>
            </w:pPr>
            <w:r>
              <w:t>Output Current [A]</w:t>
            </w:r>
          </w:p>
        </w:tc>
        <w:tc>
          <w:tcPr>
            <w:tcW w:w="50.25pt" w:type="dxa"/>
          </w:tcPr>
          <w:p>
            <w:pPr>
              <w:pStyle w:val="tablecolhead"/>
            </w:pPr>
            <w:r>
              <w:t>Mode</w:t>
            </w:r>
          </w:p>
        </w:tc>
      </w:tr>
      <w:tr>
        <w:tc>
          <w:tcPr>
            <w:tcW w:w="50.20pt" w:type="dxa"/>
          </w:tcPr>
          <w:p>
            <w:r>
              <w:t>0</w:t>
            </w:r>
          </w:p>
        </w:tc>
        <w:tc>
          <w:tcPr>
            <w:tcW w:w="50.20pt" w:type="dxa"/>
          </w:tcPr>
          <w:p>
            <w:r>
              <w:t>14,997</w:t>
            </w:r>
          </w:p>
        </w:tc>
        <w:tc>
          <w:tcPr>
            <w:tcW w:w="50.25pt" w:type="dxa"/>
          </w:tcPr>
          <w:p>
            <w:r>
              <w:t>5,0288</w:t>
            </w:r>
          </w:p>
        </w:tc>
        <w:tc>
          <w:tcPr>
            <w:tcW w:w="50.25pt" w:type="dxa"/>
          </w:tcPr>
          <w:p>
            <w:r>
              <w:t>0</w:t>
            </w:r>
          </w:p>
        </w:tc>
        <w:tc>
          <w:tcPr>
            <w:tcW w:w="50.25pt" w:type="dxa"/>
            <w:vMerge w:val="restart"/>
            <w:vAlign w:val="center"/>
          </w:tcPr>
          <w:p>
            <w:r>
              <w:t>No reset</w:t>
            </w:r>
          </w:p>
          <w:p/>
        </w:tc>
      </w:tr>
      <w:tr>
        <w:tc>
          <w:tcPr>
            <w:tcW w:w="50.20pt" w:type="dxa"/>
          </w:tcPr>
          <w:p>
            <w:r>
              <w:t>0,097</w:t>
            </w:r>
          </w:p>
        </w:tc>
        <w:tc>
          <w:tcPr>
            <w:tcW w:w="50.20pt" w:type="dxa"/>
          </w:tcPr>
          <w:p>
            <w:r>
              <w:t>14,998</w:t>
            </w:r>
          </w:p>
        </w:tc>
        <w:tc>
          <w:tcPr>
            <w:tcW w:w="50.25pt" w:type="dxa"/>
          </w:tcPr>
          <w:p>
            <w:r>
              <w:t>5,0372</w:t>
            </w:r>
          </w:p>
        </w:tc>
        <w:tc>
          <w:tcPr>
            <w:tcW w:w="50.25pt" w:type="dxa"/>
          </w:tcPr>
          <w:p>
            <w:r>
              <w:t>0,2486</w:t>
            </w:r>
          </w:p>
        </w:tc>
        <w:tc>
          <w:tcPr>
            <w:tcW w:w="50.25pt" w:type="dxa"/>
            <w:vMerge/>
            <w:vAlign w:val="center"/>
          </w:tcPr>
          <w:p>
            <w:pPr>
              <w:pStyle w:val="BodyText"/>
              <w:ind w:firstLine="0pt"/>
              <w:jc w:val="center"/>
              <w:rPr>
                <w:lang w:val="en-US"/>
              </w:rPr>
            </w:pPr>
          </w:p>
        </w:tc>
      </w:tr>
      <w:tr>
        <w:tc>
          <w:tcPr>
            <w:tcW w:w="50.20pt" w:type="dxa"/>
          </w:tcPr>
          <w:p>
            <w:r>
              <w:t>0,184</w:t>
            </w:r>
          </w:p>
        </w:tc>
        <w:tc>
          <w:tcPr>
            <w:tcW w:w="50.20pt" w:type="dxa"/>
          </w:tcPr>
          <w:p>
            <w:r>
              <w:t>14,998</w:t>
            </w:r>
          </w:p>
        </w:tc>
        <w:tc>
          <w:tcPr>
            <w:tcW w:w="50.25pt" w:type="dxa"/>
          </w:tcPr>
          <w:p>
            <w:r>
              <w:t>5,0464</w:t>
            </w:r>
          </w:p>
        </w:tc>
        <w:tc>
          <w:tcPr>
            <w:tcW w:w="50.25pt" w:type="dxa"/>
          </w:tcPr>
          <w:p>
            <w:r>
              <w:t>0,4987</w:t>
            </w:r>
          </w:p>
        </w:tc>
        <w:tc>
          <w:tcPr>
            <w:tcW w:w="50.25pt" w:type="dxa"/>
            <w:vMerge/>
            <w:vAlign w:val="center"/>
          </w:tcPr>
          <w:p>
            <w:pPr>
              <w:pStyle w:val="BodyText"/>
              <w:ind w:firstLine="0pt"/>
              <w:jc w:val="center"/>
              <w:rPr>
                <w:lang w:val="en-US"/>
              </w:rPr>
            </w:pPr>
          </w:p>
        </w:tc>
      </w:tr>
      <w:tr>
        <w:tc>
          <w:tcPr>
            <w:tcW w:w="50.20pt" w:type="dxa"/>
          </w:tcPr>
          <w:p>
            <w:r>
              <w:t>0,272</w:t>
            </w:r>
          </w:p>
        </w:tc>
        <w:tc>
          <w:tcPr>
            <w:tcW w:w="50.20pt" w:type="dxa"/>
          </w:tcPr>
          <w:p>
            <w:r>
              <w:t>14,998</w:t>
            </w:r>
          </w:p>
        </w:tc>
        <w:tc>
          <w:tcPr>
            <w:tcW w:w="50.25pt" w:type="dxa"/>
          </w:tcPr>
          <w:p>
            <w:r>
              <w:t>5,0554</w:t>
            </w:r>
          </w:p>
        </w:tc>
        <w:tc>
          <w:tcPr>
            <w:tcW w:w="50.25pt" w:type="dxa"/>
          </w:tcPr>
          <w:p>
            <w:r>
              <w:t>0,749</w:t>
            </w:r>
          </w:p>
        </w:tc>
        <w:tc>
          <w:tcPr>
            <w:tcW w:w="50.25pt" w:type="dxa"/>
            <w:vMerge/>
            <w:vAlign w:val="center"/>
          </w:tcPr>
          <w:p>
            <w:pPr>
              <w:pStyle w:val="BodyText"/>
              <w:ind w:firstLine="0pt"/>
              <w:jc w:val="center"/>
              <w:rPr>
                <w:lang w:val="en-US"/>
              </w:rPr>
            </w:pPr>
          </w:p>
        </w:tc>
      </w:tr>
      <w:tr>
        <w:tc>
          <w:tcPr>
            <w:tcW w:w="50.20pt" w:type="dxa"/>
          </w:tcPr>
          <w:p>
            <w:r>
              <w:t>0,356</w:t>
            </w:r>
          </w:p>
        </w:tc>
        <w:tc>
          <w:tcPr>
            <w:tcW w:w="50.20pt" w:type="dxa"/>
          </w:tcPr>
          <w:p>
            <w:r>
              <w:t>14,998</w:t>
            </w:r>
          </w:p>
        </w:tc>
        <w:tc>
          <w:tcPr>
            <w:tcW w:w="50.25pt" w:type="dxa"/>
          </w:tcPr>
          <w:p>
            <w:r>
              <w:t>5,0641</w:t>
            </w:r>
          </w:p>
        </w:tc>
        <w:tc>
          <w:tcPr>
            <w:tcW w:w="50.25pt" w:type="dxa"/>
          </w:tcPr>
          <w:p>
            <w:r>
              <w:t>0,9985</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14,997</w:t>
            </w:r>
          </w:p>
        </w:tc>
        <w:tc>
          <w:tcPr>
            <w:tcW w:w="50.25pt" w:type="dxa"/>
          </w:tcPr>
          <w:p>
            <w:r>
              <w:t>5,0289</w:t>
            </w:r>
          </w:p>
        </w:tc>
        <w:tc>
          <w:tcPr>
            <w:tcW w:w="50.25pt" w:type="dxa"/>
          </w:tcPr>
          <w:p>
            <w:r>
              <w:t>0</w:t>
            </w:r>
          </w:p>
        </w:tc>
        <w:tc>
          <w:tcPr>
            <w:tcW w:w="50.25pt" w:type="dxa"/>
            <w:vMerge w:val="restart"/>
            <w:vAlign w:val="center"/>
          </w:tcPr>
          <w:p>
            <w:r>
              <w:t>VDC Reset</w:t>
            </w:r>
          </w:p>
          <w:p/>
        </w:tc>
      </w:tr>
      <w:tr>
        <w:tc>
          <w:tcPr>
            <w:tcW w:w="50.20pt" w:type="dxa"/>
          </w:tcPr>
          <w:p>
            <w:r>
              <w:t>0,097</w:t>
            </w:r>
          </w:p>
        </w:tc>
        <w:tc>
          <w:tcPr>
            <w:tcW w:w="50.20pt" w:type="dxa"/>
          </w:tcPr>
          <w:p>
            <w:r>
              <w:t>14,998</w:t>
            </w:r>
          </w:p>
        </w:tc>
        <w:tc>
          <w:tcPr>
            <w:tcW w:w="50.25pt" w:type="dxa"/>
          </w:tcPr>
          <w:p>
            <w:r>
              <w:t>5,0371</w:t>
            </w:r>
          </w:p>
        </w:tc>
        <w:tc>
          <w:tcPr>
            <w:tcW w:w="50.25pt" w:type="dxa"/>
          </w:tcPr>
          <w:p>
            <w:r>
              <w:t>0,2489</w:t>
            </w:r>
          </w:p>
        </w:tc>
        <w:tc>
          <w:tcPr>
            <w:tcW w:w="50.25pt" w:type="dxa"/>
            <w:vMerge/>
            <w:vAlign w:val="center"/>
          </w:tcPr>
          <w:p>
            <w:pPr>
              <w:pStyle w:val="BodyText"/>
              <w:ind w:firstLine="0pt"/>
              <w:jc w:val="center"/>
              <w:rPr>
                <w:lang w:val="en-US"/>
              </w:rPr>
            </w:pPr>
          </w:p>
        </w:tc>
      </w:tr>
      <w:tr>
        <w:tc>
          <w:tcPr>
            <w:tcW w:w="50.20pt" w:type="dxa"/>
          </w:tcPr>
          <w:p>
            <w:r>
              <w:t>0,184</w:t>
            </w:r>
          </w:p>
        </w:tc>
        <w:tc>
          <w:tcPr>
            <w:tcW w:w="50.20pt" w:type="dxa"/>
          </w:tcPr>
          <w:p>
            <w:r>
              <w:t>14,997</w:t>
            </w:r>
          </w:p>
        </w:tc>
        <w:tc>
          <w:tcPr>
            <w:tcW w:w="50.25pt" w:type="dxa"/>
          </w:tcPr>
          <w:p>
            <w:r>
              <w:t>5,0464</w:t>
            </w:r>
          </w:p>
        </w:tc>
        <w:tc>
          <w:tcPr>
            <w:tcW w:w="50.25pt" w:type="dxa"/>
          </w:tcPr>
          <w:p>
            <w:r>
              <w:t>0,4989</w:t>
            </w:r>
          </w:p>
        </w:tc>
        <w:tc>
          <w:tcPr>
            <w:tcW w:w="50.25pt" w:type="dxa"/>
            <w:vMerge/>
            <w:vAlign w:val="center"/>
          </w:tcPr>
          <w:p>
            <w:pPr>
              <w:pStyle w:val="BodyText"/>
              <w:ind w:firstLine="0pt"/>
              <w:jc w:val="center"/>
              <w:rPr>
                <w:lang w:val="en-US"/>
              </w:rPr>
            </w:pPr>
          </w:p>
        </w:tc>
      </w:tr>
      <w:tr>
        <w:tc>
          <w:tcPr>
            <w:tcW w:w="50.20pt" w:type="dxa"/>
          </w:tcPr>
          <w:p>
            <w:r>
              <w:t>0,993</w:t>
            </w:r>
          </w:p>
        </w:tc>
        <w:tc>
          <w:tcPr>
            <w:tcW w:w="50.20pt" w:type="dxa"/>
          </w:tcPr>
          <w:p>
            <w:r>
              <w:t>2,633</w:t>
            </w:r>
          </w:p>
        </w:tc>
        <w:tc>
          <w:tcPr>
            <w:tcW w:w="50.25pt" w:type="dxa"/>
          </w:tcPr>
          <w:p>
            <w:r>
              <w:t>2,8674</w:t>
            </w:r>
          </w:p>
        </w:tc>
        <w:tc>
          <w:tcPr>
            <w:tcW w:w="50.25pt" w:type="dxa"/>
          </w:tcPr>
          <w:p>
            <w:r>
              <w:t>0,7546</w:t>
            </w:r>
          </w:p>
        </w:tc>
        <w:tc>
          <w:tcPr>
            <w:tcW w:w="50.25pt" w:type="dxa"/>
            <w:vMerge/>
            <w:vAlign w:val="center"/>
          </w:tcPr>
          <w:p>
            <w:pPr>
              <w:pStyle w:val="BodyText"/>
              <w:ind w:firstLine="0pt"/>
              <w:jc w:val="center"/>
              <w:rPr>
                <w:lang w:val="en-US"/>
              </w:rPr>
            </w:pPr>
          </w:p>
        </w:tc>
      </w:tr>
      <w:tr>
        <w:tc>
          <w:tcPr>
            <w:tcW w:w="50.20pt" w:type="dxa"/>
          </w:tcPr>
          <w:p>
            <w:r>
              <w:t>0,963</w:t>
            </w:r>
          </w:p>
        </w:tc>
        <w:tc>
          <w:tcPr>
            <w:tcW w:w="50.20pt" w:type="dxa"/>
          </w:tcPr>
          <w:p>
            <w:r>
              <w:t>2,637</w:t>
            </w:r>
          </w:p>
        </w:tc>
        <w:tc>
          <w:tcPr>
            <w:tcW w:w="50.25pt" w:type="dxa"/>
          </w:tcPr>
          <w:p>
            <w:r>
              <w:t>2,0596</w:t>
            </w:r>
          </w:p>
        </w:tc>
        <w:tc>
          <w:tcPr>
            <w:tcW w:w="50.25pt" w:type="dxa"/>
          </w:tcPr>
          <w:p>
            <w:r>
              <w:t>0,9982</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5,0294</w:t>
            </w:r>
          </w:p>
        </w:tc>
        <w:tc>
          <w:tcPr>
            <w:tcW w:w="50.25pt" w:type="dxa"/>
          </w:tcPr>
          <w:p>
            <w:r>
              <w:t>0</w:t>
            </w:r>
          </w:p>
        </w:tc>
        <w:tc>
          <w:tcPr>
            <w:tcW w:w="50.25pt" w:type="dxa"/>
            <w:vMerge w:val="restart"/>
            <w:vAlign w:val="center"/>
          </w:tcPr>
          <w:p>
            <w:r>
              <w:t>Load Reset</w:t>
            </w:r>
          </w:p>
          <w:p/>
        </w:tc>
      </w:tr>
      <w:tr>
        <w:tc>
          <w:tcPr>
            <w:tcW w:w="50.20pt" w:type="dxa"/>
          </w:tcPr>
          <w:p>
            <w:r>
              <w:t>0,097</w:t>
            </w:r>
          </w:p>
        </w:tc>
        <w:tc>
          <w:tcPr>
            <w:tcW w:w="50.20pt" w:type="dxa"/>
          </w:tcPr>
          <w:p>
            <w:r>
              <w:t>14,998</w:t>
            </w:r>
          </w:p>
        </w:tc>
        <w:tc>
          <w:tcPr>
            <w:tcW w:w="50.25pt" w:type="dxa"/>
          </w:tcPr>
          <w:p>
            <w:r>
              <w:t>5,0371</w:t>
            </w:r>
          </w:p>
        </w:tc>
        <w:tc>
          <w:tcPr>
            <w:tcW w:w="50.25pt" w:type="dxa"/>
          </w:tcPr>
          <w:p>
            <w:r>
              <w:t>0,2489</w:t>
            </w:r>
          </w:p>
        </w:tc>
        <w:tc>
          <w:tcPr>
            <w:tcW w:w="50.25pt" w:type="dxa"/>
            <w:vMerge/>
            <w:vAlign w:val="center"/>
          </w:tcPr>
          <w:p>
            <w:pPr>
              <w:pStyle w:val="BodyText"/>
              <w:ind w:firstLine="0pt"/>
              <w:jc w:val="center"/>
              <w:rPr>
                <w:lang w:val="en-US"/>
              </w:rPr>
            </w:pPr>
          </w:p>
        </w:tc>
      </w:tr>
      <w:tr>
        <w:tc>
          <w:tcPr>
            <w:tcW w:w="50.20pt" w:type="dxa"/>
          </w:tcPr>
          <w:p>
            <w:r>
              <w:t>0,184</w:t>
            </w:r>
          </w:p>
        </w:tc>
        <w:tc>
          <w:tcPr>
            <w:tcW w:w="50.20pt" w:type="dxa"/>
          </w:tcPr>
          <w:p>
            <w:r>
              <w:t>14,998</w:t>
            </w:r>
          </w:p>
        </w:tc>
        <w:tc>
          <w:tcPr>
            <w:tcW w:w="50.25pt" w:type="dxa"/>
          </w:tcPr>
          <w:p>
            <w:r>
              <w:t>5,0457</w:t>
            </w:r>
          </w:p>
        </w:tc>
        <w:tc>
          <w:tcPr>
            <w:tcW w:w="50.25pt" w:type="dxa"/>
          </w:tcPr>
          <w:p>
            <w:r>
              <w:t>0,4989</w:t>
            </w:r>
          </w:p>
        </w:tc>
        <w:tc>
          <w:tcPr>
            <w:tcW w:w="50.25pt" w:type="dxa"/>
            <w:vMerge/>
            <w:vAlign w:val="center"/>
          </w:tcPr>
          <w:p>
            <w:pPr>
              <w:pStyle w:val="BodyText"/>
              <w:ind w:firstLine="0pt"/>
              <w:jc w:val="center"/>
              <w:rPr>
                <w:lang w:val="en-US"/>
              </w:rPr>
            </w:pPr>
          </w:p>
        </w:tc>
      </w:tr>
      <w:tr>
        <w:tc>
          <w:tcPr>
            <w:tcW w:w="50.20pt" w:type="dxa"/>
          </w:tcPr>
          <w:p>
            <w:r>
              <w:t>0,271</w:t>
            </w:r>
          </w:p>
        </w:tc>
        <w:tc>
          <w:tcPr>
            <w:tcW w:w="50.20pt" w:type="dxa"/>
          </w:tcPr>
          <w:p>
            <w:r>
              <w:t>14,998</w:t>
            </w:r>
          </w:p>
        </w:tc>
        <w:tc>
          <w:tcPr>
            <w:tcW w:w="50.25pt" w:type="dxa"/>
          </w:tcPr>
          <w:p>
            <w:r>
              <w:t>5,0549</w:t>
            </w:r>
          </w:p>
        </w:tc>
        <w:tc>
          <w:tcPr>
            <w:tcW w:w="50.25pt" w:type="dxa"/>
          </w:tcPr>
          <w:p>
            <w:r>
              <w:t>0,749</w:t>
            </w:r>
          </w:p>
        </w:tc>
        <w:tc>
          <w:tcPr>
            <w:tcW w:w="50.25pt" w:type="dxa"/>
            <w:vMerge/>
            <w:vAlign w:val="center"/>
          </w:tcPr>
          <w:p>
            <w:pPr>
              <w:pStyle w:val="BodyText"/>
              <w:ind w:firstLine="0pt"/>
              <w:jc w:val="center"/>
              <w:rPr>
                <w:lang w:val="en-US"/>
              </w:rPr>
            </w:pPr>
          </w:p>
        </w:tc>
      </w:tr>
      <w:tr>
        <w:tc>
          <w:tcPr>
            <w:tcW w:w="50.20pt" w:type="dxa"/>
          </w:tcPr>
          <w:p>
            <w:r>
              <w:t>0,356</w:t>
            </w:r>
          </w:p>
        </w:tc>
        <w:tc>
          <w:tcPr>
            <w:tcW w:w="50.20pt" w:type="dxa"/>
          </w:tcPr>
          <w:p>
            <w:r>
              <w:t>14,999</w:t>
            </w:r>
          </w:p>
        </w:tc>
        <w:tc>
          <w:tcPr>
            <w:tcW w:w="50.25pt" w:type="dxa"/>
          </w:tcPr>
          <w:p>
            <w:r>
              <w:t>5,0637</w:t>
            </w:r>
          </w:p>
        </w:tc>
        <w:tc>
          <w:tcPr>
            <w:tcW w:w="50.25pt" w:type="dxa"/>
          </w:tcPr>
          <w:p>
            <w:r>
              <w:t>0,9985</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5,0283</w:t>
            </w:r>
          </w:p>
        </w:tc>
        <w:tc>
          <w:tcPr>
            <w:tcW w:w="50.25pt" w:type="dxa"/>
          </w:tcPr>
          <w:p>
            <w:r>
              <w:t>0</w:t>
            </w:r>
          </w:p>
        </w:tc>
        <w:tc>
          <w:tcPr>
            <w:tcW w:w="50.25pt" w:type="dxa"/>
            <w:vMerge w:val="restart"/>
            <w:vAlign w:val="center"/>
          </w:tcPr>
          <w:p>
            <w:r>
              <w:t>VDC &amp; Load Reset</w:t>
            </w:r>
          </w:p>
        </w:tc>
      </w:tr>
      <w:tr>
        <w:tc>
          <w:tcPr>
            <w:tcW w:w="50.20pt" w:type="dxa"/>
          </w:tcPr>
          <w:p>
            <w:r>
              <w:t>0,097</w:t>
            </w:r>
          </w:p>
        </w:tc>
        <w:tc>
          <w:tcPr>
            <w:tcW w:w="50.20pt" w:type="dxa"/>
          </w:tcPr>
          <w:p>
            <w:r>
              <w:t>14,998</w:t>
            </w:r>
          </w:p>
        </w:tc>
        <w:tc>
          <w:tcPr>
            <w:tcW w:w="50.25pt" w:type="dxa"/>
          </w:tcPr>
          <w:p>
            <w:r>
              <w:t>5,0366</w:t>
            </w:r>
          </w:p>
        </w:tc>
        <w:tc>
          <w:tcPr>
            <w:tcW w:w="50.25pt" w:type="dxa"/>
          </w:tcPr>
          <w:p>
            <w:r>
              <w:t>0,2486</w:t>
            </w:r>
          </w:p>
        </w:tc>
        <w:tc>
          <w:tcPr>
            <w:tcW w:w="50.25pt" w:type="dxa"/>
            <w:vMerge/>
          </w:tcPr>
          <w:p>
            <w:pPr>
              <w:pStyle w:val="BodyText"/>
              <w:ind w:firstLine="0pt"/>
              <w:rPr>
                <w:lang w:val="en-US"/>
              </w:rPr>
            </w:pPr>
          </w:p>
        </w:tc>
      </w:tr>
      <w:tr>
        <w:tc>
          <w:tcPr>
            <w:tcW w:w="50.20pt" w:type="dxa"/>
          </w:tcPr>
          <w:p>
            <w:r>
              <w:t>0,184</w:t>
            </w:r>
          </w:p>
        </w:tc>
        <w:tc>
          <w:tcPr>
            <w:tcW w:w="50.20pt" w:type="dxa"/>
          </w:tcPr>
          <w:p>
            <w:r>
              <w:t>14,998</w:t>
            </w:r>
          </w:p>
        </w:tc>
        <w:tc>
          <w:tcPr>
            <w:tcW w:w="50.25pt" w:type="dxa"/>
          </w:tcPr>
          <w:p>
            <w:r>
              <w:t>5,0455</w:t>
            </w:r>
          </w:p>
        </w:tc>
        <w:tc>
          <w:tcPr>
            <w:tcW w:w="50.25pt" w:type="dxa"/>
          </w:tcPr>
          <w:p>
            <w:r>
              <w:t>0,4989</w:t>
            </w:r>
          </w:p>
        </w:tc>
        <w:tc>
          <w:tcPr>
            <w:tcW w:w="50.25pt" w:type="dxa"/>
            <w:vMerge/>
          </w:tcPr>
          <w:p>
            <w:pPr>
              <w:pStyle w:val="BodyText"/>
              <w:ind w:firstLine="0pt"/>
              <w:rPr>
                <w:lang w:val="en-US"/>
              </w:rPr>
            </w:pPr>
          </w:p>
        </w:tc>
      </w:tr>
      <w:tr>
        <w:tc>
          <w:tcPr>
            <w:tcW w:w="50.20pt" w:type="dxa"/>
          </w:tcPr>
          <w:p>
            <w:r>
              <w:t>0,966</w:t>
            </w:r>
          </w:p>
        </w:tc>
        <w:tc>
          <w:tcPr>
            <w:tcW w:w="50.20pt" w:type="dxa"/>
          </w:tcPr>
          <w:p>
            <w:r>
              <w:t>2,64</w:t>
            </w:r>
          </w:p>
        </w:tc>
        <w:tc>
          <w:tcPr>
            <w:tcW w:w="50.25pt" w:type="dxa"/>
          </w:tcPr>
          <w:p>
            <w:r>
              <w:t>2,8696</w:t>
            </w:r>
          </w:p>
        </w:tc>
        <w:tc>
          <w:tcPr>
            <w:tcW w:w="50.25pt" w:type="dxa"/>
          </w:tcPr>
          <w:p>
            <w:r>
              <w:t>0,745</w:t>
            </w:r>
          </w:p>
        </w:tc>
        <w:tc>
          <w:tcPr>
            <w:tcW w:w="50.25pt" w:type="dxa"/>
            <w:vMerge/>
          </w:tcPr>
          <w:p>
            <w:pPr>
              <w:pStyle w:val="BodyText"/>
              <w:ind w:firstLine="0pt"/>
              <w:rPr>
                <w:lang w:val="en-US"/>
              </w:rPr>
            </w:pPr>
          </w:p>
        </w:tc>
      </w:tr>
      <w:tr>
        <w:tc>
          <w:tcPr>
            <w:tcW w:w="50.20pt" w:type="dxa"/>
          </w:tcPr>
          <w:p>
            <w:r>
              <w:t>1,009</w:t>
            </w:r>
          </w:p>
        </w:tc>
        <w:tc>
          <w:tcPr>
            <w:tcW w:w="50.20pt" w:type="dxa"/>
          </w:tcPr>
          <w:p>
            <w:r>
              <w:t>2,666</w:t>
            </w:r>
          </w:p>
        </w:tc>
        <w:tc>
          <w:tcPr>
            <w:tcW w:w="50.25pt" w:type="dxa"/>
          </w:tcPr>
          <w:p>
            <w:r>
              <w:t>2,0549</w:t>
            </w:r>
          </w:p>
        </w:tc>
        <w:tc>
          <w:tcPr>
            <w:tcW w:w="50.25pt" w:type="dxa"/>
          </w:tcPr>
          <w:p>
            <w:r>
              <w:t>1,0043</w:t>
            </w:r>
          </w:p>
        </w:tc>
        <w:tc>
          <w:tcPr>
            <w:tcW w:w="50.25pt" w:type="dxa"/>
            <w:vMerge/>
          </w:tcPr>
          <w:p>
            <w:pPr>
              <w:pStyle w:val="BodyText"/>
              <w:ind w:firstLine="0pt"/>
              <w:rPr>
                <w:lang w:val="en-US"/>
              </w:rPr>
            </w:pPr>
          </w:p>
        </w:tc>
      </w:tr>
    </w:tbl>
    <w:p>
      <w:pPr>
        <w:pStyle w:val="BodyText"/>
        <w:ind w:firstLine="0pt"/>
        <w:rPr>
          <w:lang w:val="en-US"/>
        </w:rPr>
      </w:pPr>
      <w:r>
        <w:rPr>
          <w:lang w:val="en-US"/>
        </w:rPr>
        <w:t>Few things are observed here. Without reset both the converter and the instrument are able to operate in steady-state mode, independently of the maximum load current. If the input source is reset, the setup has sufficient time to enter steady state up to 0.5 A of load current. After that the measurement time must be adjusted to be able to enter steady-state operating mode. If the load is reset and the input source is constant, there is no particular change in the measurements, specifically for this setup. Finally the effects of restarting both instruments is mainly influenced by the inability of the input voltage source to settle above 0.5 A load current.</w:t>
      </w:r>
    </w:p>
    <w:p>
      <w:pPr>
        <w:pStyle w:val="BodyText"/>
      </w:pPr>
      <w:r>
        <w:rPr>
          <w:lang w:val="en-US"/>
        </w:rPr>
        <w:t>A plot of the results is displayed on figure 3.</w:t>
      </w:r>
    </w:p>
    <w:p>
      <w:pPr>
        <w:pStyle w:val="BodyText"/>
        <w:ind w:firstLine="0pt"/>
      </w:pPr>
      <w:r>
        <w:rPr>
          <w:noProof/>
        </w:rPr>
        <w:drawing>
          <wp:inline distT="0" distB="0" distL="0" distR="0">
            <wp:extent cx="3195955" cy="2835910"/>
            <wp:effectExtent l="0" t="0" r="4445" b="254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835910"/>
                    </a:xfrm>
                    <a:prstGeom prst="rect">
                      <a:avLst/>
                    </a:prstGeom>
                  </pic:spPr>
                </pic:pic>
              </a:graphicData>
            </a:graphic>
          </wp:inline>
        </w:drawing>
      </w:r>
    </w:p>
    <w:p>
      <w:pPr>
        <w:pStyle w:val="figurecaption"/>
      </w:pPr>
      <w:r>
        <w:t>Efficiency curves at 500 ms measurement delay with device under test</w:t>
      </w:r>
    </w:p>
    <w:p>
      <w:pPr>
        <w:pStyle w:val="BodyText"/>
        <w:rPr>
          <w:lang w:val="en-US"/>
        </w:rPr>
      </w:pPr>
      <w:r>
        <w:rPr>
          <w:lang w:val="en-US"/>
        </w:rPr>
        <w:t>The thing to observe here is that the curves without input source barely differ. However there is a small difference between the curves for only input source reset and both reset.</w:t>
      </w:r>
    </w:p>
    <w:p>
      <w:pPr>
        <w:pStyle w:val="BodyText"/>
        <w:rPr>
          <w:lang w:val="en-US"/>
        </w:rPr>
      </w:pPr>
      <w:r>
        <w:rPr>
          <w:lang w:val="en-US"/>
        </w:rPr>
        <w:lastRenderedPageBreak/>
        <w:t>For further evaluation the measurement setup is repeated, this time with 750ms delay between the measurements</w:t>
      </w:r>
      <w:r>
        <w:rPr>
          <w:lang w:val="en-US"/>
        </w:rPr>
        <w:t>.</w:t>
      </w:r>
      <w:r>
        <w:rPr>
          <w:lang w:val="en-US"/>
        </w:rPr>
        <w:t xml:space="preserve"> Results are summarized in table VI.</w:t>
      </w:r>
    </w:p>
    <w:p>
      <w:pPr>
        <w:pStyle w:val="tablehead"/>
      </w:pPr>
      <w:r>
        <w:t xml:space="preserve">Results from </w:t>
      </w:r>
      <w:r>
        <w:t>75</w:t>
      </w:r>
      <w:r>
        <w:t>0ms measurement delay with device under test</w:t>
      </w:r>
    </w:p>
    <w:tbl>
      <w:tblPr>
        <w:tblStyle w:val="TableGrid"/>
        <w:tblW w:w="251.15pt" w:type="dxa"/>
        <w:tblLook w:firstRow="1" w:lastRow="0" w:firstColumn="1" w:lastColumn="0" w:noHBand="0" w:noVBand="1"/>
      </w:tblPr>
      <w:tblGrid>
        <w:gridCol w:w="1004"/>
        <w:gridCol w:w="1004"/>
        <w:gridCol w:w="1005"/>
        <w:gridCol w:w="1005"/>
        <w:gridCol w:w="1005"/>
      </w:tblGrid>
      <w:tr>
        <w:tc>
          <w:tcPr>
            <w:tcW w:w="251.15pt" w:type="dxa"/>
            <w:gridSpan w:val="5"/>
          </w:tcPr>
          <w:p>
            <w:pPr>
              <w:pStyle w:val="tablecolhead"/>
            </w:pPr>
            <w:r>
              <w:t>7</w:t>
            </w:r>
            <w:r>
              <w:t>50ms measurements delay</w:t>
            </w:r>
          </w:p>
        </w:tc>
      </w:tr>
      <w:tr>
        <w:tc>
          <w:tcPr>
            <w:tcW w:w="50.20pt" w:type="dxa"/>
          </w:tcPr>
          <w:p>
            <w:pPr>
              <w:pStyle w:val="tablecolhead"/>
            </w:pPr>
            <w:r>
              <w:t>Input Current [A]</w:t>
            </w:r>
          </w:p>
        </w:tc>
        <w:tc>
          <w:tcPr>
            <w:tcW w:w="50.20pt" w:type="dxa"/>
          </w:tcPr>
          <w:p>
            <w:pPr>
              <w:pStyle w:val="tablecolhead"/>
            </w:pPr>
            <w:r>
              <w:t>Input Voltage [V]</w:t>
            </w:r>
          </w:p>
        </w:tc>
        <w:tc>
          <w:tcPr>
            <w:tcW w:w="50.25pt" w:type="dxa"/>
          </w:tcPr>
          <w:p>
            <w:pPr>
              <w:pStyle w:val="tablecolhead"/>
            </w:pPr>
            <w:r>
              <w:t>Output Voltage [V]</w:t>
            </w:r>
          </w:p>
        </w:tc>
        <w:tc>
          <w:tcPr>
            <w:tcW w:w="50.25pt" w:type="dxa"/>
          </w:tcPr>
          <w:p>
            <w:pPr>
              <w:pStyle w:val="tablecolhead"/>
            </w:pPr>
            <w:r>
              <w:t>Output Current [A]</w:t>
            </w:r>
          </w:p>
        </w:tc>
        <w:tc>
          <w:tcPr>
            <w:tcW w:w="50.25pt" w:type="dxa"/>
          </w:tcPr>
          <w:p>
            <w:pPr>
              <w:pStyle w:val="tablecolhead"/>
            </w:pPr>
            <w:r>
              <w:t>Mode</w:t>
            </w:r>
          </w:p>
        </w:tc>
      </w:tr>
      <w:tr>
        <w:tc>
          <w:tcPr>
            <w:tcW w:w="50.20pt" w:type="dxa"/>
          </w:tcPr>
          <w:p>
            <w:r>
              <w:t>0</w:t>
            </w:r>
          </w:p>
        </w:tc>
        <w:tc>
          <w:tcPr>
            <w:tcW w:w="50.20pt" w:type="dxa"/>
          </w:tcPr>
          <w:p>
            <w:r>
              <w:t>14,997</w:t>
            </w:r>
          </w:p>
        </w:tc>
        <w:tc>
          <w:tcPr>
            <w:tcW w:w="50.25pt" w:type="dxa"/>
          </w:tcPr>
          <w:p>
            <w:r>
              <w:t>5,0288</w:t>
            </w:r>
          </w:p>
        </w:tc>
        <w:tc>
          <w:tcPr>
            <w:tcW w:w="50.25pt" w:type="dxa"/>
          </w:tcPr>
          <w:p>
            <w:r>
              <w:t>0</w:t>
            </w:r>
          </w:p>
        </w:tc>
        <w:tc>
          <w:tcPr>
            <w:tcW w:w="50.25pt" w:type="dxa"/>
            <w:vMerge w:val="restart"/>
            <w:vAlign w:val="center"/>
          </w:tcPr>
          <w:p>
            <w:r>
              <w:t>No reset</w:t>
            </w:r>
          </w:p>
          <w:p/>
        </w:tc>
      </w:tr>
      <w:tr>
        <w:tc>
          <w:tcPr>
            <w:tcW w:w="50.20pt" w:type="dxa"/>
          </w:tcPr>
          <w:p>
            <w:r>
              <w:t>0,097</w:t>
            </w:r>
          </w:p>
        </w:tc>
        <w:tc>
          <w:tcPr>
            <w:tcW w:w="50.20pt" w:type="dxa"/>
          </w:tcPr>
          <w:p>
            <w:r>
              <w:t>14,998</w:t>
            </w:r>
          </w:p>
        </w:tc>
        <w:tc>
          <w:tcPr>
            <w:tcW w:w="50.25pt" w:type="dxa"/>
          </w:tcPr>
          <w:p>
            <w:r>
              <w:t>5,0372</w:t>
            </w:r>
          </w:p>
        </w:tc>
        <w:tc>
          <w:tcPr>
            <w:tcW w:w="50.25pt" w:type="dxa"/>
          </w:tcPr>
          <w:p>
            <w:r>
              <w:t>0,2486</w:t>
            </w:r>
          </w:p>
        </w:tc>
        <w:tc>
          <w:tcPr>
            <w:tcW w:w="50.25pt" w:type="dxa"/>
            <w:vMerge/>
            <w:vAlign w:val="center"/>
          </w:tcPr>
          <w:p>
            <w:pPr>
              <w:pStyle w:val="BodyText"/>
              <w:ind w:firstLine="0pt"/>
              <w:jc w:val="center"/>
              <w:rPr>
                <w:lang w:val="en-US"/>
              </w:rPr>
            </w:pPr>
          </w:p>
        </w:tc>
      </w:tr>
      <w:tr>
        <w:tc>
          <w:tcPr>
            <w:tcW w:w="50.20pt" w:type="dxa"/>
          </w:tcPr>
          <w:p>
            <w:r>
              <w:t>0,184</w:t>
            </w:r>
          </w:p>
        </w:tc>
        <w:tc>
          <w:tcPr>
            <w:tcW w:w="50.20pt" w:type="dxa"/>
          </w:tcPr>
          <w:p>
            <w:r>
              <w:t>14,998</w:t>
            </w:r>
          </w:p>
        </w:tc>
        <w:tc>
          <w:tcPr>
            <w:tcW w:w="50.25pt" w:type="dxa"/>
          </w:tcPr>
          <w:p>
            <w:r>
              <w:t>5,0464</w:t>
            </w:r>
          </w:p>
        </w:tc>
        <w:tc>
          <w:tcPr>
            <w:tcW w:w="50.25pt" w:type="dxa"/>
          </w:tcPr>
          <w:p>
            <w:r>
              <w:t>0,4987</w:t>
            </w:r>
          </w:p>
        </w:tc>
        <w:tc>
          <w:tcPr>
            <w:tcW w:w="50.25pt" w:type="dxa"/>
            <w:vMerge/>
            <w:vAlign w:val="center"/>
          </w:tcPr>
          <w:p>
            <w:pPr>
              <w:pStyle w:val="BodyText"/>
              <w:ind w:firstLine="0pt"/>
              <w:jc w:val="center"/>
              <w:rPr>
                <w:lang w:val="en-US"/>
              </w:rPr>
            </w:pPr>
          </w:p>
        </w:tc>
      </w:tr>
      <w:tr>
        <w:tc>
          <w:tcPr>
            <w:tcW w:w="50.20pt" w:type="dxa"/>
          </w:tcPr>
          <w:p>
            <w:r>
              <w:t>0,272</w:t>
            </w:r>
          </w:p>
        </w:tc>
        <w:tc>
          <w:tcPr>
            <w:tcW w:w="50.20pt" w:type="dxa"/>
          </w:tcPr>
          <w:p>
            <w:r>
              <w:t>14,998</w:t>
            </w:r>
          </w:p>
        </w:tc>
        <w:tc>
          <w:tcPr>
            <w:tcW w:w="50.25pt" w:type="dxa"/>
          </w:tcPr>
          <w:p>
            <w:r>
              <w:t>5,0554</w:t>
            </w:r>
          </w:p>
        </w:tc>
        <w:tc>
          <w:tcPr>
            <w:tcW w:w="50.25pt" w:type="dxa"/>
          </w:tcPr>
          <w:p>
            <w:r>
              <w:t>0,749</w:t>
            </w:r>
          </w:p>
        </w:tc>
        <w:tc>
          <w:tcPr>
            <w:tcW w:w="50.25pt" w:type="dxa"/>
            <w:vMerge/>
            <w:vAlign w:val="center"/>
          </w:tcPr>
          <w:p>
            <w:pPr>
              <w:pStyle w:val="BodyText"/>
              <w:ind w:firstLine="0pt"/>
              <w:jc w:val="center"/>
              <w:rPr>
                <w:lang w:val="en-US"/>
              </w:rPr>
            </w:pPr>
          </w:p>
        </w:tc>
      </w:tr>
      <w:tr>
        <w:tc>
          <w:tcPr>
            <w:tcW w:w="50.20pt" w:type="dxa"/>
          </w:tcPr>
          <w:p>
            <w:r>
              <w:t>0,357</w:t>
            </w:r>
          </w:p>
        </w:tc>
        <w:tc>
          <w:tcPr>
            <w:tcW w:w="50.20pt" w:type="dxa"/>
          </w:tcPr>
          <w:p>
            <w:r>
              <w:t>14,998</w:t>
            </w:r>
          </w:p>
        </w:tc>
        <w:tc>
          <w:tcPr>
            <w:tcW w:w="50.25pt" w:type="dxa"/>
          </w:tcPr>
          <w:p>
            <w:r>
              <w:t>5,0641</w:t>
            </w:r>
          </w:p>
        </w:tc>
        <w:tc>
          <w:tcPr>
            <w:tcW w:w="50.25pt" w:type="dxa"/>
          </w:tcPr>
          <w:p>
            <w:r>
              <w:t>0,9985</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14,997</w:t>
            </w:r>
          </w:p>
        </w:tc>
        <w:tc>
          <w:tcPr>
            <w:tcW w:w="50.25pt" w:type="dxa"/>
          </w:tcPr>
          <w:p>
            <w:r>
              <w:t>5,0289</w:t>
            </w:r>
          </w:p>
        </w:tc>
        <w:tc>
          <w:tcPr>
            <w:tcW w:w="50.25pt" w:type="dxa"/>
          </w:tcPr>
          <w:p>
            <w:r>
              <w:t>0</w:t>
            </w:r>
          </w:p>
        </w:tc>
        <w:tc>
          <w:tcPr>
            <w:tcW w:w="50.25pt" w:type="dxa"/>
            <w:vMerge w:val="restart"/>
            <w:vAlign w:val="center"/>
          </w:tcPr>
          <w:p>
            <w:r>
              <w:t>VDC Reset</w:t>
            </w:r>
          </w:p>
          <w:p/>
        </w:tc>
      </w:tr>
      <w:tr>
        <w:tc>
          <w:tcPr>
            <w:tcW w:w="50.20pt" w:type="dxa"/>
          </w:tcPr>
          <w:p>
            <w:r>
              <w:t>0,097</w:t>
            </w:r>
          </w:p>
        </w:tc>
        <w:tc>
          <w:tcPr>
            <w:tcW w:w="50.20pt" w:type="dxa"/>
          </w:tcPr>
          <w:p>
            <w:r>
              <w:t>14,998</w:t>
            </w:r>
          </w:p>
        </w:tc>
        <w:tc>
          <w:tcPr>
            <w:tcW w:w="50.25pt" w:type="dxa"/>
          </w:tcPr>
          <w:p>
            <w:r>
              <w:t>5,0371</w:t>
            </w:r>
          </w:p>
        </w:tc>
        <w:tc>
          <w:tcPr>
            <w:tcW w:w="50.25pt" w:type="dxa"/>
          </w:tcPr>
          <w:p>
            <w:r>
              <w:t>0,2489</w:t>
            </w:r>
          </w:p>
        </w:tc>
        <w:tc>
          <w:tcPr>
            <w:tcW w:w="50.25pt" w:type="dxa"/>
            <w:vMerge/>
            <w:vAlign w:val="center"/>
          </w:tcPr>
          <w:p>
            <w:pPr>
              <w:pStyle w:val="BodyText"/>
              <w:ind w:firstLine="0pt"/>
              <w:jc w:val="center"/>
              <w:rPr>
                <w:lang w:val="en-US"/>
              </w:rPr>
            </w:pPr>
          </w:p>
        </w:tc>
      </w:tr>
      <w:tr>
        <w:tc>
          <w:tcPr>
            <w:tcW w:w="50.20pt" w:type="dxa"/>
          </w:tcPr>
          <w:p>
            <w:r>
              <w:t>0,184</w:t>
            </w:r>
          </w:p>
        </w:tc>
        <w:tc>
          <w:tcPr>
            <w:tcW w:w="50.20pt" w:type="dxa"/>
          </w:tcPr>
          <w:p>
            <w:r>
              <w:t>14,997</w:t>
            </w:r>
          </w:p>
        </w:tc>
        <w:tc>
          <w:tcPr>
            <w:tcW w:w="50.25pt" w:type="dxa"/>
          </w:tcPr>
          <w:p>
            <w:r>
              <w:t>5,0464</w:t>
            </w:r>
          </w:p>
        </w:tc>
        <w:tc>
          <w:tcPr>
            <w:tcW w:w="50.25pt" w:type="dxa"/>
          </w:tcPr>
          <w:p>
            <w:r>
              <w:t>0,4989</w:t>
            </w:r>
          </w:p>
        </w:tc>
        <w:tc>
          <w:tcPr>
            <w:tcW w:w="50.25pt" w:type="dxa"/>
            <w:vMerge/>
            <w:vAlign w:val="center"/>
          </w:tcPr>
          <w:p>
            <w:pPr>
              <w:pStyle w:val="BodyText"/>
              <w:ind w:firstLine="0pt"/>
              <w:jc w:val="center"/>
              <w:rPr>
                <w:lang w:val="en-US"/>
              </w:rPr>
            </w:pPr>
          </w:p>
        </w:tc>
      </w:tr>
      <w:tr>
        <w:tc>
          <w:tcPr>
            <w:tcW w:w="50.20pt" w:type="dxa"/>
          </w:tcPr>
          <w:p>
            <w:r>
              <w:t>1,004</w:t>
            </w:r>
          </w:p>
        </w:tc>
        <w:tc>
          <w:tcPr>
            <w:tcW w:w="50.20pt" w:type="dxa"/>
          </w:tcPr>
          <w:p>
            <w:r>
              <w:t>2,633</w:t>
            </w:r>
          </w:p>
        </w:tc>
        <w:tc>
          <w:tcPr>
            <w:tcW w:w="50.25pt" w:type="dxa"/>
          </w:tcPr>
          <w:p>
            <w:r>
              <w:t>2,8674</w:t>
            </w:r>
          </w:p>
        </w:tc>
        <w:tc>
          <w:tcPr>
            <w:tcW w:w="50.25pt" w:type="dxa"/>
          </w:tcPr>
          <w:p>
            <w:r>
              <w:t>0,7546</w:t>
            </w:r>
          </w:p>
        </w:tc>
        <w:tc>
          <w:tcPr>
            <w:tcW w:w="50.25pt" w:type="dxa"/>
            <w:vMerge/>
            <w:vAlign w:val="center"/>
          </w:tcPr>
          <w:p>
            <w:pPr>
              <w:pStyle w:val="BodyText"/>
              <w:ind w:firstLine="0pt"/>
              <w:jc w:val="center"/>
              <w:rPr>
                <w:lang w:val="en-US"/>
              </w:rPr>
            </w:pPr>
          </w:p>
        </w:tc>
      </w:tr>
      <w:tr>
        <w:tc>
          <w:tcPr>
            <w:tcW w:w="50.20pt" w:type="dxa"/>
          </w:tcPr>
          <w:p>
            <w:r>
              <w:t>0,946</w:t>
            </w:r>
          </w:p>
        </w:tc>
        <w:tc>
          <w:tcPr>
            <w:tcW w:w="50.20pt" w:type="dxa"/>
          </w:tcPr>
          <w:p>
            <w:r>
              <w:t>2,637</w:t>
            </w:r>
          </w:p>
        </w:tc>
        <w:tc>
          <w:tcPr>
            <w:tcW w:w="50.25pt" w:type="dxa"/>
          </w:tcPr>
          <w:p>
            <w:r>
              <w:t>2,0596</w:t>
            </w:r>
          </w:p>
        </w:tc>
        <w:tc>
          <w:tcPr>
            <w:tcW w:w="50.25pt" w:type="dxa"/>
          </w:tcPr>
          <w:p>
            <w:r>
              <w:t>0,9982</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5,0294</w:t>
            </w:r>
          </w:p>
        </w:tc>
        <w:tc>
          <w:tcPr>
            <w:tcW w:w="50.25pt" w:type="dxa"/>
          </w:tcPr>
          <w:p>
            <w:r>
              <w:t>0</w:t>
            </w:r>
          </w:p>
        </w:tc>
        <w:tc>
          <w:tcPr>
            <w:tcW w:w="50.25pt" w:type="dxa"/>
            <w:vMerge w:val="restart"/>
            <w:vAlign w:val="center"/>
          </w:tcPr>
          <w:p>
            <w:r>
              <w:t>Load Reset</w:t>
            </w:r>
          </w:p>
          <w:p/>
        </w:tc>
      </w:tr>
      <w:tr>
        <w:tc>
          <w:tcPr>
            <w:tcW w:w="50.20pt" w:type="dxa"/>
          </w:tcPr>
          <w:p>
            <w:r>
              <w:t>0,097</w:t>
            </w:r>
          </w:p>
        </w:tc>
        <w:tc>
          <w:tcPr>
            <w:tcW w:w="50.20pt" w:type="dxa"/>
          </w:tcPr>
          <w:p>
            <w:r>
              <w:t>14,998</w:t>
            </w:r>
          </w:p>
        </w:tc>
        <w:tc>
          <w:tcPr>
            <w:tcW w:w="50.25pt" w:type="dxa"/>
          </w:tcPr>
          <w:p>
            <w:r>
              <w:t>5,0371</w:t>
            </w:r>
          </w:p>
        </w:tc>
        <w:tc>
          <w:tcPr>
            <w:tcW w:w="50.25pt" w:type="dxa"/>
          </w:tcPr>
          <w:p>
            <w:r>
              <w:t>0,2489</w:t>
            </w:r>
          </w:p>
        </w:tc>
        <w:tc>
          <w:tcPr>
            <w:tcW w:w="50.25pt" w:type="dxa"/>
            <w:vMerge/>
            <w:vAlign w:val="center"/>
          </w:tcPr>
          <w:p>
            <w:pPr>
              <w:pStyle w:val="BodyText"/>
              <w:ind w:firstLine="0pt"/>
              <w:jc w:val="center"/>
              <w:rPr>
                <w:lang w:val="en-US"/>
              </w:rPr>
            </w:pPr>
          </w:p>
        </w:tc>
      </w:tr>
      <w:tr>
        <w:tc>
          <w:tcPr>
            <w:tcW w:w="50.20pt" w:type="dxa"/>
          </w:tcPr>
          <w:p>
            <w:r>
              <w:t>0,183</w:t>
            </w:r>
          </w:p>
        </w:tc>
        <w:tc>
          <w:tcPr>
            <w:tcW w:w="50.20pt" w:type="dxa"/>
          </w:tcPr>
          <w:p>
            <w:r>
              <w:t>14,998</w:t>
            </w:r>
          </w:p>
        </w:tc>
        <w:tc>
          <w:tcPr>
            <w:tcW w:w="50.25pt" w:type="dxa"/>
          </w:tcPr>
          <w:p>
            <w:r>
              <w:t>5,0457</w:t>
            </w:r>
          </w:p>
        </w:tc>
        <w:tc>
          <w:tcPr>
            <w:tcW w:w="50.25pt" w:type="dxa"/>
          </w:tcPr>
          <w:p>
            <w:r>
              <w:t>0,4989</w:t>
            </w:r>
          </w:p>
        </w:tc>
        <w:tc>
          <w:tcPr>
            <w:tcW w:w="50.25pt" w:type="dxa"/>
            <w:vMerge/>
            <w:vAlign w:val="center"/>
          </w:tcPr>
          <w:p>
            <w:pPr>
              <w:pStyle w:val="BodyText"/>
              <w:ind w:firstLine="0pt"/>
              <w:jc w:val="center"/>
              <w:rPr>
                <w:lang w:val="en-US"/>
              </w:rPr>
            </w:pPr>
          </w:p>
        </w:tc>
      </w:tr>
      <w:tr>
        <w:tc>
          <w:tcPr>
            <w:tcW w:w="50.20pt" w:type="dxa"/>
          </w:tcPr>
          <w:p>
            <w:r>
              <w:t>0,27</w:t>
            </w:r>
          </w:p>
        </w:tc>
        <w:tc>
          <w:tcPr>
            <w:tcW w:w="50.20pt" w:type="dxa"/>
          </w:tcPr>
          <w:p>
            <w:r>
              <w:t>14,998</w:t>
            </w:r>
          </w:p>
        </w:tc>
        <w:tc>
          <w:tcPr>
            <w:tcW w:w="50.25pt" w:type="dxa"/>
          </w:tcPr>
          <w:p>
            <w:r>
              <w:t>5,0549</w:t>
            </w:r>
          </w:p>
        </w:tc>
        <w:tc>
          <w:tcPr>
            <w:tcW w:w="50.25pt" w:type="dxa"/>
          </w:tcPr>
          <w:p>
            <w:r>
              <w:t>0,749</w:t>
            </w:r>
          </w:p>
        </w:tc>
        <w:tc>
          <w:tcPr>
            <w:tcW w:w="50.25pt" w:type="dxa"/>
            <w:vMerge/>
            <w:vAlign w:val="center"/>
          </w:tcPr>
          <w:p>
            <w:pPr>
              <w:pStyle w:val="BodyText"/>
              <w:ind w:firstLine="0pt"/>
              <w:jc w:val="center"/>
              <w:rPr>
                <w:lang w:val="en-US"/>
              </w:rPr>
            </w:pPr>
          </w:p>
        </w:tc>
      </w:tr>
      <w:tr>
        <w:tc>
          <w:tcPr>
            <w:tcW w:w="50.20pt" w:type="dxa"/>
          </w:tcPr>
          <w:p>
            <w:r>
              <w:t>0,356</w:t>
            </w:r>
          </w:p>
        </w:tc>
        <w:tc>
          <w:tcPr>
            <w:tcW w:w="50.20pt" w:type="dxa"/>
          </w:tcPr>
          <w:p>
            <w:r>
              <w:t>14,999</w:t>
            </w:r>
          </w:p>
        </w:tc>
        <w:tc>
          <w:tcPr>
            <w:tcW w:w="50.25pt" w:type="dxa"/>
          </w:tcPr>
          <w:p>
            <w:r>
              <w:t>5,0637</w:t>
            </w:r>
          </w:p>
        </w:tc>
        <w:tc>
          <w:tcPr>
            <w:tcW w:w="50.25pt" w:type="dxa"/>
          </w:tcPr>
          <w:p>
            <w:r>
              <w:t>0,9985</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5,0283</w:t>
            </w:r>
          </w:p>
        </w:tc>
        <w:tc>
          <w:tcPr>
            <w:tcW w:w="50.25pt" w:type="dxa"/>
          </w:tcPr>
          <w:p>
            <w:r>
              <w:t>0</w:t>
            </w:r>
          </w:p>
        </w:tc>
        <w:tc>
          <w:tcPr>
            <w:tcW w:w="50.25pt" w:type="dxa"/>
            <w:vMerge w:val="restart"/>
            <w:vAlign w:val="center"/>
          </w:tcPr>
          <w:p>
            <w:r>
              <w:t>VDC &amp; Load Reset</w:t>
            </w:r>
          </w:p>
        </w:tc>
      </w:tr>
      <w:tr>
        <w:tc>
          <w:tcPr>
            <w:tcW w:w="50.20pt" w:type="dxa"/>
          </w:tcPr>
          <w:p>
            <w:r>
              <w:t>0,097</w:t>
            </w:r>
          </w:p>
        </w:tc>
        <w:tc>
          <w:tcPr>
            <w:tcW w:w="50.20pt" w:type="dxa"/>
          </w:tcPr>
          <w:p>
            <w:r>
              <w:t>14,998</w:t>
            </w:r>
          </w:p>
        </w:tc>
        <w:tc>
          <w:tcPr>
            <w:tcW w:w="50.25pt" w:type="dxa"/>
          </w:tcPr>
          <w:p>
            <w:r>
              <w:t>5,0366</w:t>
            </w:r>
          </w:p>
        </w:tc>
        <w:tc>
          <w:tcPr>
            <w:tcW w:w="50.25pt" w:type="dxa"/>
          </w:tcPr>
          <w:p>
            <w:r>
              <w:t>0,2486</w:t>
            </w:r>
          </w:p>
        </w:tc>
        <w:tc>
          <w:tcPr>
            <w:tcW w:w="50.25pt" w:type="dxa"/>
            <w:vMerge/>
          </w:tcPr>
          <w:p>
            <w:pPr>
              <w:pStyle w:val="BodyText"/>
              <w:ind w:firstLine="0pt"/>
              <w:rPr>
                <w:lang w:val="en-US"/>
              </w:rPr>
            </w:pPr>
          </w:p>
        </w:tc>
      </w:tr>
      <w:tr>
        <w:tc>
          <w:tcPr>
            <w:tcW w:w="50.20pt" w:type="dxa"/>
          </w:tcPr>
          <w:p>
            <w:r>
              <w:t>0,184</w:t>
            </w:r>
          </w:p>
        </w:tc>
        <w:tc>
          <w:tcPr>
            <w:tcW w:w="50.20pt" w:type="dxa"/>
          </w:tcPr>
          <w:p>
            <w:r>
              <w:t>14,998</w:t>
            </w:r>
          </w:p>
        </w:tc>
        <w:tc>
          <w:tcPr>
            <w:tcW w:w="50.25pt" w:type="dxa"/>
          </w:tcPr>
          <w:p>
            <w:r>
              <w:t>5,0455</w:t>
            </w:r>
          </w:p>
        </w:tc>
        <w:tc>
          <w:tcPr>
            <w:tcW w:w="50.25pt" w:type="dxa"/>
          </w:tcPr>
          <w:p>
            <w:r>
              <w:t>0,4989</w:t>
            </w:r>
          </w:p>
        </w:tc>
        <w:tc>
          <w:tcPr>
            <w:tcW w:w="50.25pt" w:type="dxa"/>
            <w:vMerge/>
          </w:tcPr>
          <w:p>
            <w:pPr>
              <w:pStyle w:val="BodyText"/>
              <w:ind w:firstLine="0pt"/>
              <w:rPr>
                <w:lang w:val="en-US"/>
              </w:rPr>
            </w:pPr>
          </w:p>
        </w:tc>
      </w:tr>
      <w:tr>
        <w:tc>
          <w:tcPr>
            <w:tcW w:w="50.20pt" w:type="dxa"/>
          </w:tcPr>
          <w:p>
            <w:r>
              <w:t>0,969</w:t>
            </w:r>
          </w:p>
        </w:tc>
        <w:tc>
          <w:tcPr>
            <w:tcW w:w="50.20pt" w:type="dxa"/>
          </w:tcPr>
          <w:p>
            <w:r>
              <w:t>2,64</w:t>
            </w:r>
          </w:p>
        </w:tc>
        <w:tc>
          <w:tcPr>
            <w:tcW w:w="50.25pt" w:type="dxa"/>
          </w:tcPr>
          <w:p>
            <w:r>
              <w:t>2,8696</w:t>
            </w:r>
          </w:p>
        </w:tc>
        <w:tc>
          <w:tcPr>
            <w:tcW w:w="50.25pt" w:type="dxa"/>
          </w:tcPr>
          <w:p>
            <w:r>
              <w:t>0,745</w:t>
            </w:r>
          </w:p>
        </w:tc>
        <w:tc>
          <w:tcPr>
            <w:tcW w:w="50.25pt" w:type="dxa"/>
            <w:vMerge/>
          </w:tcPr>
          <w:p>
            <w:pPr>
              <w:pStyle w:val="BodyText"/>
              <w:ind w:firstLine="0pt"/>
              <w:rPr>
                <w:lang w:val="en-US"/>
              </w:rPr>
            </w:pPr>
          </w:p>
        </w:tc>
      </w:tr>
      <w:tr>
        <w:tc>
          <w:tcPr>
            <w:tcW w:w="50.20pt" w:type="dxa"/>
          </w:tcPr>
          <w:p>
            <w:r>
              <w:t>1,016</w:t>
            </w:r>
          </w:p>
        </w:tc>
        <w:tc>
          <w:tcPr>
            <w:tcW w:w="50.20pt" w:type="dxa"/>
          </w:tcPr>
          <w:p>
            <w:r>
              <w:t>2,666</w:t>
            </w:r>
          </w:p>
        </w:tc>
        <w:tc>
          <w:tcPr>
            <w:tcW w:w="50.25pt" w:type="dxa"/>
          </w:tcPr>
          <w:p>
            <w:r>
              <w:t>2,0549</w:t>
            </w:r>
          </w:p>
        </w:tc>
        <w:tc>
          <w:tcPr>
            <w:tcW w:w="50.25pt" w:type="dxa"/>
          </w:tcPr>
          <w:p>
            <w:r>
              <w:t>1,0043</w:t>
            </w:r>
          </w:p>
        </w:tc>
        <w:tc>
          <w:tcPr>
            <w:tcW w:w="50.25pt" w:type="dxa"/>
            <w:vMerge/>
          </w:tcPr>
          <w:p>
            <w:pPr>
              <w:pStyle w:val="BodyText"/>
              <w:ind w:firstLine="0pt"/>
              <w:rPr>
                <w:lang w:val="en-US"/>
              </w:rPr>
            </w:pPr>
          </w:p>
        </w:tc>
      </w:tr>
    </w:tbl>
    <w:p>
      <w:pPr>
        <w:pStyle w:val="BodyText"/>
        <w:rPr>
          <w:lang w:val="en-US"/>
        </w:rPr>
      </w:pPr>
      <w:r>
        <w:rPr>
          <w:lang w:val="en-US"/>
        </w:rPr>
        <w:t>Again at no reset and load reset there aren’t significant deviations from the nominal parameters, however at currents greater than 0.5 A the input doesn’t have the time to settle.</w:t>
      </w:r>
    </w:p>
    <w:p>
      <w:pPr>
        <w:pStyle w:val="BodyText"/>
      </w:pPr>
      <w:r>
        <w:rPr>
          <w:lang w:val="en-US"/>
        </w:rPr>
        <w:t xml:space="preserve">The efficiency curves are plotted on </w:t>
      </w:r>
      <w:r>
        <w:rPr>
          <w:lang w:val="en-US"/>
        </w:rPr>
        <w:t xml:space="preserve">figure </w:t>
      </w:r>
      <w:r>
        <w:rPr>
          <w:lang w:val="en-US"/>
        </w:rPr>
        <w:t>4</w:t>
      </w:r>
      <w:r>
        <w:rPr>
          <w:lang w:val="en-US"/>
        </w:rPr>
        <w:t>.</w:t>
      </w:r>
    </w:p>
    <w:p>
      <w:pPr>
        <w:pStyle w:val="BodyText"/>
        <w:ind w:firstLine="0pt"/>
      </w:pPr>
      <w:r>
        <w:rPr>
          <w:noProof/>
        </w:rPr>
        <w:drawing>
          <wp:inline distT="0" distB="0" distL="0" distR="0">
            <wp:extent cx="3195955" cy="2835910"/>
            <wp:effectExtent l="0" t="0" r="4445"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835910"/>
                    </a:xfrm>
                    <a:prstGeom prst="rect">
                      <a:avLst/>
                    </a:prstGeom>
                  </pic:spPr>
                </pic:pic>
              </a:graphicData>
            </a:graphic>
          </wp:inline>
        </w:drawing>
      </w:r>
    </w:p>
    <w:p>
      <w:pPr>
        <w:pStyle w:val="figurecaption"/>
      </w:pPr>
      <w:r>
        <w:t>Efficiency curves at 750 ms measurement delay with device under test</w:t>
      </w:r>
    </w:p>
    <w:p>
      <w:pPr>
        <w:pStyle w:val="BodyText"/>
        <w:rPr>
          <w:lang w:val="en-US"/>
        </w:rPr>
      </w:pPr>
      <w:r>
        <w:rPr>
          <w:lang w:val="en-US"/>
        </w:rPr>
        <w:t>Results are similar – the restart of the voltage source affects the efficiency curves by lowering the efficiency when the input source has not settled. Notice however, that the overall efficiency has increased a bit from the previous results.</w:t>
      </w:r>
    </w:p>
    <w:p>
      <w:pPr>
        <w:pStyle w:val="BodyText"/>
        <w:rPr>
          <w:lang w:val="en-US"/>
        </w:rPr>
      </w:pPr>
      <w:r>
        <w:rPr>
          <w:lang w:val="en-US"/>
        </w:rPr>
        <w:t xml:space="preserve">Lastly a measurement with 1 second settling time delay is performed. The results are summarized in </w:t>
      </w:r>
      <w:r>
        <w:rPr>
          <w:lang w:val="en-US"/>
        </w:rPr>
        <w:t>table V</w:t>
      </w:r>
      <w:r>
        <w:rPr>
          <w:lang w:val="en-US"/>
        </w:rPr>
        <w:t>I</w:t>
      </w:r>
      <w:r>
        <w:rPr>
          <w:lang w:val="en-US"/>
        </w:rPr>
        <w:t>I.</w:t>
      </w:r>
    </w:p>
    <w:p>
      <w:pPr>
        <w:pStyle w:val="tablehead"/>
      </w:pPr>
      <w:r>
        <w:t xml:space="preserve">Results from </w:t>
      </w:r>
      <w:r>
        <w:t xml:space="preserve">1 </w:t>
      </w:r>
      <w:r>
        <w:t>s measurement delay with device under test</w:t>
      </w:r>
    </w:p>
    <w:tbl>
      <w:tblPr>
        <w:tblStyle w:val="TableGrid"/>
        <w:tblW w:w="251.15pt" w:type="dxa"/>
        <w:tblLook w:firstRow="1" w:lastRow="0" w:firstColumn="1" w:lastColumn="0" w:noHBand="0" w:noVBand="1"/>
      </w:tblPr>
      <w:tblGrid>
        <w:gridCol w:w="1004"/>
        <w:gridCol w:w="1004"/>
        <w:gridCol w:w="1005"/>
        <w:gridCol w:w="1005"/>
        <w:gridCol w:w="1005"/>
      </w:tblGrid>
      <w:tr>
        <w:tc>
          <w:tcPr>
            <w:tcW w:w="251.15pt" w:type="dxa"/>
            <w:gridSpan w:val="5"/>
          </w:tcPr>
          <w:p>
            <w:pPr>
              <w:pStyle w:val="tablecolhead"/>
            </w:pPr>
            <w:r>
              <w:t xml:space="preserve">1000 </w:t>
            </w:r>
            <w:proofErr w:type="spellStart"/>
            <w:r>
              <w:t>m</w:t>
            </w:r>
            <w:r>
              <w:t>s</w:t>
            </w:r>
            <w:proofErr w:type="spellEnd"/>
            <w:r>
              <w:t xml:space="preserve"> measurements delay</w:t>
            </w:r>
          </w:p>
        </w:tc>
      </w:tr>
      <w:tr>
        <w:tc>
          <w:tcPr>
            <w:tcW w:w="50.20pt" w:type="dxa"/>
          </w:tcPr>
          <w:p>
            <w:pPr>
              <w:pStyle w:val="tablecolhead"/>
            </w:pPr>
            <w:r>
              <w:t>Input Current [A]</w:t>
            </w:r>
          </w:p>
        </w:tc>
        <w:tc>
          <w:tcPr>
            <w:tcW w:w="50.20pt" w:type="dxa"/>
          </w:tcPr>
          <w:p>
            <w:pPr>
              <w:pStyle w:val="tablecolhead"/>
            </w:pPr>
            <w:r>
              <w:t>Input Voltage [V]</w:t>
            </w:r>
          </w:p>
        </w:tc>
        <w:tc>
          <w:tcPr>
            <w:tcW w:w="50.25pt" w:type="dxa"/>
          </w:tcPr>
          <w:p>
            <w:pPr>
              <w:pStyle w:val="tablecolhead"/>
            </w:pPr>
            <w:r>
              <w:t>Output Voltage [V]</w:t>
            </w:r>
          </w:p>
        </w:tc>
        <w:tc>
          <w:tcPr>
            <w:tcW w:w="50.25pt" w:type="dxa"/>
          </w:tcPr>
          <w:p>
            <w:pPr>
              <w:pStyle w:val="tablecolhead"/>
            </w:pPr>
            <w:r>
              <w:t>Output Current [A]</w:t>
            </w:r>
          </w:p>
        </w:tc>
        <w:tc>
          <w:tcPr>
            <w:tcW w:w="50.25pt" w:type="dxa"/>
          </w:tcPr>
          <w:p>
            <w:pPr>
              <w:pStyle w:val="tablecolhead"/>
            </w:pPr>
            <w:r>
              <w:t>Mode</w:t>
            </w:r>
          </w:p>
        </w:tc>
      </w:tr>
      <w:tr>
        <w:tc>
          <w:tcPr>
            <w:tcW w:w="50.20pt" w:type="dxa"/>
          </w:tcPr>
          <w:p>
            <w:r>
              <w:t>0</w:t>
            </w:r>
          </w:p>
        </w:tc>
        <w:tc>
          <w:tcPr>
            <w:tcW w:w="50.20pt" w:type="dxa"/>
          </w:tcPr>
          <w:p>
            <w:r>
              <w:t>14,997</w:t>
            </w:r>
          </w:p>
        </w:tc>
        <w:tc>
          <w:tcPr>
            <w:tcW w:w="50.25pt" w:type="dxa"/>
          </w:tcPr>
          <w:p>
            <w:r>
              <w:t>5,0288</w:t>
            </w:r>
          </w:p>
        </w:tc>
        <w:tc>
          <w:tcPr>
            <w:tcW w:w="50.25pt" w:type="dxa"/>
          </w:tcPr>
          <w:p>
            <w:r>
              <w:t>0</w:t>
            </w:r>
          </w:p>
        </w:tc>
        <w:tc>
          <w:tcPr>
            <w:tcW w:w="50.25pt" w:type="dxa"/>
            <w:vMerge w:val="restart"/>
            <w:vAlign w:val="center"/>
          </w:tcPr>
          <w:p>
            <w:r>
              <w:t>No reset</w:t>
            </w:r>
          </w:p>
          <w:p/>
        </w:tc>
      </w:tr>
      <w:tr>
        <w:tc>
          <w:tcPr>
            <w:tcW w:w="50.20pt" w:type="dxa"/>
          </w:tcPr>
          <w:p>
            <w:r>
              <w:t>0,097</w:t>
            </w:r>
          </w:p>
        </w:tc>
        <w:tc>
          <w:tcPr>
            <w:tcW w:w="50.20pt" w:type="dxa"/>
          </w:tcPr>
          <w:p>
            <w:r>
              <w:t>14,998</w:t>
            </w:r>
          </w:p>
        </w:tc>
        <w:tc>
          <w:tcPr>
            <w:tcW w:w="50.25pt" w:type="dxa"/>
          </w:tcPr>
          <w:p>
            <w:r>
              <w:t>5,0372</w:t>
            </w:r>
          </w:p>
        </w:tc>
        <w:tc>
          <w:tcPr>
            <w:tcW w:w="50.25pt" w:type="dxa"/>
          </w:tcPr>
          <w:p>
            <w:r>
              <w:t>0,2486</w:t>
            </w:r>
          </w:p>
        </w:tc>
        <w:tc>
          <w:tcPr>
            <w:tcW w:w="50.25pt" w:type="dxa"/>
            <w:vMerge/>
            <w:vAlign w:val="center"/>
          </w:tcPr>
          <w:p>
            <w:pPr>
              <w:pStyle w:val="BodyText"/>
              <w:ind w:firstLine="0pt"/>
              <w:jc w:val="center"/>
              <w:rPr>
                <w:lang w:val="en-US"/>
              </w:rPr>
            </w:pPr>
          </w:p>
        </w:tc>
      </w:tr>
      <w:tr>
        <w:tc>
          <w:tcPr>
            <w:tcW w:w="50.20pt" w:type="dxa"/>
          </w:tcPr>
          <w:p>
            <w:r>
              <w:t>0,184</w:t>
            </w:r>
          </w:p>
        </w:tc>
        <w:tc>
          <w:tcPr>
            <w:tcW w:w="50.20pt" w:type="dxa"/>
          </w:tcPr>
          <w:p>
            <w:r>
              <w:t>14,998</w:t>
            </w:r>
          </w:p>
        </w:tc>
        <w:tc>
          <w:tcPr>
            <w:tcW w:w="50.25pt" w:type="dxa"/>
          </w:tcPr>
          <w:p>
            <w:r>
              <w:t>5,0464</w:t>
            </w:r>
          </w:p>
        </w:tc>
        <w:tc>
          <w:tcPr>
            <w:tcW w:w="50.25pt" w:type="dxa"/>
          </w:tcPr>
          <w:p>
            <w:r>
              <w:t>0,4987</w:t>
            </w:r>
          </w:p>
        </w:tc>
        <w:tc>
          <w:tcPr>
            <w:tcW w:w="50.25pt" w:type="dxa"/>
            <w:vMerge/>
            <w:vAlign w:val="center"/>
          </w:tcPr>
          <w:p>
            <w:pPr>
              <w:pStyle w:val="BodyText"/>
              <w:ind w:firstLine="0pt"/>
              <w:jc w:val="center"/>
              <w:rPr>
                <w:lang w:val="en-US"/>
              </w:rPr>
            </w:pPr>
          </w:p>
        </w:tc>
      </w:tr>
      <w:tr>
        <w:tc>
          <w:tcPr>
            <w:tcW w:w="50.20pt" w:type="dxa"/>
          </w:tcPr>
          <w:p>
            <w:r>
              <w:t>0,272</w:t>
            </w:r>
          </w:p>
        </w:tc>
        <w:tc>
          <w:tcPr>
            <w:tcW w:w="50.20pt" w:type="dxa"/>
          </w:tcPr>
          <w:p>
            <w:r>
              <w:t>14,998</w:t>
            </w:r>
          </w:p>
        </w:tc>
        <w:tc>
          <w:tcPr>
            <w:tcW w:w="50.25pt" w:type="dxa"/>
          </w:tcPr>
          <w:p>
            <w:r>
              <w:t>5,0554</w:t>
            </w:r>
          </w:p>
        </w:tc>
        <w:tc>
          <w:tcPr>
            <w:tcW w:w="50.25pt" w:type="dxa"/>
          </w:tcPr>
          <w:p>
            <w:r>
              <w:t>0,749</w:t>
            </w:r>
          </w:p>
        </w:tc>
        <w:tc>
          <w:tcPr>
            <w:tcW w:w="50.25pt" w:type="dxa"/>
            <w:vMerge/>
            <w:vAlign w:val="center"/>
          </w:tcPr>
          <w:p>
            <w:pPr>
              <w:pStyle w:val="BodyText"/>
              <w:ind w:firstLine="0pt"/>
              <w:jc w:val="center"/>
              <w:rPr>
                <w:lang w:val="en-US"/>
              </w:rPr>
            </w:pPr>
          </w:p>
        </w:tc>
      </w:tr>
      <w:tr>
        <w:tc>
          <w:tcPr>
            <w:tcW w:w="50.20pt" w:type="dxa"/>
          </w:tcPr>
          <w:p>
            <w:r>
              <w:t>0,357</w:t>
            </w:r>
          </w:p>
        </w:tc>
        <w:tc>
          <w:tcPr>
            <w:tcW w:w="50.20pt" w:type="dxa"/>
          </w:tcPr>
          <w:p>
            <w:r>
              <w:t>14,998</w:t>
            </w:r>
          </w:p>
        </w:tc>
        <w:tc>
          <w:tcPr>
            <w:tcW w:w="50.25pt" w:type="dxa"/>
          </w:tcPr>
          <w:p>
            <w:r>
              <w:t>5,0641</w:t>
            </w:r>
          </w:p>
        </w:tc>
        <w:tc>
          <w:tcPr>
            <w:tcW w:w="50.25pt" w:type="dxa"/>
          </w:tcPr>
          <w:p>
            <w:r>
              <w:t>0,9985</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14,997</w:t>
            </w:r>
          </w:p>
        </w:tc>
        <w:tc>
          <w:tcPr>
            <w:tcW w:w="50.25pt" w:type="dxa"/>
          </w:tcPr>
          <w:p>
            <w:r>
              <w:t>5,0289</w:t>
            </w:r>
          </w:p>
        </w:tc>
        <w:tc>
          <w:tcPr>
            <w:tcW w:w="50.25pt" w:type="dxa"/>
          </w:tcPr>
          <w:p>
            <w:r>
              <w:t>0</w:t>
            </w:r>
          </w:p>
        </w:tc>
        <w:tc>
          <w:tcPr>
            <w:tcW w:w="50.25pt" w:type="dxa"/>
            <w:vMerge w:val="restart"/>
            <w:vAlign w:val="center"/>
          </w:tcPr>
          <w:p>
            <w:r>
              <w:t>VDC Reset</w:t>
            </w:r>
          </w:p>
          <w:p/>
        </w:tc>
      </w:tr>
      <w:tr>
        <w:tc>
          <w:tcPr>
            <w:tcW w:w="50.20pt" w:type="dxa"/>
          </w:tcPr>
          <w:p>
            <w:r>
              <w:t>0,097</w:t>
            </w:r>
          </w:p>
        </w:tc>
        <w:tc>
          <w:tcPr>
            <w:tcW w:w="50.20pt" w:type="dxa"/>
          </w:tcPr>
          <w:p>
            <w:r>
              <w:t>14,998</w:t>
            </w:r>
          </w:p>
        </w:tc>
        <w:tc>
          <w:tcPr>
            <w:tcW w:w="50.25pt" w:type="dxa"/>
          </w:tcPr>
          <w:p>
            <w:r>
              <w:t>5,0371</w:t>
            </w:r>
          </w:p>
        </w:tc>
        <w:tc>
          <w:tcPr>
            <w:tcW w:w="50.25pt" w:type="dxa"/>
          </w:tcPr>
          <w:p>
            <w:r>
              <w:t>0,2489</w:t>
            </w:r>
          </w:p>
        </w:tc>
        <w:tc>
          <w:tcPr>
            <w:tcW w:w="50.25pt" w:type="dxa"/>
            <w:vMerge/>
            <w:vAlign w:val="center"/>
          </w:tcPr>
          <w:p>
            <w:pPr>
              <w:pStyle w:val="BodyText"/>
              <w:ind w:firstLine="0pt"/>
              <w:jc w:val="center"/>
              <w:rPr>
                <w:lang w:val="en-US"/>
              </w:rPr>
            </w:pPr>
          </w:p>
        </w:tc>
      </w:tr>
      <w:tr>
        <w:tc>
          <w:tcPr>
            <w:tcW w:w="50.20pt" w:type="dxa"/>
          </w:tcPr>
          <w:p>
            <w:r>
              <w:t>0,184</w:t>
            </w:r>
          </w:p>
        </w:tc>
        <w:tc>
          <w:tcPr>
            <w:tcW w:w="50.20pt" w:type="dxa"/>
          </w:tcPr>
          <w:p>
            <w:r>
              <w:t>14,997</w:t>
            </w:r>
          </w:p>
        </w:tc>
        <w:tc>
          <w:tcPr>
            <w:tcW w:w="50.25pt" w:type="dxa"/>
          </w:tcPr>
          <w:p>
            <w:r>
              <w:t>5,0464</w:t>
            </w:r>
          </w:p>
        </w:tc>
        <w:tc>
          <w:tcPr>
            <w:tcW w:w="50.25pt" w:type="dxa"/>
          </w:tcPr>
          <w:p>
            <w:r>
              <w:t>0,4989</w:t>
            </w:r>
          </w:p>
        </w:tc>
        <w:tc>
          <w:tcPr>
            <w:tcW w:w="50.25pt" w:type="dxa"/>
            <w:vMerge/>
            <w:vAlign w:val="center"/>
          </w:tcPr>
          <w:p>
            <w:pPr>
              <w:pStyle w:val="BodyText"/>
              <w:ind w:firstLine="0pt"/>
              <w:jc w:val="center"/>
              <w:rPr>
                <w:lang w:val="en-US"/>
              </w:rPr>
            </w:pPr>
          </w:p>
        </w:tc>
      </w:tr>
      <w:tr>
        <w:tc>
          <w:tcPr>
            <w:tcW w:w="50.20pt" w:type="dxa"/>
          </w:tcPr>
          <w:p>
            <w:r>
              <w:t>1,004</w:t>
            </w:r>
          </w:p>
        </w:tc>
        <w:tc>
          <w:tcPr>
            <w:tcW w:w="50.20pt" w:type="dxa"/>
          </w:tcPr>
          <w:p>
            <w:r>
              <w:t>2,633</w:t>
            </w:r>
          </w:p>
        </w:tc>
        <w:tc>
          <w:tcPr>
            <w:tcW w:w="50.25pt" w:type="dxa"/>
          </w:tcPr>
          <w:p>
            <w:r>
              <w:t>2,8674</w:t>
            </w:r>
          </w:p>
        </w:tc>
        <w:tc>
          <w:tcPr>
            <w:tcW w:w="50.25pt" w:type="dxa"/>
          </w:tcPr>
          <w:p>
            <w:r>
              <w:t>0,7546</w:t>
            </w:r>
          </w:p>
        </w:tc>
        <w:tc>
          <w:tcPr>
            <w:tcW w:w="50.25pt" w:type="dxa"/>
            <w:vMerge/>
            <w:vAlign w:val="center"/>
          </w:tcPr>
          <w:p>
            <w:pPr>
              <w:pStyle w:val="BodyText"/>
              <w:ind w:firstLine="0pt"/>
              <w:jc w:val="center"/>
              <w:rPr>
                <w:lang w:val="en-US"/>
              </w:rPr>
            </w:pPr>
          </w:p>
        </w:tc>
      </w:tr>
      <w:tr>
        <w:tc>
          <w:tcPr>
            <w:tcW w:w="50.20pt" w:type="dxa"/>
          </w:tcPr>
          <w:p>
            <w:r>
              <w:t>0,946</w:t>
            </w:r>
          </w:p>
        </w:tc>
        <w:tc>
          <w:tcPr>
            <w:tcW w:w="50.20pt" w:type="dxa"/>
          </w:tcPr>
          <w:p>
            <w:r>
              <w:t>2,637</w:t>
            </w:r>
          </w:p>
        </w:tc>
        <w:tc>
          <w:tcPr>
            <w:tcW w:w="50.25pt" w:type="dxa"/>
          </w:tcPr>
          <w:p>
            <w:r>
              <w:t>2,0596</w:t>
            </w:r>
          </w:p>
        </w:tc>
        <w:tc>
          <w:tcPr>
            <w:tcW w:w="50.25pt" w:type="dxa"/>
          </w:tcPr>
          <w:p>
            <w:r>
              <w:t>0,9982</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5,0294</w:t>
            </w:r>
          </w:p>
        </w:tc>
        <w:tc>
          <w:tcPr>
            <w:tcW w:w="50.25pt" w:type="dxa"/>
          </w:tcPr>
          <w:p>
            <w:r>
              <w:t>0</w:t>
            </w:r>
          </w:p>
        </w:tc>
        <w:tc>
          <w:tcPr>
            <w:tcW w:w="50.25pt" w:type="dxa"/>
            <w:vMerge w:val="restart"/>
            <w:vAlign w:val="center"/>
          </w:tcPr>
          <w:p>
            <w:r>
              <w:t>Load Reset</w:t>
            </w:r>
          </w:p>
          <w:p/>
        </w:tc>
      </w:tr>
      <w:tr>
        <w:tc>
          <w:tcPr>
            <w:tcW w:w="50.20pt" w:type="dxa"/>
          </w:tcPr>
          <w:p>
            <w:r>
              <w:t>0,097</w:t>
            </w:r>
          </w:p>
        </w:tc>
        <w:tc>
          <w:tcPr>
            <w:tcW w:w="50.20pt" w:type="dxa"/>
          </w:tcPr>
          <w:p>
            <w:r>
              <w:t>14,998</w:t>
            </w:r>
          </w:p>
        </w:tc>
        <w:tc>
          <w:tcPr>
            <w:tcW w:w="50.25pt" w:type="dxa"/>
          </w:tcPr>
          <w:p>
            <w:r>
              <w:t>5,0371</w:t>
            </w:r>
          </w:p>
        </w:tc>
        <w:tc>
          <w:tcPr>
            <w:tcW w:w="50.25pt" w:type="dxa"/>
          </w:tcPr>
          <w:p>
            <w:r>
              <w:t>0,2489</w:t>
            </w:r>
          </w:p>
        </w:tc>
        <w:tc>
          <w:tcPr>
            <w:tcW w:w="50.25pt" w:type="dxa"/>
            <w:vMerge/>
            <w:vAlign w:val="center"/>
          </w:tcPr>
          <w:p>
            <w:pPr>
              <w:pStyle w:val="BodyText"/>
              <w:ind w:firstLine="0pt"/>
              <w:jc w:val="center"/>
              <w:rPr>
                <w:lang w:val="en-US"/>
              </w:rPr>
            </w:pPr>
          </w:p>
        </w:tc>
      </w:tr>
      <w:tr>
        <w:tc>
          <w:tcPr>
            <w:tcW w:w="50.20pt" w:type="dxa"/>
          </w:tcPr>
          <w:p>
            <w:r>
              <w:t>0,183</w:t>
            </w:r>
          </w:p>
        </w:tc>
        <w:tc>
          <w:tcPr>
            <w:tcW w:w="50.20pt" w:type="dxa"/>
          </w:tcPr>
          <w:p>
            <w:r>
              <w:t>14,998</w:t>
            </w:r>
          </w:p>
        </w:tc>
        <w:tc>
          <w:tcPr>
            <w:tcW w:w="50.25pt" w:type="dxa"/>
          </w:tcPr>
          <w:p>
            <w:r>
              <w:t>5,0457</w:t>
            </w:r>
          </w:p>
        </w:tc>
        <w:tc>
          <w:tcPr>
            <w:tcW w:w="50.25pt" w:type="dxa"/>
          </w:tcPr>
          <w:p>
            <w:r>
              <w:t>0,4989</w:t>
            </w:r>
          </w:p>
        </w:tc>
        <w:tc>
          <w:tcPr>
            <w:tcW w:w="50.25pt" w:type="dxa"/>
            <w:vMerge/>
            <w:vAlign w:val="center"/>
          </w:tcPr>
          <w:p>
            <w:pPr>
              <w:pStyle w:val="BodyText"/>
              <w:ind w:firstLine="0pt"/>
              <w:jc w:val="center"/>
              <w:rPr>
                <w:lang w:val="en-US"/>
              </w:rPr>
            </w:pPr>
          </w:p>
        </w:tc>
      </w:tr>
      <w:tr>
        <w:tc>
          <w:tcPr>
            <w:tcW w:w="50.20pt" w:type="dxa"/>
          </w:tcPr>
          <w:p>
            <w:r>
              <w:t>0,27</w:t>
            </w:r>
          </w:p>
        </w:tc>
        <w:tc>
          <w:tcPr>
            <w:tcW w:w="50.20pt" w:type="dxa"/>
          </w:tcPr>
          <w:p>
            <w:r>
              <w:t>14,998</w:t>
            </w:r>
          </w:p>
        </w:tc>
        <w:tc>
          <w:tcPr>
            <w:tcW w:w="50.25pt" w:type="dxa"/>
          </w:tcPr>
          <w:p>
            <w:r>
              <w:t>5,0549</w:t>
            </w:r>
          </w:p>
        </w:tc>
        <w:tc>
          <w:tcPr>
            <w:tcW w:w="50.25pt" w:type="dxa"/>
          </w:tcPr>
          <w:p>
            <w:r>
              <w:t>0,749</w:t>
            </w:r>
          </w:p>
        </w:tc>
        <w:tc>
          <w:tcPr>
            <w:tcW w:w="50.25pt" w:type="dxa"/>
            <w:vMerge/>
            <w:vAlign w:val="center"/>
          </w:tcPr>
          <w:p>
            <w:pPr>
              <w:pStyle w:val="BodyText"/>
              <w:ind w:firstLine="0pt"/>
              <w:jc w:val="center"/>
              <w:rPr>
                <w:lang w:val="en-US"/>
              </w:rPr>
            </w:pPr>
          </w:p>
        </w:tc>
      </w:tr>
      <w:tr>
        <w:tc>
          <w:tcPr>
            <w:tcW w:w="50.20pt" w:type="dxa"/>
          </w:tcPr>
          <w:p>
            <w:r>
              <w:t>0,356</w:t>
            </w:r>
          </w:p>
        </w:tc>
        <w:tc>
          <w:tcPr>
            <w:tcW w:w="50.20pt" w:type="dxa"/>
          </w:tcPr>
          <w:p>
            <w:r>
              <w:t>14,999</w:t>
            </w:r>
          </w:p>
        </w:tc>
        <w:tc>
          <w:tcPr>
            <w:tcW w:w="50.25pt" w:type="dxa"/>
          </w:tcPr>
          <w:p>
            <w:r>
              <w:t>5,0637</w:t>
            </w:r>
          </w:p>
        </w:tc>
        <w:tc>
          <w:tcPr>
            <w:tcW w:w="50.25pt" w:type="dxa"/>
          </w:tcPr>
          <w:p>
            <w:r>
              <w:t>0,9985</w:t>
            </w:r>
          </w:p>
        </w:tc>
        <w:tc>
          <w:tcPr>
            <w:tcW w:w="50.25pt" w:type="dxa"/>
            <w:vMerge/>
            <w:vAlign w:val="center"/>
          </w:tcPr>
          <w:p>
            <w:pPr>
              <w:pStyle w:val="BodyText"/>
              <w:ind w:firstLine="0pt"/>
              <w:jc w:val="center"/>
              <w:rPr>
                <w:lang w:val="en-US"/>
              </w:rPr>
            </w:pPr>
          </w:p>
        </w:tc>
      </w:tr>
      <w:tr>
        <w:tc>
          <w:tcPr>
            <w:tcW w:w="50.20pt" w:type="dxa"/>
          </w:tcPr>
          <w:p>
            <w:r>
              <w:t>0</w:t>
            </w:r>
          </w:p>
        </w:tc>
        <w:tc>
          <w:tcPr>
            <w:tcW w:w="50.20pt" w:type="dxa"/>
          </w:tcPr>
          <w:p>
            <w:r>
              <w:t>14,998</w:t>
            </w:r>
          </w:p>
        </w:tc>
        <w:tc>
          <w:tcPr>
            <w:tcW w:w="50.25pt" w:type="dxa"/>
          </w:tcPr>
          <w:p>
            <w:r>
              <w:t>5,0283</w:t>
            </w:r>
          </w:p>
        </w:tc>
        <w:tc>
          <w:tcPr>
            <w:tcW w:w="50.25pt" w:type="dxa"/>
          </w:tcPr>
          <w:p>
            <w:r>
              <w:t>0</w:t>
            </w:r>
          </w:p>
        </w:tc>
        <w:tc>
          <w:tcPr>
            <w:tcW w:w="50.25pt" w:type="dxa"/>
            <w:vMerge w:val="restart"/>
            <w:vAlign w:val="center"/>
          </w:tcPr>
          <w:p>
            <w:r>
              <w:t>VDC &amp; Load Reset</w:t>
            </w:r>
          </w:p>
        </w:tc>
      </w:tr>
      <w:tr>
        <w:tc>
          <w:tcPr>
            <w:tcW w:w="50.20pt" w:type="dxa"/>
          </w:tcPr>
          <w:p>
            <w:r>
              <w:t>0,097</w:t>
            </w:r>
          </w:p>
        </w:tc>
        <w:tc>
          <w:tcPr>
            <w:tcW w:w="50.20pt" w:type="dxa"/>
          </w:tcPr>
          <w:p>
            <w:r>
              <w:t>14,998</w:t>
            </w:r>
          </w:p>
        </w:tc>
        <w:tc>
          <w:tcPr>
            <w:tcW w:w="50.25pt" w:type="dxa"/>
          </w:tcPr>
          <w:p>
            <w:r>
              <w:t>5,0366</w:t>
            </w:r>
          </w:p>
        </w:tc>
        <w:tc>
          <w:tcPr>
            <w:tcW w:w="50.25pt" w:type="dxa"/>
          </w:tcPr>
          <w:p>
            <w:r>
              <w:t>0,2486</w:t>
            </w:r>
          </w:p>
        </w:tc>
        <w:tc>
          <w:tcPr>
            <w:tcW w:w="50.25pt" w:type="dxa"/>
            <w:vMerge/>
          </w:tcPr>
          <w:p>
            <w:pPr>
              <w:pStyle w:val="BodyText"/>
              <w:ind w:firstLine="0pt"/>
              <w:rPr>
                <w:lang w:val="en-US"/>
              </w:rPr>
            </w:pPr>
          </w:p>
        </w:tc>
      </w:tr>
      <w:tr>
        <w:tc>
          <w:tcPr>
            <w:tcW w:w="50.20pt" w:type="dxa"/>
          </w:tcPr>
          <w:p>
            <w:r>
              <w:t>0,184</w:t>
            </w:r>
          </w:p>
        </w:tc>
        <w:tc>
          <w:tcPr>
            <w:tcW w:w="50.20pt" w:type="dxa"/>
          </w:tcPr>
          <w:p>
            <w:r>
              <w:t>14,998</w:t>
            </w:r>
          </w:p>
        </w:tc>
        <w:tc>
          <w:tcPr>
            <w:tcW w:w="50.25pt" w:type="dxa"/>
          </w:tcPr>
          <w:p>
            <w:r>
              <w:t>5,0455</w:t>
            </w:r>
          </w:p>
        </w:tc>
        <w:tc>
          <w:tcPr>
            <w:tcW w:w="50.25pt" w:type="dxa"/>
          </w:tcPr>
          <w:p>
            <w:r>
              <w:t>0,4989</w:t>
            </w:r>
          </w:p>
        </w:tc>
        <w:tc>
          <w:tcPr>
            <w:tcW w:w="50.25pt" w:type="dxa"/>
            <w:vMerge/>
          </w:tcPr>
          <w:p>
            <w:pPr>
              <w:pStyle w:val="BodyText"/>
              <w:ind w:firstLine="0pt"/>
              <w:rPr>
                <w:lang w:val="en-US"/>
              </w:rPr>
            </w:pPr>
          </w:p>
        </w:tc>
      </w:tr>
      <w:tr>
        <w:tc>
          <w:tcPr>
            <w:tcW w:w="50.20pt" w:type="dxa"/>
          </w:tcPr>
          <w:p>
            <w:r>
              <w:t>0,969</w:t>
            </w:r>
          </w:p>
        </w:tc>
        <w:tc>
          <w:tcPr>
            <w:tcW w:w="50.20pt" w:type="dxa"/>
          </w:tcPr>
          <w:p>
            <w:r>
              <w:t>2,64</w:t>
            </w:r>
          </w:p>
        </w:tc>
        <w:tc>
          <w:tcPr>
            <w:tcW w:w="50.25pt" w:type="dxa"/>
          </w:tcPr>
          <w:p>
            <w:r>
              <w:t>2,8696</w:t>
            </w:r>
          </w:p>
        </w:tc>
        <w:tc>
          <w:tcPr>
            <w:tcW w:w="50.25pt" w:type="dxa"/>
          </w:tcPr>
          <w:p>
            <w:r>
              <w:t>0,745</w:t>
            </w:r>
          </w:p>
        </w:tc>
        <w:tc>
          <w:tcPr>
            <w:tcW w:w="50.25pt" w:type="dxa"/>
            <w:vMerge/>
          </w:tcPr>
          <w:p>
            <w:pPr>
              <w:pStyle w:val="BodyText"/>
              <w:ind w:firstLine="0pt"/>
              <w:rPr>
                <w:lang w:val="en-US"/>
              </w:rPr>
            </w:pPr>
          </w:p>
        </w:tc>
      </w:tr>
      <w:tr>
        <w:tc>
          <w:tcPr>
            <w:tcW w:w="50.20pt" w:type="dxa"/>
          </w:tcPr>
          <w:p>
            <w:r>
              <w:t>1,016</w:t>
            </w:r>
          </w:p>
        </w:tc>
        <w:tc>
          <w:tcPr>
            <w:tcW w:w="50.20pt" w:type="dxa"/>
          </w:tcPr>
          <w:p>
            <w:r>
              <w:t>2,666</w:t>
            </w:r>
          </w:p>
        </w:tc>
        <w:tc>
          <w:tcPr>
            <w:tcW w:w="50.25pt" w:type="dxa"/>
          </w:tcPr>
          <w:p>
            <w:r>
              <w:t>2,0549</w:t>
            </w:r>
          </w:p>
        </w:tc>
        <w:tc>
          <w:tcPr>
            <w:tcW w:w="50.25pt" w:type="dxa"/>
          </w:tcPr>
          <w:p>
            <w:r>
              <w:t>1,0043</w:t>
            </w:r>
          </w:p>
        </w:tc>
        <w:tc>
          <w:tcPr>
            <w:tcW w:w="50.25pt" w:type="dxa"/>
            <w:vMerge/>
          </w:tcPr>
          <w:p>
            <w:pPr>
              <w:pStyle w:val="BodyText"/>
              <w:ind w:firstLine="0pt"/>
              <w:rPr>
                <w:lang w:val="en-US"/>
              </w:rPr>
            </w:pPr>
          </w:p>
        </w:tc>
      </w:tr>
    </w:tbl>
    <w:p>
      <w:pPr>
        <w:pStyle w:val="BodyText"/>
      </w:pPr>
      <w:r>
        <w:rPr>
          <w:lang w:val="en-US"/>
        </w:rPr>
        <w:t>It seems to overcome the transient process more time should be given to the input source to settle, however if one compares the numbers between the three tables they gradually increase to the nominal value. Plotting the efficiency curves on figure 5 shows the same behavior again with slight increase in the efficiency.</w:t>
      </w:r>
    </w:p>
    <w:p>
      <w:pPr>
        <w:pStyle w:val="BodyText"/>
        <w:ind w:firstLine="0pt"/>
      </w:pPr>
      <w:r>
        <w:rPr>
          <w:noProof/>
        </w:rPr>
        <w:lastRenderedPageBreak/>
        <w:drawing>
          <wp:inline distT="0" distB="0" distL="0" distR="0">
            <wp:extent cx="3195955" cy="2701602"/>
            <wp:effectExtent l="0" t="0" r="4445" b="381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207553" cy="2711406"/>
                    </a:xfrm>
                    <a:prstGeom prst="rect">
                      <a:avLst/>
                    </a:prstGeom>
                  </pic:spPr>
                </pic:pic>
              </a:graphicData>
            </a:graphic>
          </wp:inline>
        </w:drawing>
      </w:r>
    </w:p>
    <w:p>
      <w:pPr>
        <w:pStyle w:val="figurecaption"/>
      </w:pPr>
      <w:r>
        <w:t>Efficiency curves at 1 s measurement delay with device under test</w:t>
      </w:r>
    </w:p>
    <w:p>
      <w:pPr>
        <w:pStyle w:val="BodyText"/>
        <w:rPr>
          <w:lang w:val="en-US"/>
        </w:rPr>
      </w:pPr>
      <w:r>
        <w:rPr>
          <w:lang w:val="en-US"/>
        </w:rPr>
        <w:t>Results</w:t>
      </w:r>
      <w:r>
        <w:rPr>
          <w:lang w:val="en-US"/>
        </w:rPr>
        <w:t xml:space="preserve"> indicate that the measurement delay should be greater than 1 second for this particular setup. It has been chosen not to include a measurement with fully settled instrument, because this would be quite specific depending mainly on the device under test. However the presented ideas and measurements would allow trainees, students and professionals to troubleshoot problems with unexpected or undesired results in their automated test and </w:t>
      </w:r>
      <w:proofErr w:type="spellStart"/>
      <w:r>
        <w:rPr>
          <w:lang w:val="en-US"/>
        </w:rPr>
        <w:t>measuremenet</w:t>
      </w:r>
      <w:proofErr w:type="spellEnd"/>
      <w:r>
        <w:rPr>
          <w:lang w:val="en-US"/>
        </w:rPr>
        <w:t xml:space="preserve"> data acquisition test benches and setups.</w:t>
      </w:r>
    </w:p>
    <w:p>
      <w:pPr>
        <w:pStyle w:val="Heading1"/>
      </w:pPr>
      <w:r>
        <w:t>Conclusion</w:t>
      </w:r>
    </w:p>
    <w:p>
      <w:pPr>
        <w:pStyle w:val="BodyText"/>
        <w:rPr>
          <w:color w:val="70AD47" w:themeColor="accent6"/>
          <w:lang w:val="en-US"/>
        </w:rPr>
      </w:pPr>
      <w:r>
        <w:rPr>
          <w:color w:val="70AD47" w:themeColor="accent6"/>
          <w:lang w:val="en-US"/>
        </w:rPr>
        <w:t xml:space="preserve">An </w:t>
      </w:r>
      <w:r>
        <w:rPr>
          <w:color w:val="70AD47" w:themeColor="accent6"/>
        </w:rPr>
        <w:t xml:space="preserve">adoption of the aspects for automated test and measurement workflow and algorithms related to the study of power electronic converters </w:t>
      </w:r>
      <w:r>
        <w:rPr>
          <w:color w:val="70AD47" w:themeColor="accent6"/>
          <w:lang w:val="en-US"/>
        </w:rPr>
        <w:t xml:space="preserve">is </w:t>
      </w:r>
      <w:r>
        <w:rPr>
          <w:color w:val="70AD47" w:themeColor="accent6"/>
        </w:rPr>
        <w:t>present</w:t>
      </w:r>
      <w:r>
        <w:rPr>
          <w:color w:val="70AD47" w:themeColor="accent6"/>
          <w:lang w:val="en-US"/>
        </w:rPr>
        <w:t>ed</w:t>
      </w:r>
      <w:r>
        <w:rPr>
          <w:color w:val="70AD47" w:themeColor="accent6"/>
        </w:rPr>
        <w:t xml:space="preserve">. </w:t>
      </w:r>
      <w:r>
        <w:rPr>
          <w:color w:val="70AD47" w:themeColor="accent6"/>
          <w:lang w:val="en-US"/>
        </w:rPr>
        <w:t xml:space="preserve">An observation is made that </w:t>
      </w:r>
      <w:r>
        <w:rPr>
          <w:color w:val="70AD47" w:themeColor="accent6"/>
        </w:rPr>
        <w:t>some peculiarities of various test bench configurations affect the speed, performance and accuracy of the carried measurements and produced data</w:t>
      </w:r>
      <w:r>
        <w:rPr>
          <w:color w:val="70AD47" w:themeColor="accent6"/>
          <w:lang w:val="en-US"/>
        </w:rPr>
        <w:t xml:space="preserve">. </w:t>
      </w:r>
    </w:p>
    <w:p>
      <w:pPr>
        <w:pStyle w:val="BodyText"/>
        <w:rPr>
          <w:color w:val="70AD47" w:themeColor="accent6"/>
          <w:lang w:val="en-US"/>
        </w:rPr>
      </w:pPr>
      <w:r>
        <w:rPr>
          <w:color w:val="70AD47" w:themeColor="accent6"/>
          <w:lang w:val="en-US"/>
        </w:rPr>
        <w:t xml:space="preserve">Although automation allows for greater flexibility and superior speed increase this does come with a cost, related with </w:t>
      </w:r>
      <w:r>
        <w:rPr>
          <w:color w:val="70AD47" w:themeColor="accent6"/>
          <w:lang w:val="en-US"/>
        </w:rPr>
        <w:t xml:space="preserve">the impossibility to have fast and perfect transient response. This could add a significant error to the measurements and even invalidate them. It was demonstrated that choosing different delay between the automated measurement steps for settling time of both the instruments and the device under test could significantly influence the produced results. </w:t>
      </w:r>
      <w:r>
        <w:rPr>
          <w:color w:val="70AD47" w:themeColor="accent6"/>
        </w:rPr>
        <w:t>It is of critical aspect that the researcher is aware of this peculiarities in order to make accurate conclusions on power converter parameters such as efficiency, load and line regulation, reliability and safety of the devices tested.</w:t>
      </w:r>
      <w:r>
        <w:rPr>
          <w:color w:val="70AD47" w:themeColor="accent6"/>
          <w:lang w:val="en-US"/>
        </w:rPr>
        <w:t xml:space="preserve"> </w:t>
      </w:r>
    </w:p>
    <w:p>
      <w:pPr>
        <w:pStyle w:val="BodyText"/>
      </w:pPr>
      <w:r>
        <w:rPr>
          <w:color w:val="70AD47" w:themeColor="accent6"/>
          <w:lang w:val="en-US"/>
        </w:rPr>
        <w:t>Nonetheless</w:t>
      </w:r>
      <w:r>
        <w:rPr>
          <w:color w:val="70AD47" w:themeColor="accent6"/>
        </w:rPr>
        <w:t>, automated measurements play a crucial role in the evolution of power electronic devices towards more efficient, reliable, and adaptive systems, with significant implications for various industries including renewable energy, electric vehicles, industrial automation, and smart grid applications.</w:t>
      </w:r>
    </w:p>
    <w:p>
      <w:pPr>
        <w:pStyle w:val="Heading5"/>
      </w:pPr>
      <w:r>
        <w:t>Acknowledgment</w:t>
      </w:r>
    </w:p>
    <w:p>
      <w:pPr>
        <w:pStyle w:val="BodyText"/>
      </w:pPr>
      <w:r>
        <w:t xml:space="preserve">The carried out research is supported and realized in the frames of the project ''Study of power electronic </w:t>
      </w:r>
      <w:r>
        <w:rPr>
          <w:lang w:val="en-US"/>
        </w:rPr>
        <w:t>systems</w:t>
      </w:r>
      <w:r>
        <w:t xml:space="preserve"> with </w:t>
      </w:r>
      <w:r>
        <w:rPr>
          <w:lang w:val="en-US"/>
        </w:rPr>
        <w:t>intelligent control</w:t>
      </w:r>
      <w:r>
        <w:t>'', 2</w:t>
      </w:r>
      <w:r>
        <w:rPr>
          <w:lang w:val="bg-BG"/>
        </w:rPr>
        <w:t>4</w:t>
      </w:r>
      <w:r>
        <w:t>1ПР0001</w:t>
      </w:r>
      <w:r>
        <w:rPr>
          <w:lang w:val="bg-BG"/>
        </w:rPr>
        <w:t>5</w:t>
      </w:r>
      <w:r>
        <w:t>-03/</w:t>
      </w:r>
      <w:r>
        <w:rPr>
          <w:lang w:val="bg-BG"/>
        </w:rPr>
        <w:t>28</w:t>
      </w:r>
      <w:r>
        <w:t>.0</w:t>
      </w:r>
      <w:r>
        <w:rPr>
          <w:lang w:val="bg-BG"/>
        </w:rPr>
        <w:t>3</w:t>
      </w:r>
      <w:r>
        <w:t>.202</w:t>
      </w:r>
      <w:r>
        <w:rPr>
          <w:lang w:val="bg-BG"/>
        </w:rPr>
        <w:t>4</w:t>
      </w:r>
      <w:r>
        <w:t>, Research and development sector, Technical University of Sofia.</w:t>
      </w:r>
    </w:p>
    <w:p>
      <w:pPr>
        <w:pStyle w:val="Heading5"/>
      </w:pPr>
      <w:r>
        <w:t>Refe</w:t>
      </w:r>
      <w:r>
        <w:rPr>
          <w:color w:val="FF0000"/>
        </w:rPr>
        <w:t>re</w:t>
      </w:r>
      <w:r>
        <w:t>nces</w:t>
      </w:r>
    </w:p>
    <w:p/>
    <w:p>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pPr>
        <w:pStyle w:val="references"/>
        <w:ind w:start="17.70pt" w:hanging="17.70pt"/>
      </w:pPr>
      <w:r>
        <w:t>J. Clerk Maxwell, A Treatise on Electricity and Magnetism, 3rd ed., vol. 2. Oxford: Clarendon, 1892, pp.68–73.</w:t>
      </w:r>
    </w:p>
    <w:p>
      <w:pPr>
        <w:pStyle w:val="references"/>
        <w:ind w:start="17.70pt" w:hanging="17.70pt"/>
      </w:pPr>
      <w:r>
        <w:t>I. S. Jacobs and C. P. Bean, “Fine particles, thin films and exchange anisotropy,” in Magnetism, vol. III, G. T. Rado and H. Suhl, Eds. New York: Academic, 1963, pp. 271–350.</w:t>
      </w:r>
    </w:p>
    <w:p>
      <w:pPr>
        <w:pStyle w:val="references"/>
        <w:ind w:start="17.70pt" w:hanging="17.70pt"/>
      </w:pPr>
      <w:r>
        <w:t>K. Elissa, “Title of paper if known,” unpublished.</w:t>
      </w:r>
    </w:p>
    <w:p>
      <w:pPr>
        <w:pStyle w:val="references"/>
        <w:ind w:start="17.70pt" w:hanging="17.70pt"/>
      </w:pPr>
      <w:r>
        <w:t>R. Nicole, “Title of paper with only first word capitalized,” J. Name Stand. Abbrev., in press.</w:t>
      </w:r>
    </w:p>
    <w:p>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pPr>
        <w:pStyle w:val="references"/>
        <w:ind w:start="17.70pt" w:hanging="17.70pt"/>
      </w:pPr>
      <w:r>
        <w:t>M. Young, The Technical Writer’s Handbook. Mill Valley, CA: University Science, 1989.</w:t>
      </w:r>
    </w:p>
    <w:p>
      <w:pPr>
        <w:pStyle w:val="references"/>
        <w:numPr>
          <w:ilvl w:val="0"/>
          <w:numId w:val="0"/>
        </w:numPr>
        <w:ind w:start="18pt" w:hanging="18pt"/>
        <w:jc w:val="center"/>
        <w:rPr>
          <w:rFonts w:eastAsia="SimSun"/>
          <w:b/>
          <w:noProof w:val="0"/>
          <w:color w:val="FF0000"/>
          <w:spacing w:val="-1"/>
          <w:sz w:val="20"/>
          <w:szCs w:val="20"/>
          <w:lang w:val="x-none" w:eastAsia="x-none"/>
        </w:rPr>
        <w:sectPr>
          <w:type w:val="continuous"/>
          <w:pgSz w:w="612pt" w:h="792pt" w:code="1"/>
          <w:pgMar w:top="54pt" w:right="45.35pt" w:bottom="72pt" w:left="45.35pt" w:header="36pt" w:footer="36pt" w:gutter="0pt"/>
          <w:cols w:num="2" w:space="18pt"/>
          <w:docGrid w:linePitch="360"/>
        </w:sectPr>
      </w:pPr>
    </w:p>
    <w:p>
      <w:pPr>
        <w:rPr>
          <w:color w:val="FF0000"/>
        </w:rPr>
      </w:pPr>
    </w:p>
    <w:sectPr>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onsolas">
    <w:panose1 w:val="020B0609020204030204"/>
    <w:charset w:characterSet="windows-1251"/>
    <w:family w:val="modern"/>
    <w:pitch w:val="fixed"/>
    <w:sig w:usb0="E00006FF" w:usb1="0000FCFF" w:usb2="00000001" w:usb3="00000000" w:csb0="0000019F" w:csb1="00000000"/>
  </w:font>
  <w:font w:name="Calibri Light">
    <w:panose1 w:val="020F0302020204030204"/>
    <w:charset w:characterSet="windows-1251"/>
    <w:family w:val="swiss"/>
    <w:pitch w:val="variable"/>
    <w:sig w:usb0="E0002AFF" w:usb1="C000247B" w:usb2="00000009" w:usb3="00000000" w:csb0="000001FF" w:csb1="00000000"/>
  </w:font>
  <w:font w:name="Calibri">
    <w:panose1 w:val="020F0502020204030204"/>
    <w:charset w:characterSet="windows-125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pPr>
      <w:pStyle w:val="Footer"/>
      <w:jc w:val="start"/>
      <w:rPr>
        <w:sz w:val="16"/>
        <w:szCs w:val="16"/>
      </w:rPr>
    </w:pPr>
    <w:r>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
        <w:separator/>
      </w:r>
    </w:p>
  </w:footnote>
  <w:footnote w:type="continuationSeparator" w:id="0">
    <w:p>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pPr>
      <w:autoSpaceDE w:val="0"/>
      <w:autoSpaceDN w:val="0"/>
      <w:adjustRightInd w:val="0"/>
      <w:jc w:val="end"/>
      <w:rPr>
        <w:i/>
        <w:iCs/>
        <w:sz w:val="16"/>
        <w:szCs w:val="16"/>
        <w:lang w:bidi="bn-IN"/>
      </w:rPr>
    </w:pPr>
    <w:r>
      <w:rPr>
        <w:i/>
        <w:iCs/>
        <w:sz w:val="16"/>
        <w:szCs w:val="16"/>
        <w:lang w:bidi="bn-IN"/>
      </w:rPr>
      <w:t xml:space="preserve">Proc. of the International Conference on Electrical, Computer, Communications and Mechatronics Engineering (ICECCME 2024) </w:t>
    </w:r>
  </w:p>
  <w:p>
    <w:pPr>
      <w:autoSpaceDE w:val="0"/>
      <w:autoSpaceDN w:val="0"/>
      <w:adjustRightInd w:val="0"/>
      <w:jc w:val="end"/>
      <w:rPr>
        <w:i/>
        <w:iCs/>
        <w:sz w:val="16"/>
        <w:szCs w:val="16"/>
      </w:rPr>
    </w:pPr>
    <w:r>
      <w:rPr>
        <w:i/>
        <w:iCs/>
        <w:sz w:val="16"/>
        <w:szCs w:val="16"/>
        <w:lang w:bidi="bn-IN"/>
      </w:rPr>
      <w:t>4-6 November 2024, Male, Maldives</w:t>
    </w:r>
  </w:p>
  <w:p>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A24FDB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F56B9D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E73C8B5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5074FBF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648B22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E2C084B4"/>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A5A066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353CA6B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5F78F33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3B0454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pPr>
      <w:numPr>
        <w:ilvl w:val="2"/>
        <w:numId w:val="4"/>
      </w:numPr>
      <w:spacing w:line="12pt" w:lineRule="exact"/>
      <w:ind w:firstLine="14.40pt"/>
      <w:jc w:val="both"/>
      <w:outlineLvl w:val="2"/>
    </w:pPr>
    <w:rPr>
      <w:i/>
      <w:iCs/>
      <w:noProof/>
    </w:rPr>
  </w:style>
  <w:style w:type="paragraph" w:styleId="Heading4">
    <w:name w:val="heading 4"/>
    <w:basedOn w:val="Normal"/>
    <w:next w:val="Normal"/>
    <w:qFormat/>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Pr>
      <w:spacing w:val="-1"/>
      <w:lang w:val="x-none" w:eastAsia="x-none"/>
    </w:rPr>
  </w:style>
  <w:style w:type="paragraph" w:customStyle="1" w:styleId="bulletlist">
    <w:name w:val="bullet list"/>
    <w:basedOn w:val="BodyText"/>
    <w:pPr>
      <w:numPr>
        <w:numId w:val="1"/>
      </w:numPr>
      <w:tabs>
        <w:tab w:val="clear" w:pos="32.40pt"/>
      </w:tabs>
      <w:ind w:start="28.80pt" w:hanging="14.40pt"/>
    </w:pPr>
  </w:style>
  <w:style w:type="paragraph" w:customStyle="1" w:styleId="equation">
    <w:name w:val="equation"/>
    <w:basedOn w:val="Normal"/>
    <w:pPr>
      <w:tabs>
        <w:tab w:val="center" w:pos="126pt"/>
        <w:tab w:val="end" w:pos="252pt"/>
      </w:tabs>
      <w:spacing w:before="12pt" w:after="12pt" w:line="10.80pt" w:lineRule="auto"/>
    </w:pPr>
    <w:rPr>
      <w:rFonts w:ascii="Symbol" w:hAnsi="Symbol" w:cs="Symbol"/>
    </w:rPr>
  </w:style>
  <w:style w:type="paragraph" w:customStyle="1" w:styleId="figurecaption">
    <w:name w:val="figure caption"/>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pPr>
      <w:spacing w:after="6pt"/>
      <w:ind w:firstLine="13.70pt"/>
    </w:pPr>
    <w:rPr>
      <w:i/>
    </w:rPr>
  </w:style>
  <w:style w:type="paragraph" w:styleId="Header">
    <w:name w:val="header"/>
    <w:basedOn w:val="Normal"/>
    <w:link w:val="HeaderChar"/>
    <w:pPr>
      <w:tabs>
        <w:tab w:val="center" w:pos="234pt"/>
        <w:tab w:val="end" w:pos="468pt"/>
      </w:tabs>
    </w:pPr>
  </w:style>
  <w:style w:type="character" w:customStyle="1" w:styleId="HeaderChar">
    <w:name w:val="Header Char"/>
    <w:basedOn w:val="DefaultParagraphFont"/>
    <w:link w:val="Header"/>
  </w:style>
  <w:style w:type="paragraph" w:styleId="Footer">
    <w:name w:val="footer"/>
    <w:basedOn w:val="Normal"/>
    <w:link w:val="FooterChar"/>
    <w:pPr>
      <w:tabs>
        <w:tab w:val="center" w:pos="234pt"/>
        <w:tab w:val="end" w:pos="468pt"/>
      </w:tabs>
    </w:pPr>
  </w:style>
  <w:style w:type="character" w:customStyle="1" w:styleId="FooterChar">
    <w:name w:val="Footer Char"/>
    <w:basedOn w:val="DefaultParagraphFont"/>
    <w:link w:val="Footer"/>
  </w:style>
  <w:style w:type="table" w:styleId="TableGrid">
    <w:name w:val="Table Grid"/>
    <w:basedOn w:val="TableNormal"/>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Acronym">
    <w:name w:val="HTML Acronym"/>
    <w:basedOn w:val="DefaultParagraphFont"/>
  </w:style>
  <w:style w:type="character" w:styleId="HTMLVariable">
    <w:name w:val="HTML Variable"/>
    <w:basedOn w:val="DefaultParagraphFont"/>
    <w:rPr>
      <w:i/>
      <w:iCs/>
    </w:rPr>
  </w:style>
  <w:style w:type="character" w:styleId="HTMLSample">
    <w:name w:val="HTML Sample"/>
    <w:basedOn w:val="DefaultParagraphFont"/>
    <w:rPr>
      <w:rFonts w:ascii="Consolas" w:hAnsi="Consolas"/>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3432514">
      <w:bodyDiv w:val="1"/>
      <w:marLeft w:val="0pt"/>
      <w:marRight w:val="0pt"/>
      <w:marTop w:val="0pt"/>
      <w:marBottom w:val="0pt"/>
      <w:divBdr>
        <w:top w:val="none" w:sz="0" w:space="0" w:color="auto"/>
        <w:left w:val="none" w:sz="0" w:space="0" w:color="auto"/>
        <w:bottom w:val="none" w:sz="0" w:space="0" w:color="auto"/>
        <w:right w:val="none" w:sz="0" w:space="0" w:color="auto"/>
      </w:divBdr>
    </w:div>
    <w:div w:id="803042732">
      <w:bodyDiv w:val="1"/>
      <w:marLeft w:val="0pt"/>
      <w:marRight w:val="0pt"/>
      <w:marTop w:val="0pt"/>
      <w:marBottom w:val="0pt"/>
      <w:divBdr>
        <w:top w:val="none" w:sz="0" w:space="0" w:color="auto"/>
        <w:left w:val="none" w:sz="0" w:space="0" w:color="auto"/>
        <w:bottom w:val="none" w:sz="0" w:space="0" w:color="auto"/>
        <w:right w:val="none" w:sz="0" w:space="0" w:color="auto"/>
      </w:divBdr>
    </w:div>
    <w:div w:id="930629792">
      <w:bodyDiv w:val="1"/>
      <w:marLeft w:val="0pt"/>
      <w:marRight w:val="0pt"/>
      <w:marTop w:val="0pt"/>
      <w:marBottom w:val="0pt"/>
      <w:divBdr>
        <w:top w:val="none" w:sz="0" w:space="0" w:color="auto"/>
        <w:left w:val="none" w:sz="0" w:space="0" w:color="auto"/>
        <w:bottom w:val="none" w:sz="0" w:space="0" w:color="auto"/>
        <w:right w:val="none" w:sz="0" w:space="0" w:color="auto"/>
      </w:divBdr>
    </w:div>
    <w:div w:id="1085226474">
      <w:bodyDiv w:val="1"/>
      <w:marLeft w:val="0pt"/>
      <w:marRight w:val="0pt"/>
      <w:marTop w:val="0pt"/>
      <w:marBottom w:val="0pt"/>
      <w:divBdr>
        <w:top w:val="none" w:sz="0" w:space="0" w:color="auto"/>
        <w:left w:val="none" w:sz="0" w:space="0" w:color="auto"/>
        <w:bottom w:val="none" w:sz="0" w:space="0" w:color="auto"/>
        <w:right w:val="none" w:sz="0" w:space="0" w:color="auto"/>
      </w:divBdr>
    </w:div>
    <w:div w:id="1113553203">
      <w:bodyDiv w:val="1"/>
      <w:marLeft w:val="0pt"/>
      <w:marRight w:val="0pt"/>
      <w:marTop w:val="0pt"/>
      <w:marBottom w:val="0pt"/>
      <w:divBdr>
        <w:top w:val="none" w:sz="0" w:space="0" w:color="auto"/>
        <w:left w:val="none" w:sz="0" w:space="0" w:color="auto"/>
        <w:bottom w:val="none" w:sz="0" w:space="0" w:color="auto"/>
        <w:right w:val="none" w:sz="0" w:space="0" w:color="auto"/>
      </w:divBdr>
    </w:div>
    <w:div w:id="1304311821">
      <w:bodyDiv w:val="1"/>
      <w:marLeft w:val="0pt"/>
      <w:marRight w:val="0pt"/>
      <w:marTop w:val="0pt"/>
      <w:marBottom w:val="0pt"/>
      <w:divBdr>
        <w:top w:val="none" w:sz="0" w:space="0" w:color="auto"/>
        <w:left w:val="none" w:sz="0" w:space="0" w:color="auto"/>
        <w:bottom w:val="none" w:sz="0" w:space="0" w:color="auto"/>
        <w:right w:val="none" w:sz="0" w:space="0" w:color="auto"/>
      </w:divBdr>
    </w:div>
    <w:div w:id="1309212760">
      <w:bodyDiv w:val="1"/>
      <w:marLeft w:val="0pt"/>
      <w:marRight w:val="0pt"/>
      <w:marTop w:val="0pt"/>
      <w:marBottom w:val="0pt"/>
      <w:divBdr>
        <w:top w:val="none" w:sz="0" w:space="0" w:color="auto"/>
        <w:left w:val="none" w:sz="0" w:space="0" w:color="auto"/>
        <w:bottom w:val="none" w:sz="0" w:space="0" w:color="auto"/>
        <w:right w:val="none" w:sz="0" w:space="0" w:color="auto"/>
      </w:divBdr>
    </w:div>
    <w:div w:id="1741321399">
      <w:bodyDiv w:val="1"/>
      <w:marLeft w:val="0pt"/>
      <w:marRight w:val="0pt"/>
      <w:marTop w:val="0pt"/>
      <w:marBottom w:val="0pt"/>
      <w:divBdr>
        <w:top w:val="none" w:sz="0" w:space="0" w:color="auto"/>
        <w:left w:val="none" w:sz="0" w:space="0" w:color="auto"/>
        <w:bottom w:val="none" w:sz="0" w:space="0" w:color="auto"/>
        <w:right w:val="none" w:sz="0" w:space="0" w:color="auto"/>
      </w:divBdr>
    </w:div>
    <w:div w:id="19547040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gif"/><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1212C1A-CC80-4D64-B4FD-E284F4E79B1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10988</TotalTime>
  <Pages>6</Pages>
  <Words>3485</Words>
  <Characters>19866</Characters>
  <Application>Microsoft Office Word</Application>
  <DocSecurity>0</DocSecurity>
  <Lines>165</Lines>
  <Paragraphs>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Tzvety Hranov</cp:lastModifiedBy>
  <cp:revision>17</cp:revision>
  <dcterms:created xsi:type="dcterms:W3CDTF">2024-05-11T21:28:00Z</dcterms:created>
  <dcterms:modified xsi:type="dcterms:W3CDTF">2024-05-21T20:12:00Z</dcterms:modified>
</cp:coreProperties>
</file>