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after="240" w:line="480" w:lineRule="auto"/>
        <w:jc w:val="left"/>
        <w:rPr>
          <w:b/>
          <w:bCs/>
          <w:sz w:val="28"/>
          <w:szCs w:val="28"/>
        </w:rPr>
      </w:pPr>
      <w:r>
        <w:rPr>
          <w:rFonts w:ascii="times new roman" w:eastAsia="times new roman" w:hAnsi="times new roman" w:cs="times new roman"/>
          <w:b w:val="0"/>
          <w:bCs w:val="0"/>
          <w:i w:val="0"/>
          <w:color w:val="auto"/>
          <w:sz w:val="28"/>
          <w:szCs w:val="28"/>
        </w:rPr>
        <w:t>Literature Review</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1. Introduction and Scope of the Review</w:t>
      </w:r>
    </w:p>
    <w:p>
      <w:pPr>
        <w:spacing w:before="0" w:after="0" w:line="480" w:lineRule="auto"/>
        <w:ind w:firstLine="720"/>
        <w:jc w:val="both"/>
      </w:pPr>
      <w:r>
        <w:rPr>
          <w:rFonts w:ascii="times new roman" w:eastAsia="times new roman" w:hAnsi="times new roman" w:cs="times new roman"/>
        </w:rPr>
        <w:t>A significant research gap motivates this thesis: until the 2022 Survey of Consumer Finances (SCF), no nationally representative U.S. wealth survey identified respondents’ region of national origin, making it impossible to rigorously test how origin shapes the financial position of foreign-born households in the United States once standard human-capital variables are accounted for. Addressing this gap, the empirical analysis in this thesis examines that relationship directly. Situating this question requires engagement with four connected bodies of scholarship: the theoretical debate over immigrant assimilation, which supplies the two competing frameworks the analysis operationalizes; the empirical contest over segmented assimilation, whose unsettled conflicts motivate the two-specification design adopted here; the specialized literature on immigrant wealth, financial access, credit, and homeownership, which supplies the domain-specific expectations  for the three pathway outcomes analyzed (retirement-account ownership, credit denial, and homeownership); and the methodological literature on post-treatment bias, which governs how the frameworks might legitimately be tested against cross-sectional survey data.</w:t>
      </w:r>
    </w:p>
    <w:p>
      <w:pPr>
        <w:spacing w:before="0" w:after="0" w:line="480" w:lineRule="auto"/>
        <w:ind w:firstLine="720"/>
        <w:jc w:val="both"/>
      </w:pPr>
      <w:r>
        <w:rPr>
          <w:rFonts w:ascii="times new roman" w:eastAsia="times new roman" w:hAnsi="times new roman" w:cs="times new roman"/>
        </w:rPr>
        <w:t>Two questions structure the discussion. First, what does each literature predict about the relationship between national origin and household financial outcomes among the foreign-born? Second, what does each literature imply about the correct specification of that relationship, specifically regarding whether education, income, and household formation should be considered confounders to be controlled or mediators through which origin operates? In defining the scope of its contribution, the review closes by clarifying that it identifies the empirical gap addressed by this thesis: that the 2022 Survey of Consumer Finances (SCF), with its newly introduced national-origin variables, enables for the first time a direct empirical test of these origin effects in a nationally representative U.S. wealth survey, situating the expected contributions within the boundaries set by this new data resource.</w:t>
      </w:r>
    </w:p>
    <w:p>
      <w:pPr>
        <w:spacing w:before="0" w:after="0" w:line="480" w:lineRule="auto"/>
        <w:ind w:firstLine="720"/>
        <w:jc w:val="both"/>
      </w:pPr>
      <w:r>
        <w:rPr>
          <w:rFonts w:ascii="times new roman" w:eastAsia="times new roman" w:hAnsi="times new roman" w:cs="times new roman"/>
        </w:rPr>
        <w:t>Two boundary conditions warrant statement at the outset. The analysis concerns first-generation, foreign-born householders observed cross-sectionally, so the review emphasizes first-generation economic incorporation, drawing on the second-generation literature only where its pathway typology has been extended to first-generation outcomes. And because the SCF does not identify legal status, parental nativity, or pre-migration wealth, literatures that turn on those constructs are discussed for context rather than as sources of directly testable assumptions.</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2. From Straight-Line Assimilation to the Modern Debate</w:t>
      </w:r>
    </w:p>
    <w:p>
      <w:pPr>
        <w:spacing w:before="0" w:after="0" w:line="480" w:lineRule="auto"/>
        <w:ind w:firstLine="720"/>
        <w:jc w:val="both"/>
      </w:pPr>
      <w:r>
        <w:rPr>
          <w:rFonts w:ascii="times new roman" w:eastAsia="times new roman" w:hAnsi="times new roman" w:cs="times new roman"/>
        </w:rPr>
        <w:t>The classical account of assimilation held that immigrant incorporation proceeds in a single direction. With time and generational succession, the descendants of immigrants would become economically indistinguishable from the native mainstream, and origin-group membership would lose its indicative power over socioeconomic outcomes. The post-1965 transformation of U.S. immigration, drawn overwhelmingly from Latin America, Asia, and the Caribbean rather than Europe, forced a re-examination of that expectation, and two responses define the modern debate.</w:t>
      </w:r>
    </w:p>
    <w:p>
      <w:pPr>
        <w:spacing w:before="0" w:after="0" w:line="480" w:lineRule="auto"/>
        <w:ind w:firstLine="720"/>
        <w:jc w:val="both"/>
      </w:pPr>
      <w:r>
        <w:rPr>
          <w:rFonts w:ascii="times new roman" w:eastAsia="times new roman" w:hAnsi="times new roman" w:cs="times new roman"/>
        </w:rPr>
        <w:t>The first, associated with Alba and Nee (1997), rehabilitated assimilation theory rather than discarding it. In their reformulation, assimilation is not the absorption of minorities into an unchanging Anglo core but a gradual, often unintended attenuation of ethnic boundaries as immigrants pursue advancement through mainstream institutions that themselves change in the process. This articulation preserves the classical prediction at the level of observable results: origin distinctions should decay with time and with the acquisition of destination-specific human capital, and whatever origin gradients remain should be interpretable as component differences in education, income, and family structure rather than as durable, origin-specific penalties. That is precisely the prediction Model B of this thesis places under test.</w:t>
      </w:r>
    </w:p>
    <w:p>
      <w:pPr>
        <w:spacing w:before="0" w:after="0" w:line="480" w:lineRule="auto"/>
        <w:ind w:firstLine="720"/>
        <w:jc w:val="both"/>
      </w:pPr>
      <w:r>
        <w:rPr>
          <w:rFonts w:ascii="times new roman" w:eastAsia="times new roman" w:hAnsi="times new roman" w:cs="times new roman"/>
        </w:rPr>
        <w:t>The second response rejected the uniform-mainstream premise. It held that the straight-line expectation had been calibrated on a European immigration whose descendants could cross into an expanding white mainstream, and that nothing in that experience guaranteed the same trajectory for immigrants marked as non-white in a society whose housing and credit institutions had been organized around a racial color line (Oliver and Shapiro 1995). On this reading, the question was not whether assimilation happens but into which stratum of a stratified society a given group assimilates, the question Portes and Zhou (1993) placed at the center of the segmented-assimilation framework. The stakes of that disagreement are highest for outcomes, such as wealth, where the historical operation of racialized institutions is best documented. Before turning to that framework, the review considers the economics literature that formalized the convergence expectation and supplied the covariate set that Model B inherits.</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3. The Human-Capital Convergence Tradition</w:t>
      </w:r>
    </w:p>
    <w:p>
      <w:pPr>
        <w:spacing w:before="0" w:after="0" w:line="480" w:lineRule="auto"/>
        <w:ind w:firstLine="720"/>
        <w:jc w:val="both"/>
      </w:pPr>
      <w:r>
        <w:rPr>
          <w:rFonts w:ascii="times new roman" w:eastAsia="times new roman" w:hAnsi="times new roman" w:cs="times new roman"/>
        </w:rPr>
        <w:t>The economics of immigrant assimilation begins with Chiswick's (1978) analysis of the 1970 Census, which documented that foreign-born men's earnings rise steeply with years since migration and cross the native-born profile after roughly ten to fifteen years. Chiswick read this as the return to post-migration investment in destination-specific human capital: language fluency, credential recognition, and labor-market experience. The theoretical core is that immigrants arrive with a temporary deficit of transferable skills rather than a permanent origin-linked disadvantage, and the deficit depreciates with exposure to the destination economy. Cross-sectional differences between origin groups therefore reflect differences in human capital and time since arrival, and correctly specified models should find little residual role for origin. Framed as a modeling problem, the convergence account treats education and income as confounders to be controlled, the quantities that must be held constant to recover origin's true and, on this account, negligible contribution. This is the expectation Model B is built to evaluate, and Section 9 develops its econometric implications.</w:t>
      </w:r>
    </w:p>
    <w:p>
      <w:pPr>
        <w:spacing w:before="0" w:after="0" w:line="480" w:lineRule="auto"/>
        <w:ind w:firstLine="720"/>
        <w:jc w:val="both"/>
      </w:pPr>
      <w:r>
        <w:rPr>
          <w:rFonts w:ascii="times new roman" w:eastAsia="times new roman" w:hAnsi="times new roman" w:cs="times new roman"/>
        </w:rPr>
        <w:t>Borjas (1987) supplied the tradition's most influential complication. His self-selection model formalized why origin should matter at entry: emigration rates and the skill composition of emigrants respond to the returns to skill in the source country relative to the United States, so that origin-country conditions shape who migrates in the first place. Borjas (1999) extended this into a larger skepticism about quick convergence, arguing that entry gaps had widened across post-1965 cohorts and that convergence within a working lifetime was not assured, in part because the skill composition of successive arrival cohorts had declined. Two features of this program matter here. Even in its convergence-skeptical form, it locates the origin effect in the human-capital composition of arrival cohorts rather than in origin-specific treatment by destination institutions. Hence, origin operates through the very mediators Model B holds constant. Its focus on arrival-cohort heterogeneity is the basis for the duration-stratified analysis. If origin gradients exist but attenuate with time, pooling recent and long-tenured immigrants could obscure effects concentrated in the early window, which the stratification at fifteen years is designed to surface.</w:t>
      </w:r>
    </w:p>
    <w:p>
      <w:pPr>
        <w:spacing w:before="0" w:after="0" w:line="480" w:lineRule="auto"/>
        <w:ind w:firstLine="720"/>
        <w:jc w:val="both"/>
      </w:pPr>
      <w:r>
        <w:rPr>
          <w:rFonts w:ascii="times new roman" w:eastAsia="times new roman" w:hAnsi="times new roman" w:cs="times new roman"/>
        </w:rPr>
        <w:t>The extension of the convergence framework from earnings to wealth begins with Blau and Graham (1990). Although their contribution concerned Black-white wealth gaps among young households, the analytical template they established, decomposing group wealth differences into the portion explained by income and demographic makeup and the residual attributable to group membership itself, became the workhorse of the quantitative wealth-gap literature. Their result that income and demographic controls explain only a fraction of the racial wealth gap is often read against a pure human-capital account, yet the decomposition logic embodies the convergence tradition's specification, in which group indicators enter alongside human-capital controls. The residual group coefficient carries the theoretical weight. This thesis's Model A and Model B contrast renders the estimand ambiguity in that template explicit rather than leaving it implicit.</w:t>
      </w:r>
    </w:p>
    <w:p>
      <w:pPr>
        <w:spacing w:before="0" w:after="0" w:line="480" w:lineRule="auto"/>
        <w:ind w:firstLine="720"/>
        <w:jc w:val="both"/>
      </w:pPr>
      <w:r>
        <w:rPr>
          <w:rFonts w:ascii="times new roman" w:eastAsia="times new roman" w:hAnsi="times new roman" w:cs="times new roman"/>
        </w:rPr>
        <w:t>Within this tradition, the prediction for the thesis is unambiguous. Model A, conditioning only on duration and age, may display origin gradients, since origin proxies for cohort composition and selection. Model B, adding education, income, and marital status, should absorb them, and origin coefficients should collapse toward the null once the human-capital channels are held constant. The thesis's Model B results, in which all twelve origin coefficients cluster near an odds ratio of one and none reaches conventional significance, are exactly the pattern this tradition anticipates. As Sections 4 and 9 explain, that pattern does not by itself settle which framework is correct, because a fully mediated origin effect and a truly absent one leave the same regression signature.</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4. Segmented Assimilation: Origins, Mechanisms, and Pathways</w:t>
      </w:r>
    </w:p>
    <w:p>
      <w:pPr>
        <w:spacing w:before="0" w:after="0" w:line="480" w:lineRule="auto"/>
        <w:ind w:firstLine="720"/>
        <w:jc w:val="both"/>
      </w:pPr>
      <w:r>
        <w:rPr>
          <w:rFonts w:ascii="times new roman" w:eastAsia="times new roman" w:hAnsi="times new roman" w:cs="times new roman"/>
        </w:rPr>
        <w:t>The segmented-assimilation framework emerged from a research program on ethnic economies that predates its canonical 1993 statement. That program documented that immigrant communities could constitute alternative opportunity structures, dense networks of co-ethnic employers, credit, and information whose returns to human capital differed from those of the open labor market. If the value of a given education or skill endowment depends on the community context in which it is deployed, then origin-group membership is not simply a proxy for individual endowments; it indexes access to group-level resources that standard human-capital models omit. That claim, that origin carries resources external to the individual, is the wedge separating segmented assimilation from the convergence account. Framed as the same modeling problem introduced in Section 3, the difference is exact: where convergence treats education and income as confounders to be controlled, segmented assimilation treats them as mediators lying on the causal path from origin to wealth, the intervening variables through which modes of incorporation are theorized to act. The two frameworks thus disagree not only about substance but about which covariates a correctly specified model may legitimately include, a disagreement Section 9 formalizes, and the thesis's Model A and Model B are constructed to separate.</w:t>
      </w:r>
    </w:p>
    <w:p>
      <w:pPr>
        <w:spacing w:before="0" w:after="0" w:line="480" w:lineRule="auto"/>
        <w:ind w:firstLine="720"/>
        <w:jc w:val="both"/>
      </w:pPr>
      <w:r>
        <w:rPr>
          <w:rFonts w:ascii="times new roman" w:eastAsia="times new roman" w:hAnsi="times new roman" w:cs="times new roman"/>
        </w:rPr>
        <w:t>Portes and Zhou (1993) generalized this insight into a theory of divergent incorporation. They claim that the American mainstream is not a single destination but a stratified structure, and that the segment a group enters depends on its mode of incorporation: the combination of government reception policy, societal prejudice keyed to phenotype, and the strength of the co-ethnic community. Three ideal-typical pathways follow. Groups received favorably and racialized as white or near-white experience conventional upward assimilation into the middle class; this thesis operationalizes this pathway as parallel integration. Groups racialized as non-white, concentrated in disadvantaged contexts, and lacking community resources risk downward assimilation into durable exclusion. Groups with strong ethnic communities may achieve mobility through selective acculturation, converting co-ethnic solidarity into advancement while preserving ethnic boundaries, the selective-assimilation pathway. Zhou (1997) systematized the framework and stressed its conditional structure: the theory does not predict that origin always matters, but that it matters through specifiable contextual mechanisms whose distribution varies across origin groups. The thesis inherits this three-way typology directly, pairing each pathway with an observable financial outcome in the architecture examined in Section 7.</w:t>
      </w:r>
    </w:p>
    <w:p>
      <w:pPr>
        <w:spacing w:before="0" w:after="0" w:line="480" w:lineRule="auto"/>
        <w:ind w:firstLine="720"/>
        <w:jc w:val="both"/>
      </w:pPr>
      <w:r>
        <w:rPr>
          <w:rFonts w:ascii="times new roman" w:eastAsia="times new roman" w:hAnsi="times new roman" w:cs="times new roman"/>
        </w:rPr>
        <w:t>Portes and Rumbaut's (2001) longitudinal Children of Immigrants study is the framework's principal empirical foundation, documenting divergent educational and early-labor-market trajectories among origin groups in San Diego and South Florida and linking these to variations in parental human capital, family structure, and modes of incorporation. The evidentiary base has recognized limits. The repeated waves strengthen inference about the ordering of predictors and outcomes. Yet, the concentration in two metropolitan areas leaves open the possibility that locally specific reception contexts shape the results in ways that would not generalize to a national sample. That gap between rich local evidence and untested national scope is one this thesis's nationally representative design speaks to directly.</w:t>
      </w:r>
    </w:p>
    <w:p>
      <w:pPr>
        <w:spacing w:before="0" w:after="0" w:line="480" w:lineRule="auto"/>
        <w:ind w:firstLine="720"/>
        <w:jc w:val="both"/>
      </w:pPr>
      <w:r>
        <w:rPr>
          <w:rFonts w:ascii="times new roman" w:eastAsia="times new roman" w:hAnsi="times new roman" w:cs="times new roman"/>
        </w:rPr>
        <w:t>The enclave-economy strand has itself been contested in ways that prefigure the specification debates of Section 9. Sanders and Nee (1987) argued that the apparent returns to enclave participation depended heavily on how the enclave was operationalized and on whether workers and entrepreneurs were pooled, since enclave employment on their reading benefited immigrant proprietors more than immigrant workers, whose returns to human capital inside the enclave could fall below those available in the open labor market. Their operationalization of enclave membership by residential co-ethnic concentration became the crux of a prolonged methodological exchange, and the lasting lesson for quantitative tests of segmented assimilation is that the framework's group-level mechanisms translate into individual-level coefficients only under contestable measurement choices, so that superficially opposed findings frequently reflect different operationalizations of the same construct. This thesis inherits a version of that problem in the SCF's five-category origin coding, which cannot distinguish enclave-embedded households from otherwise similar co-ethnics. It therefore tests the framework's reduced-form origin predictions rather than its mechanisms.</w:t>
      </w:r>
    </w:p>
    <w:p>
      <w:pPr>
        <w:pStyle w:val="Heading3"/>
        <w:keepNext w:val="0"/>
        <w:keepLines w:val="0"/>
        <w:spacing w:before="240" w:after="120" w:line="480" w:lineRule="auto"/>
        <w:jc w:val="left"/>
        <w:rPr>
          <w:b/>
          <w:bCs/>
        </w:rPr>
      </w:pPr>
      <w:r>
        <w:rPr>
          <w:rFonts w:ascii="times new roman" w:eastAsia="times new roman" w:hAnsi="times new roman" w:cs="times new roman"/>
          <w:b w:val="0"/>
          <w:bCs w:val="0"/>
          <w:i/>
          <w:iCs/>
          <w:color w:val="auto"/>
          <w:sz w:val="24"/>
          <w:szCs w:val="24"/>
        </w:rPr>
        <w:t>*Three implications for the present design*</w:t>
      </w:r>
    </w:p>
    <w:p>
      <w:pPr>
        <w:spacing w:before="0" w:after="0" w:line="480" w:lineRule="auto"/>
        <w:ind w:firstLine="720"/>
        <w:jc w:val="both"/>
      </w:pPr>
      <w:r>
        <w:rPr>
          <w:rFonts w:ascii="times new roman" w:eastAsia="times new roman" w:hAnsi="times new roman" w:cs="times new roman"/>
        </w:rPr>
        <w:t>Three features of the framework bear directly on the design. First, its mechanisms operate substantially through the mediators Model B controls, since modes of incorporation are theorized to shape education, income, and family stability, which in turn shape wealth. A finding that origin coefficients attenuate once those mediators enter is therefore consistent with segmented assimilation; it is what a fully mediated origin effect looks like in a regression, rather than evidence against the theory. This is the justification for reporting Model A alongside Model B. Second, the framework forecasts within-race heterogeneity: groups sharing a census race category should follow different pathways because their modes of incorporation differ, the claim the SCF's new origin variables permit testing. Third, the framework is most naturally read as a theory of the incorporation process, which implies origin effects should be most visible early in U.S. tenure. The duration-stratified analysis operationalizes that implication, and its null result in the recent-arrival stratum bears on what the review terms the duration-narrowing version of the theory.</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5. The Empirical Contest and Its Critics</w:t>
      </w:r>
    </w:p>
    <w:p>
      <w:pPr>
        <w:spacing w:before="0" w:after="0" w:line="480" w:lineRule="auto"/>
        <w:ind w:firstLine="720"/>
        <w:jc w:val="both"/>
      </w:pPr>
      <w:r>
        <w:rPr>
          <w:rFonts w:ascii="times new roman" w:eastAsia="times new roman" w:hAnsi="times new roman" w:cs="times new roman"/>
        </w:rPr>
        <w:t>Segmented assimilation has been the most productive and the most contested framework in the sociology of immigration for three decades, and the contours of that contest inform how this thesis's null results should be read.</w:t>
      </w:r>
    </w:p>
    <w:p>
      <w:pPr>
        <w:pStyle w:val="Heading3"/>
        <w:keepNext w:val="0"/>
        <w:keepLines w:val="0"/>
        <w:spacing w:before="240" w:after="120" w:line="480" w:lineRule="auto"/>
        <w:jc w:val="left"/>
        <w:rPr>
          <w:b/>
          <w:bCs/>
        </w:rPr>
      </w:pPr>
      <w:r>
        <w:rPr>
          <w:rFonts w:ascii="times new roman" w:eastAsia="times new roman" w:hAnsi="times new roman" w:cs="times new roman"/>
          <w:b w:val="0"/>
          <w:bCs w:val="0"/>
          <w:i/>
          <w:iCs/>
          <w:color w:val="auto"/>
          <w:sz w:val="24"/>
          <w:szCs w:val="24"/>
        </w:rPr>
        <w:t>*The case for downward assimilation*</w:t>
      </w:r>
    </w:p>
    <w:p>
      <w:pPr>
        <w:spacing w:before="0" w:after="0" w:line="480" w:lineRule="auto"/>
        <w:ind w:firstLine="720"/>
        <w:jc w:val="both"/>
      </w:pPr>
      <w:r>
        <w:rPr>
          <w:rFonts w:ascii="times new roman" w:eastAsia="times new roman" w:hAnsi="times new roman" w:cs="times new roman"/>
        </w:rPr>
        <w:t>The sharpest exchange appears in a paired set of Social Forces articles. Haller, Portes and Lynch (2011), analyzing the third wave of the Children of Immigrants Longitudinal Study, constructed a Downward Assimilation Index from six indicators and reported that a significant proportion of the second generation experienced outcomes consistent with downward assimilation, with the predictors of that index being the mirror image of the predictors of educational and occupational achievement and interacting significantly with the class and racial composition of early school contexts. On that basis, they defended the framework's predictive record.</w:t>
      </w:r>
    </w:p>
    <w:p>
      <w:pPr>
        <w:pStyle w:val="Heading3"/>
        <w:keepNext w:val="0"/>
        <w:keepLines w:val="0"/>
        <w:spacing w:before="240" w:after="120" w:line="480" w:lineRule="auto"/>
        <w:jc w:val="left"/>
        <w:rPr>
          <w:b/>
          <w:bCs/>
        </w:rPr>
      </w:pPr>
      <w:r>
        <w:rPr>
          <w:rFonts w:ascii="times new roman" w:eastAsia="times new roman" w:hAnsi="times new roman" w:cs="times new roman"/>
          <w:b w:val="0"/>
          <w:bCs w:val="0"/>
          <w:i/>
          <w:iCs/>
          <w:color w:val="auto"/>
          <w:sz w:val="24"/>
          <w:szCs w:val="24"/>
        </w:rPr>
        <w:t>*The optimistic critique*</w:t>
      </w:r>
    </w:p>
    <w:p>
      <w:pPr>
        <w:spacing w:before="0" w:after="0" w:line="480" w:lineRule="auto"/>
        <w:ind w:firstLine="720"/>
        <w:jc w:val="both"/>
      </w:pPr>
      <w:r>
        <w:rPr>
          <w:rFonts w:ascii="times new roman" w:eastAsia="times new roman" w:hAnsi="times new roman" w:cs="times new roman"/>
        </w:rPr>
        <w:t>Alba, Kasinitz and Waters (2011), responding in the same issue, argued that the evidence shows the second generation to be mostly doing well: that downward assimilation is far less prevalent than the framework implies, that the frameworks are better read as complementary than as antagonistic, and that many apparent origin effects reflect the ordinary operation of class disadvantage rather than origin-specific incorporation regimes. Quantitative assessments outside the framework's home datasets have tended the same way. Greenman and Xie (2008), using a national adolescent-health survey, found little evidence that assimilation is systematically harmful and reported that its association with well-being varies by group and outcome in ways the pathway typology does not capture well.</w:t>
      </w:r>
    </w:p>
    <w:p>
      <w:pPr>
        <w:pStyle w:val="Heading3"/>
        <w:keepNext w:val="0"/>
        <w:keepLines w:val="0"/>
        <w:spacing w:before="240" w:after="120" w:line="480" w:lineRule="auto"/>
        <w:jc w:val="left"/>
        <w:rPr>
          <w:b/>
          <w:bCs/>
        </w:rPr>
      </w:pPr>
      <w:r>
        <w:rPr>
          <w:rFonts w:ascii="times new roman" w:eastAsia="times new roman" w:hAnsi="times new roman" w:cs="times new roman"/>
          <w:b w:val="0"/>
          <w:bCs w:val="0"/>
          <w:i/>
          <w:iCs/>
          <w:color w:val="auto"/>
          <w:sz w:val="24"/>
          <w:szCs w:val="24"/>
        </w:rPr>
        <w:t>*The rejoinder and the inferential asymmetry*</w:t>
      </w:r>
    </w:p>
    <w:p>
      <w:pPr>
        <w:spacing w:before="0" w:after="0" w:line="480" w:lineRule="auto"/>
        <w:ind w:firstLine="720"/>
        <w:jc w:val="both"/>
      </w:pPr>
      <w:r>
        <w:rPr>
          <w:rFonts w:ascii="times new roman" w:eastAsia="times new roman" w:hAnsi="times new roman" w:cs="times new roman"/>
        </w:rPr>
        <w:t>The framework's proponents contend that optimistic assessments rest on samples and measures that underweight the most disadvantaged segments of the second generation, and that the theory predicts downward assimilation as a risk concentrated in specifiable modes of incorporation rather than as the modal outcome, so that findings of broad progress do not falsify it. The rejoinder exposes an inferential asymmetry this thesis confronts directly: because the theory's predictions concern conditional risks for particular configurations of origin, context, and resources, sample-wide null results always remain open to the objection that the relevant configurations are too thinly represented. That is why the thesis reports cell sizes and confidence-interval widths alongside point estimates, and why it treats its recent-arrival stratum results as bearing on one specific, falsifiable version of the theory rather than on the framework as a whole.</w:t>
      </w:r>
    </w:p>
    <w:p>
      <w:pPr>
        <w:spacing w:before="0" w:after="0" w:line="480" w:lineRule="auto"/>
        <w:ind w:firstLine="720"/>
        <w:jc w:val="both"/>
      </w:pPr>
      <w:r>
        <w:rPr>
          <w:rFonts w:ascii="times new roman" w:eastAsia="times new roman" w:hAnsi="times new roman" w:cs="times new roman"/>
        </w:rPr>
        <w:t>Two lessons follow. The first is a measurement lesson: nearly all of the contest has been fought on educational, occupational, earnings, and behavioral outcomes, while household wealth, the domain in which cumulative, institutionally mediated disadvantage should be most visible if the downward-assimilation mechanism operates, has been largely absent, and not for theoretical reasons but because no nationally representative U.S. wealth survey identified national origin. The second is inferential: both camps agree that origin groups differ in mediating endowments, and they diverge principally on whether residual origin effects net of those endowments exist and on how mediated effects should be interpreted. A design that estimates both the total and the residual association, and that is explicit about the limits of cross-sectional adjudication, answers to the terms on which the literature has argued.</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6. Wealth as a Distinct Outcome: The Immigrant Wealth Literature</w:t>
      </w:r>
    </w:p>
    <w:p>
      <w:pPr>
        <w:spacing w:before="0" w:after="0" w:line="480" w:lineRule="auto"/>
        <w:ind w:firstLine="720"/>
        <w:jc w:val="both"/>
      </w:pPr>
      <w:r>
        <w:rPr>
          <w:rFonts w:ascii="times new roman" w:eastAsia="times new roman" w:hAnsi="times new roman" w:cs="times new roman"/>
        </w:rPr>
        <w:t>The decision to test the assimilation frameworks on wealth rather than earnings requires justification. The foundational argument is owed to Oliver and Shapiro (1995), whose study of Black-white wealth gaps established that wealth is not simply stored income. Because assets accumulate across the life course and across generations, wealth encodes the sedimented history of a group's treatment by credit markets, housing markets, and the state in a way a current-income snapshot cannot, and it is precisely the kind of institutionally mediated, group-specific disadvantage that segmented assimilation's downward pathway posits. Two properties of wealth follow that bear on the design: cross-sectional coefficients conflate cohort, age, and duration effects, since wealth reflects processes operating over long horizons; and asset-ownership margins, whether a household owns a home or a retirement account at all, behave differently from asset-value margins, which justifies the thesis's focus on binary ownership and access outcomes given the size of the SCF foreign-born sample. For the immigrant case, the wealth lens raises the stakes of the debate: if origin-linked disadvantage operates through credit rationing, housing-market discrimination, and exclusion from mainstream finance, origin gradients should appear more strongly in asset ownership and credit access than in earnings and should persist net of income; if wealth outcomes instead track the same human-capital fundamentals as earnings, the convergence framework broadens naturally to the asset domain.</w:t>
      </w:r>
    </w:p>
    <w:p>
      <w:pPr>
        <w:spacing w:before="0" w:after="0" w:line="480" w:lineRule="auto"/>
        <w:ind w:firstLine="720"/>
        <w:jc w:val="both"/>
      </w:pPr>
      <w:r>
        <w:rPr>
          <w:rFonts w:ascii="times new roman" w:eastAsia="times new roman" w:hAnsi="times new roman" w:cs="times new roman"/>
        </w:rPr>
        <w:t>The specialized immigrant-wealth literature worked around the national-origin limitation of U.S. wealth surveys through panel data and specialty samples of new arrivals, and its findings frame the thesis's expectations. The most comprehensive treatment is Hao's (2007) study using two decades of Survey of Income and Program Participation (SIPP) data, which anticipates the thesis's motivating puzzle from both directions. It documents large and growing wealth disparities among immigrants of the same race or ethnicity, with Cuban households outpacing Dominican, Chinese outpacing Vietnamese and Korean, and Jamaican outpacing Haitian, and argues that country of origin increasingly rivals race as a determinant of wealth prospects. Yet, it traces those disparities substantially to differences in educational and institutional endowments and to differential treatment in U.S. immigration policy and labor markets, that is, to channels that controls for education and income would largely absorb. That dual result, large raw origin differences that are largely though not wholly compositional, is the single closest precedent for the pattern this thesis reports.</w:t>
      </w:r>
    </w:p>
    <w:p>
      <w:pPr>
        <w:spacing w:before="0" w:after="0" w:line="480" w:lineRule="auto"/>
        <w:ind w:firstLine="720"/>
        <w:jc w:val="both"/>
      </w:pPr>
      <w:r>
        <w:rPr>
          <w:rFonts w:ascii="times new roman" w:eastAsia="times new roman" w:hAnsi="times new roman" w:cs="times new roman"/>
        </w:rPr>
        <w:t>Cobb-Clark and Hildebrand (2006), also using SIPP, provide the benchmark econometric estimates of the nativity wealth gap. They find the median wealth of U.S.-born couples roughly two and a half times that of foreign-born couples, and that the diversity of net worth within the immigrant population is driven primarily by differences across source regions, with Latino and especially Mexican-origin households among the lowest holders of assets. Entry cohort relates less to total net worth than to portfolio composition, with established immigrants holding relatively less financial wealth and recent immigrants relatively more, and the reverse in real-estate equity. Their decomposition is in effect a SIPP-era analog to this thesis's mediator-adjusted specification, and the source-region heterogeneity they document is exactly what the present analysis re-examines in the SCF two decades later, on ownership margins and within the foreign-born sample rather than against a native benchmark.</w:t>
      </w:r>
    </w:p>
    <w:p>
      <w:pPr>
        <w:spacing w:before="0" w:after="0" w:line="480" w:lineRule="auto"/>
        <w:ind w:firstLine="720"/>
        <w:jc w:val="both"/>
      </w:pPr>
      <w:r>
        <w:rPr>
          <w:rFonts w:ascii="times new roman" w:eastAsia="times new roman" w:hAnsi="times new roman" w:cs="times new roman"/>
        </w:rPr>
        <w:t>Painter and Qian (2016) provide the most direct precedent for the within-immigrant design. Analyzing New Immigrant Survey data, they find consistent racial and ethnic stratification of wealth among recent immigrants that survives controls for human capital and pre-migration resources, and interpret the pattern as evidence that U.S. racial stratification structures immigrant wealth from the outset. Read alongside Hao and Cobb-Clark and Hildebrand, this literature yields a calibrated expectation rather than a sharp prediction: origin-region wealth differences among the foreign-born are real and large in raw terms and substantially, though in several studies not entirely, attributable to human-capital composition, with the residual varying by survey, outcome margin, and statistical power. The 2022 SCF contribution is therefore best understood not as the first evidence on the question but as the first evidence from the survey purpose-built to measure U.S. household finances, with survey-weighted, multiply-imputed wealth measurement of a quality the SIPP and New Immigrant Survey literatures could not match, at the cost of a smaller foreign-born sample. That trade, higher-quality measurement against reduced subgroup power, is the condition within which the thesis's results must be read.</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7. Domain-Specific Evidence on the Three Pathway Outcomes</w:t>
      </w:r>
    </w:p>
    <w:p>
      <w:pPr>
        <w:spacing w:before="0" w:after="0" w:line="480" w:lineRule="auto"/>
        <w:ind w:firstLine="720"/>
        <w:jc w:val="both"/>
      </w:pPr>
      <w:r>
        <w:rPr>
          <w:rFonts w:ascii="times new roman" w:eastAsia="times new roman" w:hAnsi="times new roman" w:cs="times new roman"/>
        </w:rPr>
        <w:t>The thesis maps each pathway onto an observable outcome: retirement-account ownership for parallel integration, credit denial for downward assimilation, and homeownership for selective assimilation. Because that mapping is an interpretive claim rather than a mechanical correspondence, it warrants defense. Each pathway should leave a distinctive signature on the household balance sheet. Parallel integration, defined by entry into mainstream middle-class institutions, should register as participation in the tax-advantaged, employer-mediated saving vehicles that define mainstream financial incorporation, which makes retirement-account ownership its proxy. Downward assimilation, defined by structural exclusion from those institutions, should register as blocked or discouraged access to mainstream credit, which makes credit denial its proxy. Selective assimilation is the subtler case: the framework's claim is that selectively assimilating groups build wealth through co-ethnic channels rather than mainstream integration, so its signature is not homeownership as such but homeownership sustained alongside comparatively low mainstream-finance participation. This is why homeownership indexes the selective rather than the parallel pathway, and why the thesis reads the three outcomes jointly rather than singly.</w:t>
      </w:r>
    </w:p>
    <w:p>
      <w:pPr>
        <w:spacing w:before="0" w:after="0" w:line="480" w:lineRule="auto"/>
        <w:ind w:firstLine="720"/>
        <w:jc w:val="both"/>
      </w:pPr>
      <w:r>
        <w:rPr>
          <w:rFonts w:ascii="times new roman" w:eastAsia="times new roman" w:hAnsi="times new roman" w:cs="times new roman"/>
        </w:rPr>
        <w:t>Two qualifications should be stated plainly. Homeownership in isolation is theoretically ambiguous, since a large housing literature treats owning as the canonical marker of mainstream, and therefore parallel, incorporation; the selective reading depends on the joint configuration with low mainstream-finance participation rather than on the ownership margin alone. And the proxies are defensible but not exclusive, since each outcome is shaped by determinants beyond the pathway it represents, which is one reason the thesis reports the outcomes both separately and as a joint pattern matrix. With those qualifications in view, each mapping rests on a distinct literature.</w:t>
      </w:r>
    </w:p>
    <w:p>
      <w:pPr>
        <w:spacing w:before="0" w:after="0" w:line="480" w:lineRule="auto"/>
        <w:ind w:firstLine="720"/>
        <w:jc w:val="both"/>
      </w:pPr>
      <w:r>
        <w:rPr>
          <w:rFonts w:ascii="times new roman" w:eastAsia="times new roman" w:hAnsi="times new roman" w:cs="times new roman"/>
        </w:rPr>
        <w:t>Immigrant participation in mainstream financial institutions is the outcome of parallel integration. Osili and Paulson (2008) show that immigrants from countries with weaker property-rights institutions are markedly less likely to participate in U.S. financial markets, including retirement-asset ownership, that the effect of home-country institutions persists for decades after migration, and that it is amplified where co-ethnic concentrations are dense. The finding is central here because it identifies a route by which origin could affect financial outcomes without operating through U.S.-acquired human capital at all, namely through preferences and institutional trust formed by home-country experience. On the retirement margin specifically, Sevak and Schmidt (2014) find that foreign-born households approach retirement with markedly lower Social Security entitlements than natives yet with higher net worth once demographic characteristics are held constant, and note that immigrants' shorter U.S. earnings histories mechanically depress cumulative participation at any given age, which is why duration must be held constant before origin comparisons are meaningful, the role it plays in Model A. Cast as a prediction, the parallel-integration reading implies that groups theorized to follow that pathway, principally Asian- and European-origin households, should show elevated odds of retirement-account ownership relative to the Latin American reference. In contrast, the convergence account implies odds near one once human capital is controlled.</w:t>
      </w:r>
    </w:p>
    <w:p>
      <w:pPr>
        <w:spacing w:before="0" w:after="0" w:line="480" w:lineRule="auto"/>
        <w:ind w:firstLine="720"/>
        <w:jc w:val="both"/>
      </w:pPr>
      <w:r>
        <w:rPr>
          <w:rFonts w:ascii="times new roman" w:eastAsia="times new roman" w:hAnsi="times new roman" w:cs="times new roman"/>
        </w:rPr>
        <w:t>The credit-denial outcome connects the thesis to the literature on lending discrimination. The canonical study is the Boston Fed analysis of Munnell, Tootell, Browne, and McEneaney (1996), which found Black and Hispanic mortgage applicants substantially more likely to be denied than white applicants of comparable creditworthiness. This finding survived an extensive replication controversy and established that group-linked denial differentials net of observables are a live possibility in U.S. credit markets. The SCF measure captures denial, partial approval, and discouraged non-application in the prior year, so the outcome should be read as an indicator of experienced and anticipated credit rationing rather than of underwriting outcomes alone. Systematic evidence on credit denial by national origin is thin, considerably thinner than for participation or homeownership, which is itself a gap this thesis addresses; the absence of strong prior evidence counsels the interpretive caution the thesis adopts around its widest confidence intervals, notably the elevated but non-significant Caribbean/West Indies estimates, whose imprecision reflects a cell of forty households rather than a precisely estimated null. Cast as a prediction, the downward-assimilation reading implies that groups theorized to follow that pathway, principally Caribbean-origin and residual-category households, should show elevated odds of credit denial relative to the reference, against a convergence expectation of no such elevation net of controls.</w:t>
      </w:r>
    </w:p>
    <w:p>
      <w:pPr>
        <w:spacing w:before="0" w:after="0" w:line="480" w:lineRule="auto"/>
        <w:ind w:firstLine="720"/>
        <w:jc w:val="both"/>
      </w:pPr>
      <w:r>
        <w:rPr>
          <w:rFonts w:ascii="times new roman" w:eastAsia="times new roman" w:hAnsi="times new roman" w:cs="times new roman"/>
        </w:rPr>
        <w:t>Homeownership is the best-developed outcome in the immigrant-finance literature. Alba and Logan (1992) set the framework, testing assimilation against stratification accounts of ownership across twelve racial and ethnic groups and finding both at work: ownership tracks life-cycle and socioeconomic position within every group, yet majority households convert those resources into ownership more readily than most minority groups, and much of the raw gap for immigrant-origin groups closes once composition, income, and location are controlled. That the ethnic and origin gaps in ownership propensity repeatedly shrink toward zero under human-capital controls makes homeownership, on balance, the friendliest terrain in this literature for the convergence account. The literature's persistent finding that duration of residence is among the strongest predictors of immigrant ownership underwrites the thesis's treatment of years in the United States as a core exogenous control in Model A and as the stratifying variable in the duration analysis. Cast as a prediction, the selective-assimilation reading implies not simply elevated homeownership for any one group but the joint signature described above: homeownership sustained alongside comparatively low mainstream-finance participation, a configuration the convergence account does not anticipate.</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8. Within-Race Heterogeneity and the Selection Problem</w:t>
      </w:r>
    </w:p>
    <w:p>
      <w:pPr>
        <w:spacing w:before="0" w:after="0" w:line="480" w:lineRule="auto"/>
        <w:ind w:firstLine="720"/>
        <w:jc w:val="both"/>
      </w:pPr>
      <w:r>
        <w:rPr>
          <w:rFonts w:ascii="times new roman" w:eastAsia="times new roman" w:hAnsi="times new roman" w:cs="times new roman"/>
        </w:rPr>
        <w:t>The claim that origin distinctions matter within census race categories, the specific claim the SCF's new variables allow testing, has its richest evidentiary base in the literature on Black immigrants. Model (2008) subjected the West Indian success narrative to systematic test and concluded that the group's advantages over African Americans owe more to the positive selectivity of migration, to who chooses to move, than to cultural difference or favored treatment. Logan (2007) mapped the socioeconomic heterogeneity of African and Caribbean immigrant populations that race-only analyses pool together. For Hispanic-origin groups, Smith (2006) and Telles and Ortiz (2008) document, respectively, the transnational structures shaping Mexican New Yorkers' mobility and the multigenerational persistence of Mexican-American disadvantage that assimilation models understate.</w:t>
      </w:r>
    </w:p>
    <w:p>
      <w:pPr>
        <w:spacing w:before="0" w:after="0" w:line="480" w:lineRule="auto"/>
        <w:ind w:firstLine="720"/>
        <w:jc w:val="both"/>
      </w:pPr>
      <w:r>
        <w:rPr>
          <w:rFonts w:ascii="times new roman" w:eastAsia="times new roman" w:hAnsi="times new roman" w:cs="times new roman"/>
        </w:rPr>
        <w:t>This literature cuts in two directions for the thesis. It motivates the disaggregation exercise, since if within-race heterogeneity is as consequential as this work suggests, wealth surveys that stop at race mismeasure the structure of financial stratification. And it supplies the leading rival explanation for any origin gradient the thesis might find, namely selective migration and selective return migration. The thesis's survivorship-bias discussion draws on precisely this logic: a cross-sectional sample of immigrants present in 2022 conditions on remaining in the United States, and if exit is selective on financial success and differentially so by origin, observed origin coefficients confound incorporation processes with attrition. Sevak and Schmidt's (2014) finding that immigrants hold higher net worth than natives conditional on demographics, despite lower earnings-linked entitlements, is commonly read through the same selection lens.</w:t>
      </w:r>
    </w:p>
    <w:p>
      <w:pPr>
        <w:spacing w:before="0" w:after="0" w:line="480" w:lineRule="auto"/>
        <w:ind w:firstLine="720"/>
        <w:jc w:val="both"/>
      </w:pPr>
      <w:r>
        <w:rPr>
          <w:rFonts w:ascii="times new roman" w:eastAsia="times new roman" w:hAnsi="times new roman" w:cs="times new roman"/>
        </w:rPr>
        <w:t>A final implication concerns measurement. The within-race heterogeneity documented here manifests at the level of national origin and even sending-region cohort, yet the SCF identifies only five broad origin regions, grouping all Sub-Saharan African-origin households in a residual category along with Middle Eastern and Pacific Islander households. If such heterogeneity exists, this coarse regional coding limits the capacity to detect true variation, systematically biasing origin coefficients toward the null by averaging over categories that may encompass divergent trajectories. This methodological limitation in the data constrains the interpretation of findings, and the thesis's recommendation of finer country-of-origin coding follows directly. The analysis accordingly frames its null results as statements about the detection limits imposed by the 2022 SCF's coding scheme, signaling that future research using more granular origin data could yield substantively different conclusions about incorporation processes.</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9. Methodological Foundations: Mediation and Post-Treatment Bias</w:t>
      </w:r>
    </w:p>
    <w:p>
      <w:pPr>
        <w:spacing w:before="0" w:after="0" w:line="480" w:lineRule="auto"/>
        <w:ind w:firstLine="720"/>
        <w:jc w:val="both"/>
      </w:pPr>
      <w:r>
        <w:rPr>
          <w:rFonts w:ascii="times new roman" w:eastAsia="times new roman" w:hAnsi="times new roman" w:cs="times new roman"/>
        </w:rPr>
        <w:t>The literatures reviewed above disagree less about facts than about specifications, and a methodological literature governs how such disagreements should be handled. Its basic result is Rosenbaum's (1984) demonstration that adjusting for a variable affected by the treatment, a post-treatment or intermediate variable, generally biases the estimate of the treatment's total effect, even where the unadjusted comparison would have been valid. Applied here, if origin, fixed at birth, shapes education, income, and household formation, then a model that controls for those variables does not estimate origin's effect with confounding removed; it estimates a different quantity, the association net of the theorized mechanisms, and does so consistently only under strong assumptions. Acharya, Blackwell and Sen (2016) provide the modern treatment: they define the controlled direct effect, show that naive mediator adjustment suffers from intermediate-variable bias whenever unobserved factors affect both the mediators and the outcome, and recommend that researchers either estimate total effects using pre-treatment controls only or adopt estimators built for direct effects.</w:t>
      </w:r>
    </w:p>
    <w:p>
      <w:pPr>
        <w:spacing w:before="0" w:after="0" w:line="480" w:lineRule="auto"/>
        <w:ind w:firstLine="720"/>
        <w:jc w:val="both"/>
      </w:pPr>
      <w:r>
        <w:rPr>
          <w:rFonts w:ascii="times new roman" w:eastAsia="times new roman" w:hAnsi="times new roman" w:cs="times new roman"/>
        </w:rPr>
        <w:t>This literature does not counsel against mediator-adjusted models; rather, it underscores the need for transparency regarding their estimands, a principle that this thesis adopts deliberately. Model A, which conditions only on the plausibly pre-treatment covariates of age and duration, estimates origin's total association with each outcome, as required for the central predictions of segmented assimilation. Model B, which additionally adjusts for education, income, and marital status, estimates the residual association beyond the human-capital channel, thereby aligning with the conventional specifications of the convergence tradition and addressing whether origin retains explanatory power when standard covariates are considered. However, these modeling choices entail significant methodological tradeoffs: neither specification directly tests the underlying causal mechanisms posited by the frameworks. Instead, the contrast between the two models exposes the extent to which the observed origin-outcome association operates through measured mediators, but does so only within the inherent limitations of cross-sectional data. This approach inherently confines the analysis to descriptive decomposition, restricting the causal interpretability of findings. The review of the empirical contest in Section 5 highlights why such methodological explicitness is vital. By treating the choice of adjustment as both a theoretical and technical commitment, the thesis reflects critically on how underlying methodological preferences shape the substantive implications that competing camps draw, particularly in a context where disparate estimands have historically been conflated or misunderstood.</w:t>
      </w:r>
    </w:p>
    <w:p>
      <w:pPr>
        <w:spacing w:before="0" w:after="0" w:line="480" w:lineRule="auto"/>
        <w:ind w:firstLine="720"/>
        <w:jc w:val="both"/>
      </w:pPr>
      <w:r>
        <w:rPr>
          <w:rFonts w:ascii="times new roman" w:eastAsia="times new roman" w:hAnsi="times new roman" w:cs="times new roman"/>
        </w:rPr>
        <w:t>Two further points underpin the analysis. With origin-region cells as small as forty households, maximum-likelihood estimates suffer well-documented small-sample bias and separation risk, and Firth's (1993) penalized likelihood is the standard remedy, its use in the duration-stratified models guarding against mistaking small-cell artifacts for pathway effects. And the SCF's design, its oversampling of wealthy households and its five-fold multiple imputation, requires survey-weighted estimation with the standard combining rules for multiply-imputed data, since failure to account for the imputation structure understates standard errors, precisely the error that would manufacture spurious origin effects. The 2022 wave's addition of respondent and spouse national-origin variables and exact years of U.S. residence, documented in the Federal Reserve Board's report on the survey (Aladangady et al. 2023), is the data development that makes the thesis possible. The binary-outcome models employed descend from McFadden's (1973) conditional-logit framework, whose pseudo-R-squared is the fit diagnostic reported.</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10. Synthesis: The Gap This Thesis Addresses</w:t>
      </w:r>
    </w:p>
    <w:p>
      <w:pPr>
        <w:spacing w:before="0" w:after="0" w:line="480" w:lineRule="auto"/>
        <w:ind w:firstLine="720"/>
        <w:jc w:val="both"/>
      </w:pPr>
      <w:r>
        <w:rPr>
          <w:rFonts w:ascii="times new roman" w:eastAsia="times new roman" w:hAnsi="times new roman" w:cs="times new roman"/>
        </w:rPr>
        <w:t>Four conclusions emerge from the literature reviewed. First, the two frameworks are the poles of a genuine and open debate. Still, their observable predictions overlap more than their rhetoric suggests: both predict that origin groups differ in mediating endowments, and they diverge principally on whether residual origin effects persist net of those endowments and on how mediated effects should be interpreted. Second, the empirical contest over segmented assimilation has been conducted almost entirely on education, earnings, and behavioral outcomes; wealth, where cumulative institutional disadvantage should register most clearly, has been absent for reasons of data availability alone. Third, the immigrant-wealth literature indicates that origin-region differences in wealth are large in raw terms and substantially, though not always fully, explained by human-capital composition, with the residual varying by dataset, outcome margin, and era. Fourth, the domain literatures supply concrete origin-linked mechanisms, from home-country institutional experience to phenotype-linked lending treatment and enclave credit substitution, that operate partly outside the standard covariate set, so that a null residual finding carries information rather than being trivially expected. Underlying all four is the methodological point that the choice between total-effect and mediator-adjusted specifications is a theoretical commitment that must be made explicit, and that much prior disagreement displays its neglect.</w:t>
      </w:r>
    </w:p>
    <w:p>
      <w:pPr>
        <w:spacing w:before="0" w:after="0" w:line="480" w:lineRule="auto"/>
        <w:ind w:firstLine="720"/>
        <w:jc w:val="both"/>
      </w:pPr>
      <w:r>
        <w:rPr>
          <w:rFonts w:ascii="times new roman" w:eastAsia="times new roman" w:hAnsi="times new roman" w:cs="times new roman"/>
        </w:rPr>
        <w:t>The gap at the intersection of these literatures is specific. No prior study has tested for origin-region gradients in household financial consequences using a nationally representative U.S. survey designed to measure household finances, because no such survey identified national origin before the 2022 SCF. The studies closest in spirit, Cobb-Clark and Hildebrand (2006) and Hao (2007) in the SIPP and Painter and Qian (2016) in the New Immigrant Survey, rely on surveys with either coarser wealth measurement or non-representative sampling frames, and none confronts the total-effect and direct-effect distinction explicitly. This thesis fills that gap with deliberately modest ambitions: it characterizes what the first nationally representative U.S. wealth data with origin detail can and cannot show about the two accounts of immigrant financial incorporation, it estimates both of the quantities the prior literature has tended to conflate, and it distinguishes what the data license as a descriptive claim from what they cannot license as a causal one.</w:t>
      </w:r>
    </w:p>
    <w:p>
      <w:pPr>
        <w:spacing w:before="0" w:after="0" w:line="480" w:lineRule="auto"/>
        <w:ind w:firstLine="720"/>
        <w:jc w:val="both"/>
      </w:pPr>
      <w:r>
        <w:rPr>
          <w:rFonts w:ascii="times new roman" w:eastAsia="times new roman" w:hAnsi="times new roman" w:cs="times new roman"/>
        </w:rPr>
        <w:t>The same reading points to the data and design investments that would let future work move from description toward adjudication: oversampling recent immigrants to raise the power available for subgroup analysis, where the analytic sample here is thinnest; replacing broad world-region categories with specific countries of origin to capture the within-category heterogeneity the Black-immigrant literature shows to be substantial; incorporating direct measures of legal status, pre-migration wealth, and visa class to separate the mechanisms underlying any observed origin effect; and longitudinal follow-up to observe wealth trajectories directly and, paired with mediation analysis and explicit checks for selection and attrition, to support interpretations a single cross-section cannot.</w:t>
      </w:r>
    </w:p>
    <w:p>
      <w:pPr>
        <w:spacing w:before="0" w:after="0" w:line="480" w:lineRule="auto"/>
        <w:ind w:firstLine="720"/>
        <w:jc w:val="both"/>
      </w:pPr>
      <w:r>
        <w:rPr>
          <w:rFonts w:ascii="times new roman" w:eastAsia="times new roman" w:hAnsi="times new roman" w:cs="times new roman"/>
        </w:rPr>
        <w:t>These literatures translate into the formal propositions the analysis puts to the 2022 SCF, following the thesis's two-hypothesis structure with the duration prediction stated as the corollary the stratified analysis addresses.</w:t>
      </w:r>
    </w:p>
    <w:p>
      <w:pPr>
        <w:spacing w:before="0" w:after="0" w:line="480" w:lineRule="auto"/>
        <w:ind w:firstLine="720"/>
        <w:jc w:val="both"/>
      </w:pPr>
      <w:r>
        <w:rPr>
          <w:rFonts w:ascii="times new roman" w:eastAsia="times new roman" w:hAnsi="times new roman" w:cs="times new roman"/>
        </w:rPr>
        <w:t>*</w:t>
      </w:r>
      <w:r>
        <w:rPr>
          <w:rFonts w:ascii="times new roman" w:eastAsia="times new roman" w:hAnsi="times new roman" w:cs="times new roman"/>
          <w:i/>
          <w:iCs/>
        </w:rPr>
        <w:t>H1, origin main effects.</w:t>
      </w:r>
      <w:r>
        <w:rPr>
          <w:rFonts w:ascii="times new roman" w:eastAsia="times new roman" w:hAnsi="times new roman" w:cs="times new roman"/>
        </w:rPr>
        <w:t>* Segmented assimilation predicts that origin's total effect on each pathway outcome, estimated in Model A with only duration and age held constant, is non-null and statistically distinguishable from the Latin American reference. Human-capital convergence predicts that origin's direct effect, estimated in Model B with education, income, and marital status added, attenuates toward an odds ratio of one, with confidence intervals straddling the no-effect line. The predictions are not symmetric tests of the same quantity, and the asymmetry is the analytical crux: a Model A effect that vanishes in Model B is consistent with segmented assimilation, because the framework asserts that origin operates through exactly those mediators, and equally consistent in line with convergence. After all, it holds that the mediators are the operative variables. A Model B null therefore discriminates between neither framework on its own; what it establishes is the narrower, descriptive claim that origin adds little explanatory power beyond usual human-capital variables. Reporting both specifications keeps that distinction visible.</w:t>
      </w:r>
    </w:p>
    <w:p>
      <w:pPr>
        <w:spacing w:before="0" w:after="0" w:line="480" w:lineRule="auto"/>
        <w:ind w:firstLine="720"/>
        <w:jc w:val="both"/>
      </w:pPr>
      <w:r>
        <w:rPr>
          <w:rFonts w:ascii="times new roman" w:eastAsia="times new roman" w:hAnsi="times new roman" w:cs="times new roman"/>
        </w:rPr>
        <w:t>*</w:t>
      </w:r>
      <w:r>
        <w:rPr>
          <w:rFonts w:ascii="times new roman" w:eastAsia="times new roman" w:hAnsi="times new roman" w:cs="times new roman"/>
          <w:i/>
          <w:iCs/>
        </w:rPr>
        <w:t>H2, pathway configuration.</w:t>
      </w:r>
      <w:r>
        <w:rPr>
          <w:rFonts w:ascii="times new roman" w:eastAsia="times new roman" w:hAnsi="times new roman" w:cs="times new roman"/>
        </w:rPr>
        <w:t>* Segmented assimilation predicts not simply isolated origin effects but a joint configuration across the three outcomes: parallel-pathway groups (Asian- and European-origin) elevated on retirement-account ownership, downward-pathway groups (Caribbean-origin and the residual category) elevated on credit denial, and a selective-pathway signature of homeownership sustained alongside low mainstream-finance participation. Human-capital convergence predicts none of these setups, expecting odds ratios near one instead across all three outcomes with confidence intervals that straddle the no-effect line.</w:t>
      </w:r>
    </w:p>
    <w:p>
      <w:pPr>
        <w:spacing w:before="0" w:after="0" w:line="480" w:lineRule="auto"/>
        <w:ind w:firstLine="720"/>
        <w:jc w:val="both"/>
      </w:pPr>
      <w:r>
        <w:rPr>
          <w:rFonts w:ascii="times new roman" w:eastAsia="times new roman" w:hAnsi="times new roman" w:cs="times new roman"/>
        </w:rPr>
        <w:t>*</w:t>
      </w:r>
      <w:r>
        <w:rPr>
          <w:rFonts w:ascii="times new roman" w:eastAsia="times new roman" w:hAnsi="times new roman" w:cs="times new roman"/>
          <w:i/>
          <w:iCs/>
        </w:rPr>
        <w:t>Duration corollary.</w:t>
      </w:r>
      <w:r>
        <w:rPr>
          <w:rFonts w:ascii="times new roman" w:eastAsia="times new roman" w:hAnsi="times new roman" w:cs="times new roman"/>
        </w:rPr>
        <w:t>* Read as a theory of the incorporation process, segmented assimilation implies that origin effects should be largest in the early-incorporation window and should narrow with time in the destination country. The duration-stratified analysis tests this by re-estimating the H1 models separately for recent arrivals and long-tenured immigrants; a duration-narrowing pattern would show larger origin effects in the recent-arrival stratum, whereas the convergence account and the pooled-null reading predict no such concentration. The corollary is falsifiable in a way the pooled analysis is not, which is why it is stated separately even though the thesis addresses it as an extension of H1 rather than as a distinct numbered hypothesis.</w:t>
      </w:r>
    </w:p>
    <w:p>
      <w:pPr>
        <w:pStyle w:val="Heading1"/>
        <w:keepNext w:val="0"/>
        <w:keepLines w:val="0"/>
        <w:spacing w:after="240" w:line="480" w:lineRule="auto"/>
        <w:jc w:val="left"/>
        <w:rPr>
          <w:b/>
          <w:bCs/>
          <w:sz w:val="28"/>
          <w:szCs w:val="28"/>
        </w:rPr>
      </w:pPr>
      <w:r>
        <w:rPr>
          <w:rFonts w:ascii="times new roman" w:eastAsia="times new roman" w:hAnsi="times new roman" w:cs="times new roman"/>
          <w:b w:val="0"/>
          <w:bCs w:val="0"/>
          <w:i w:val="0"/>
          <w:color w:val="auto"/>
          <w:sz w:val="28"/>
          <w:szCs w:val="28"/>
        </w:rPr>
        <w:t>References</w:t>
      </w:r>
    </w:p>
    <w:p>
      <w:pPr>
        <w:spacing w:before="0" w:after="0" w:line="480" w:lineRule="auto"/>
        <w:ind w:left="720" w:hanging="720"/>
        <w:jc w:val="left"/>
      </w:pPr>
      <w:r>
        <w:rPr>
          <w:rFonts w:ascii="times new roman" w:eastAsia="times new roman" w:hAnsi="times new roman" w:cs="times new roman"/>
        </w:rPr>
        <w:t xml:space="preserve">Acharya, Avidit, Matthew Blackwell, and Maya Sen. 2016. "Explaining Causal Findings Without Bias: Detecting and Assessing Direct Effects." </w:t>
      </w:r>
      <w:r>
        <w:rPr>
          <w:rFonts w:ascii="times new roman" w:eastAsia="times new roman" w:hAnsi="times new roman" w:cs="times new roman"/>
          <w:i/>
          <w:iCs/>
        </w:rPr>
        <w:t>American Political Science Review</w:t>
      </w:r>
      <w:r>
        <w:rPr>
          <w:rFonts w:ascii="times new roman" w:eastAsia="times new roman" w:hAnsi="times new roman" w:cs="times new roman"/>
        </w:rPr>
        <w:t xml:space="preserve"> 110(3):512-529.</w:t>
      </w:r>
    </w:p>
    <w:p>
      <w:pPr>
        <w:spacing w:before="0" w:after="0" w:line="480" w:lineRule="auto"/>
        <w:ind w:left="720" w:hanging="720"/>
        <w:jc w:val="left"/>
      </w:pPr>
      <w:r>
        <w:rPr>
          <w:rFonts w:ascii="times new roman" w:eastAsia="times new roman" w:hAnsi="times new roman" w:cs="times new roman"/>
        </w:rPr>
        <w:t xml:space="preserve">Akresh, Ilana Redstone. 2011. "Wealth Accumulation among U.S. Immigrants: A Study of Assimilation and Differentials." </w:t>
      </w:r>
      <w:r>
        <w:rPr>
          <w:rFonts w:ascii="times new roman" w:eastAsia="times new roman" w:hAnsi="times new roman" w:cs="times new roman"/>
          <w:i/>
          <w:iCs/>
        </w:rPr>
        <w:t>Social Science Research</w:t>
      </w:r>
      <w:r>
        <w:rPr>
          <w:rFonts w:ascii="times new roman" w:eastAsia="times new roman" w:hAnsi="times new roman" w:cs="times new roman"/>
        </w:rPr>
        <w:t xml:space="preserve"> 40(5):1390-1401.</w:t>
      </w:r>
    </w:p>
    <w:p>
      <w:pPr>
        <w:spacing w:before="0" w:after="0" w:line="480" w:lineRule="auto"/>
        <w:ind w:left="720" w:hanging="720"/>
        <w:jc w:val="left"/>
      </w:pPr>
      <w:r>
        <w:rPr>
          <w:rFonts w:ascii="times new roman" w:eastAsia="times new roman" w:hAnsi="times new roman" w:cs="times new roman"/>
        </w:rPr>
        <w:t xml:space="preserve">Aladangady, Aditya, Jesse Bricker, Andrew C. Chang, Sarena Goodman, Jacob Krimmel, Kevin B. Moore, Sarah Reber, Alice Henriques Volz, and Richard A. Windle. 2023. </w:t>
      </w:r>
      <w:r>
        <w:rPr>
          <w:rFonts w:ascii="times new roman" w:eastAsia="times new roman" w:hAnsi="times new roman" w:cs="times new roman"/>
          <w:i/>
          <w:iCs/>
        </w:rPr>
        <w:t>Changes in U.S. Family Finances from 2019 to 2022: Evidence from the Survey of Consumer Finances.</w:t>
      </w:r>
      <w:r>
        <w:rPr>
          <w:rFonts w:ascii="times new roman" w:eastAsia="times new roman" w:hAnsi="times new roman" w:cs="times new roman"/>
        </w:rPr>
        <w:t xml:space="preserve"> Washington, DC: Board of Governors of the Federal Reserve System.</w:t>
      </w:r>
    </w:p>
    <w:p>
      <w:pPr>
        <w:spacing w:before="0" w:after="0" w:line="480" w:lineRule="auto"/>
        <w:ind w:left="720" w:hanging="720"/>
        <w:jc w:val="left"/>
      </w:pPr>
      <w:r>
        <w:rPr>
          <w:rFonts w:ascii="times new roman" w:eastAsia="times new roman" w:hAnsi="times new roman" w:cs="times new roman"/>
        </w:rPr>
        <w:t xml:space="preserve">Alba, Richard, Philip Kasinitz, and Mary C. Waters. 2011. "The Kids Are (Mostly) Alright: Second-Generation Assimilation. Comments on Haller, Portes and Lynch." </w:t>
      </w:r>
      <w:r>
        <w:rPr>
          <w:rFonts w:ascii="times new roman" w:eastAsia="times new roman" w:hAnsi="times new roman" w:cs="times new roman"/>
          <w:i/>
          <w:iCs/>
        </w:rPr>
        <w:t>Social Forces</w:t>
      </w:r>
      <w:r>
        <w:rPr>
          <w:rFonts w:ascii="times new roman" w:eastAsia="times new roman" w:hAnsi="times new roman" w:cs="times new roman"/>
        </w:rPr>
        <w:t xml:space="preserve"> 89(3):763-774.</w:t>
      </w:r>
    </w:p>
    <w:p>
      <w:pPr>
        <w:spacing w:before="0" w:after="0" w:line="480" w:lineRule="auto"/>
        <w:ind w:left="720" w:hanging="720"/>
        <w:jc w:val="left"/>
      </w:pPr>
      <w:r>
        <w:rPr>
          <w:rFonts w:ascii="times new roman" w:eastAsia="times new roman" w:hAnsi="times new roman" w:cs="times new roman"/>
        </w:rPr>
        <w:t xml:space="preserve">Alba, Richard D., and John R. Logan. 1992. "Assimilation and Stratification in the Homeownership Patterns of Racial and Ethnic Groups."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26(4):1314-1341.</w:t>
      </w:r>
    </w:p>
    <w:p>
      <w:pPr>
        <w:spacing w:before="0" w:after="0" w:line="480" w:lineRule="auto"/>
        <w:ind w:left="720" w:hanging="720"/>
        <w:jc w:val="left"/>
      </w:pPr>
      <w:r>
        <w:rPr>
          <w:rFonts w:ascii="times new roman" w:eastAsia="times new roman" w:hAnsi="times new roman" w:cs="times new roman"/>
        </w:rPr>
        <w:t xml:space="preserve">Alba, Richard, and Victor Nee. 1997. "Rethinking Assimilation Theory for a New Era of Immigration."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31(4):826-874.</w:t>
      </w:r>
    </w:p>
    <w:p>
      <w:pPr>
        <w:spacing w:before="0" w:after="0" w:line="480" w:lineRule="auto"/>
        <w:ind w:left="720" w:hanging="720"/>
        <w:jc w:val="left"/>
      </w:pPr>
      <w:r>
        <w:rPr>
          <w:rFonts w:ascii="times new roman" w:eastAsia="times new roman" w:hAnsi="times new roman" w:cs="times new roman"/>
        </w:rPr>
        <w:t xml:space="preserve">Blau, Francine D., and John W. Graham. 1990. "Black-White Differences in Wealth and Asset Composition." </w:t>
      </w:r>
      <w:r>
        <w:rPr>
          <w:rFonts w:ascii="times new roman" w:eastAsia="times new roman" w:hAnsi="times new roman" w:cs="times new roman"/>
          <w:i/>
          <w:iCs/>
        </w:rPr>
        <w:t>Quarterly Journal of Economics</w:t>
      </w:r>
      <w:r>
        <w:rPr>
          <w:rFonts w:ascii="times new roman" w:eastAsia="times new roman" w:hAnsi="times new roman" w:cs="times new roman"/>
        </w:rPr>
        <w:t xml:space="preserve"> 105(2):321-339.</w:t>
      </w:r>
    </w:p>
    <w:p>
      <w:pPr>
        <w:spacing w:before="0" w:after="0" w:line="480" w:lineRule="auto"/>
        <w:ind w:left="720" w:hanging="720"/>
        <w:jc w:val="left"/>
      </w:pPr>
      <w:r>
        <w:rPr>
          <w:rFonts w:ascii="times new roman" w:eastAsia="times new roman" w:hAnsi="times new roman" w:cs="times new roman"/>
        </w:rPr>
        <w:t xml:space="preserve">Borjas, George J. 1987. "Self-Selection and the Earnings of Immigrants." </w:t>
      </w:r>
      <w:r>
        <w:rPr>
          <w:rFonts w:ascii="times new roman" w:eastAsia="times new roman" w:hAnsi="times new roman" w:cs="times new roman"/>
          <w:i/>
          <w:iCs/>
        </w:rPr>
        <w:t>American Economic Review</w:t>
      </w:r>
      <w:r>
        <w:rPr>
          <w:rFonts w:ascii="times new roman" w:eastAsia="times new roman" w:hAnsi="times new roman" w:cs="times new roman"/>
        </w:rPr>
        <w:t xml:space="preserve"> 77(4):531-553.</w:t>
      </w:r>
    </w:p>
    <w:p>
      <w:pPr>
        <w:spacing w:before="0" w:after="0" w:line="480" w:lineRule="auto"/>
        <w:ind w:left="720" w:hanging="720"/>
        <w:jc w:val="left"/>
      </w:pPr>
      <w:r>
        <w:rPr>
          <w:rFonts w:ascii="times new roman" w:eastAsia="times new roman" w:hAnsi="times new roman" w:cs="times new roman"/>
        </w:rPr>
        <w:t xml:space="preserve">Borjas, George J. 1999. </w:t>
      </w:r>
      <w:r>
        <w:rPr>
          <w:rFonts w:ascii="times new roman" w:eastAsia="times new roman" w:hAnsi="times new roman" w:cs="times new roman"/>
          <w:i/>
          <w:iCs/>
        </w:rPr>
        <w:t>Heaven's Door: Immigration Policy and the American Economy.</w:t>
      </w:r>
      <w:r>
        <w:rPr>
          <w:rFonts w:ascii="times new roman" w:eastAsia="times new roman" w:hAnsi="times new roman" w:cs="times new roman"/>
        </w:rPr>
        <w:t xml:space="preserve"> Princeton, NJ: Princeton University Press.</w:t>
      </w:r>
    </w:p>
    <w:p>
      <w:pPr>
        <w:spacing w:before="0" w:after="0" w:line="480" w:lineRule="auto"/>
        <w:ind w:left="720" w:hanging="720"/>
        <w:jc w:val="left"/>
      </w:pPr>
      <w:r>
        <w:rPr>
          <w:rFonts w:ascii="times new roman" w:eastAsia="times new roman" w:hAnsi="times new roman" w:cs="times new roman"/>
        </w:rPr>
        <w:t xml:space="preserve">Chiswick, Barry R. 1978. "The Effect of Americanization on the Earnings of Foreign-born Men." </w:t>
      </w:r>
      <w:r>
        <w:rPr>
          <w:rFonts w:ascii="times new roman" w:eastAsia="times new roman" w:hAnsi="times new roman" w:cs="times new roman"/>
          <w:i/>
          <w:iCs/>
        </w:rPr>
        <w:t>Journal of Political Economy</w:t>
      </w:r>
      <w:r>
        <w:rPr>
          <w:rFonts w:ascii="times new roman" w:eastAsia="times new roman" w:hAnsi="times new roman" w:cs="times new roman"/>
        </w:rPr>
        <w:t xml:space="preserve"> 86(5):897-921.</w:t>
      </w:r>
    </w:p>
    <w:p>
      <w:pPr>
        <w:spacing w:before="0" w:after="0" w:line="480" w:lineRule="auto"/>
        <w:ind w:left="720" w:hanging="720"/>
        <w:jc w:val="left"/>
      </w:pPr>
      <w:r>
        <w:rPr>
          <w:rFonts w:ascii="times new roman" w:eastAsia="times new roman" w:hAnsi="times new roman" w:cs="times new roman"/>
        </w:rPr>
        <w:t xml:space="preserve">Cobb-Clark, Deborah A., and Vincent A. Hildebrand. 2006. "The Wealth and Asset Holdings of U.S.-Born and Foreign-Born Households: Evidence from SIPP Data." </w:t>
      </w:r>
      <w:r>
        <w:rPr>
          <w:rFonts w:ascii="times new roman" w:eastAsia="times new roman" w:hAnsi="times new roman" w:cs="times new roman"/>
          <w:i/>
          <w:iCs/>
        </w:rPr>
        <w:t>Review of Income and Wealth</w:t>
      </w:r>
      <w:r>
        <w:rPr>
          <w:rFonts w:ascii="times new roman" w:eastAsia="times new roman" w:hAnsi="times new roman" w:cs="times new roman"/>
        </w:rPr>
        <w:t xml:space="preserve"> 52(1):17-42.</w:t>
      </w:r>
    </w:p>
    <w:p>
      <w:pPr>
        <w:spacing w:before="0" w:after="0" w:line="480" w:lineRule="auto"/>
        <w:ind w:left="720" w:hanging="720"/>
        <w:jc w:val="left"/>
      </w:pPr>
      <w:r>
        <w:rPr>
          <w:rFonts w:ascii="times new roman" w:eastAsia="times new roman" w:hAnsi="times new roman" w:cs="times new roman"/>
        </w:rPr>
        <w:t xml:space="preserve">Firth, David. 1993. "Bias Reduction of Maximum Likelihood Estimates." </w:t>
      </w:r>
      <w:r>
        <w:rPr>
          <w:rFonts w:ascii="times new roman" w:eastAsia="times new roman" w:hAnsi="times new roman" w:cs="times new roman"/>
          <w:i/>
          <w:iCs/>
        </w:rPr>
        <w:t>Biometrika</w:t>
      </w:r>
      <w:r>
        <w:rPr>
          <w:rFonts w:ascii="times new roman" w:eastAsia="times new roman" w:hAnsi="times new roman" w:cs="times new roman"/>
        </w:rPr>
        <w:t xml:space="preserve"> 80(1):27-38.</w:t>
      </w:r>
    </w:p>
    <w:p>
      <w:pPr>
        <w:spacing w:before="0" w:after="0" w:line="480" w:lineRule="auto"/>
        <w:ind w:left="720" w:hanging="720"/>
        <w:jc w:val="left"/>
      </w:pPr>
      <w:r>
        <w:rPr>
          <w:rFonts w:ascii="times new roman" w:eastAsia="times new roman" w:hAnsi="times new roman" w:cs="times new roman"/>
        </w:rPr>
        <w:t xml:space="preserve">Greenman, Emily, and Yu Xie. 2008. "Is Assimilation Theory Dead? The Effect of Assimilation on Adolescent Well-Being." </w:t>
      </w:r>
      <w:r>
        <w:rPr>
          <w:rFonts w:ascii="times new roman" w:eastAsia="times new roman" w:hAnsi="times new roman" w:cs="times new roman"/>
          <w:i/>
          <w:iCs/>
        </w:rPr>
        <w:t>Social Science Research</w:t>
      </w:r>
      <w:r>
        <w:rPr>
          <w:rFonts w:ascii="times new roman" w:eastAsia="times new roman" w:hAnsi="times new roman" w:cs="times new roman"/>
        </w:rPr>
        <w:t xml:space="preserve"> 37(1):109-137.</w:t>
      </w:r>
    </w:p>
    <w:p>
      <w:pPr>
        <w:spacing w:before="0" w:after="0" w:line="480" w:lineRule="auto"/>
        <w:ind w:left="720" w:hanging="720"/>
        <w:jc w:val="left"/>
      </w:pPr>
      <w:r>
        <w:rPr>
          <w:rFonts w:ascii="times new roman" w:eastAsia="times new roman" w:hAnsi="times new roman" w:cs="times new roman"/>
        </w:rPr>
        <w:t xml:space="preserve">Haller, William, Alejandro Portes, and Scott M. Lynch. 2011. "Dreams Fulfilled, Dreams Shattered: Determinants of Segmented Assimilation in the Second Generation." </w:t>
      </w:r>
      <w:r>
        <w:rPr>
          <w:rFonts w:ascii="times new roman" w:eastAsia="times new roman" w:hAnsi="times new roman" w:cs="times new roman"/>
          <w:i/>
          <w:iCs/>
        </w:rPr>
        <w:t>Social Forces</w:t>
      </w:r>
      <w:r>
        <w:rPr>
          <w:rFonts w:ascii="times new roman" w:eastAsia="times new roman" w:hAnsi="times new roman" w:cs="times new roman"/>
        </w:rPr>
        <w:t xml:space="preserve"> 89(3):733-762.</w:t>
      </w:r>
    </w:p>
    <w:p>
      <w:pPr>
        <w:spacing w:before="0" w:after="0" w:line="480" w:lineRule="auto"/>
        <w:ind w:left="720" w:hanging="720"/>
        <w:jc w:val="left"/>
      </w:pPr>
      <w:r>
        <w:rPr>
          <w:rFonts w:ascii="times new roman" w:eastAsia="times new roman" w:hAnsi="times new roman" w:cs="times new roman"/>
        </w:rPr>
        <w:t xml:space="preserve">Hao, Lingxin. 2007. </w:t>
      </w:r>
      <w:r>
        <w:rPr>
          <w:rFonts w:ascii="times new roman" w:eastAsia="times new roman" w:hAnsi="times new roman" w:cs="times new roman"/>
          <w:i/>
          <w:iCs/>
        </w:rPr>
        <w:t>Color Lines, Country Lines: Race, Immigration, and Wealth Stratification in America.</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Logan, John R. 2007. "Who Are the Other African Americans? Contemporary African and Caribbean Immigrants in the United States." Pp. 49-67 in </w:t>
      </w:r>
      <w:r>
        <w:rPr>
          <w:rFonts w:ascii="times new roman" w:eastAsia="times new roman" w:hAnsi="times new roman" w:cs="times new roman"/>
          <w:i/>
          <w:iCs/>
        </w:rPr>
        <w:t>The Other African Americans: Contemporary African and Caribbean Families in the United States</w:t>
      </w:r>
      <w:r>
        <w:rPr>
          <w:rFonts w:ascii="times new roman" w:eastAsia="times new roman" w:hAnsi="times new roman" w:cs="times new roman"/>
        </w:rPr>
        <w:t>, edited by Y. Shaw-Taylor and S. A. Tuch. Lanham, MD: Rowman and Littlefield.</w:t>
      </w:r>
    </w:p>
    <w:p>
      <w:pPr>
        <w:spacing w:before="0" w:after="0" w:line="480" w:lineRule="auto"/>
        <w:ind w:left="720" w:hanging="720"/>
        <w:jc w:val="left"/>
      </w:pPr>
      <w:r>
        <w:rPr>
          <w:rFonts w:ascii="times new roman" w:eastAsia="times new roman" w:hAnsi="times new roman" w:cs="times new roman"/>
        </w:rPr>
        <w:t xml:space="preserve">McFadden, Daniel. 1973. "Conditional Logit Analysis of Qualitative Choice Behavior." Pp. 105-142 in </w:t>
      </w:r>
      <w:r>
        <w:rPr>
          <w:rFonts w:ascii="times new roman" w:eastAsia="times new roman" w:hAnsi="times new roman" w:cs="times new roman"/>
          <w:i/>
          <w:iCs/>
        </w:rPr>
        <w:t>Frontiers in Econometrics</w:t>
      </w:r>
      <w:r>
        <w:rPr>
          <w:rFonts w:ascii="times new roman" w:eastAsia="times new roman" w:hAnsi="times new roman" w:cs="times new roman"/>
        </w:rPr>
        <w:t>, edited by P. Zarembka. New York: Academic Press.</w:t>
      </w:r>
    </w:p>
    <w:p>
      <w:pPr>
        <w:spacing w:before="0" w:after="0" w:line="480" w:lineRule="auto"/>
        <w:ind w:left="720" w:hanging="720"/>
        <w:jc w:val="left"/>
      </w:pPr>
      <w:r>
        <w:rPr>
          <w:rFonts w:ascii="times new roman" w:eastAsia="times new roman" w:hAnsi="times new roman" w:cs="times new roman"/>
        </w:rPr>
        <w:t xml:space="preserve">Model, Suzanne. 2008. </w:t>
      </w:r>
      <w:r>
        <w:rPr>
          <w:rFonts w:ascii="times new roman" w:eastAsia="times new roman" w:hAnsi="times new roman" w:cs="times new roman"/>
          <w:i/>
          <w:iCs/>
        </w:rPr>
        <w:t>West Indian Immigrants: A Black Success Story?</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Munnell, Alicia H., Geoffrey M. B. Tootell, Lynn E. Browne, and James McEneaney. 1996. "Mortgage Lending in Boston: Interpreting HMDA Data." </w:t>
      </w:r>
      <w:r>
        <w:rPr>
          <w:rFonts w:ascii="times new roman" w:eastAsia="times new roman" w:hAnsi="times new roman" w:cs="times new roman"/>
          <w:i/>
          <w:iCs/>
        </w:rPr>
        <w:t>American Economic Review</w:t>
      </w:r>
      <w:r>
        <w:rPr>
          <w:rFonts w:ascii="times new roman" w:eastAsia="times new roman" w:hAnsi="times new roman" w:cs="times new roman"/>
        </w:rPr>
        <w:t xml:space="preserve"> 86(1):25-53.</w:t>
      </w:r>
    </w:p>
    <w:p>
      <w:pPr>
        <w:spacing w:before="0" w:after="0" w:line="480" w:lineRule="auto"/>
        <w:ind w:left="720" w:hanging="720"/>
        <w:jc w:val="left"/>
      </w:pPr>
      <w:r>
        <w:rPr>
          <w:rFonts w:ascii="times new roman" w:eastAsia="times new roman" w:hAnsi="times new roman" w:cs="times new roman"/>
        </w:rPr>
        <w:t xml:space="preserve">Oliver, Melvin L., and Thomas M. Shapiro. 1995. </w:t>
      </w:r>
      <w:r>
        <w:rPr>
          <w:rFonts w:ascii="times new roman" w:eastAsia="times new roman" w:hAnsi="times new roman" w:cs="times new roman"/>
          <w:i/>
          <w:iCs/>
        </w:rPr>
        <w:t>Black Wealth/White Wealth: A New Perspective on Racial Inequality.</w:t>
      </w:r>
      <w:r>
        <w:rPr>
          <w:rFonts w:ascii="times new roman" w:eastAsia="times new roman" w:hAnsi="times new roman" w:cs="times new roman"/>
        </w:rPr>
        <w:t xml:space="preserve"> New York: Routledge.</w:t>
      </w:r>
    </w:p>
    <w:p>
      <w:pPr>
        <w:spacing w:before="0" w:after="0" w:line="480" w:lineRule="auto"/>
        <w:ind w:left="720" w:hanging="720"/>
        <w:jc w:val="left"/>
      </w:pPr>
      <w:r>
        <w:rPr>
          <w:rFonts w:ascii="times new roman" w:eastAsia="times new roman" w:hAnsi="times new roman" w:cs="times new roman"/>
        </w:rPr>
        <w:t xml:space="preserve">Osili, Una Okonkwo, and Anna L. Paulson. 2008. "Institutions and Financial Development: Evidence from International Migrants in the United States." </w:t>
      </w:r>
      <w:r>
        <w:rPr>
          <w:rFonts w:ascii="times new roman" w:eastAsia="times new roman" w:hAnsi="times new roman" w:cs="times new roman"/>
          <w:i/>
          <w:iCs/>
        </w:rPr>
        <w:t>Review of Economics and Statistics</w:t>
      </w:r>
      <w:r>
        <w:rPr>
          <w:rFonts w:ascii="times new roman" w:eastAsia="times new roman" w:hAnsi="times new roman" w:cs="times new roman"/>
        </w:rPr>
        <w:t xml:space="preserve"> 90(3):498-517.</w:t>
      </w:r>
    </w:p>
    <w:p>
      <w:pPr>
        <w:spacing w:before="0" w:after="0" w:line="480" w:lineRule="auto"/>
        <w:ind w:left="720" w:hanging="720"/>
        <w:jc w:val="left"/>
      </w:pPr>
      <w:r>
        <w:rPr>
          <w:rFonts w:ascii="times new roman" w:eastAsia="times new roman" w:hAnsi="times new roman" w:cs="times new roman"/>
        </w:rPr>
        <w:t xml:space="preserve">Painter, Matthew A., II, and Zhenchao Qian. 2016. "Wealth Inequality Among Immigrants: Consistent Racial/Ethnic Inequality in the United States." </w:t>
      </w:r>
      <w:r>
        <w:rPr>
          <w:rFonts w:ascii="times new roman" w:eastAsia="times new roman" w:hAnsi="times new roman" w:cs="times new roman"/>
          <w:i/>
          <w:iCs/>
        </w:rPr>
        <w:t>Population Research and Policy Review</w:t>
      </w:r>
      <w:r>
        <w:rPr>
          <w:rFonts w:ascii="times new roman" w:eastAsia="times new roman" w:hAnsi="times new roman" w:cs="times new roman"/>
        </w:rPr>
        <w:t xml:space="preserve"> 35(2):147-175.</w:t>
      </w:r>
    </w:p>
    <w:p>
      <w:pPr>
        <w:spacing w:before="0" w:after="0" w:line="480" w:lineRule="auto"/>
        <w:ind w:left="720" w:hanging="720"/>
        <w:jc w:val="left"/>
      </w:pPr>
      <w:r>
        <w:rPr>
          <w:rFonts w:ascii="times new roman" w:eastAsia="times new roman" w:hAnsi="times new roman" w:cs="times new roman"/>
        </w:rPr>
        <w:t xml:space="preserve">Portes, Alejandro, and Rubén G. Rumbaut. 2001. </w:t>
      </w:r>
      <w:r>
        <w:rPr>
          <w:rFonts w:ascii="times new roman" w:eastAsia="times new roman" w:hAnsi="times new roman" w:cs="times new roman"/>
          <w:i/>
          <w:iCs/>
        </w:rPr>
        <w:t>Legacies: The Story of the Immigrant Second Generation.</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Portes, Alejandro, and Min Zhou. 1993. "The New Second Generation: Segmented Assimilation and Its Variants." </w:t>
      </w:r>
      <w:r>
        <w:rPr>
          <w:rFonts w:ascii="times new roman" w:eastAsia="times new roman" w:hAnsi="times new roman" w:cs="times new roman"/>
          <w:i/>
          <w:iCs/>
        </w:rPr>
        <w:t>Annals of the American Academy of Political and Social Science</w:t>
      </w:r>
      <w:r>
        <w:rPr>
          <w:rFonts w:ascii="times new roman" w:eastAsia="times new roman" w:hAnsi="times new roman" w:cs="times new roman"/>
        </w:rPr>
        <w:t xml:space="preserve"> 530(1):74-96.</w:t>
      </w:r>
    </w:p>
    <w:p>
      <w:pPr>
        <w:spacing w:before="0" w:after="0" w:line="480" w:lineRule="auto"/>
        <w:ind w:left="720" w:hanging="720"/>
        <w:jc w:val="left"/>
      </w:pPr>
      <w:r>
        <w:rPr>
          <w:rFonts w:ascii="times new roman" w:eastAsia="times new roman" w:hAnsi="times new roman" w:cs="times new roman"/>
        </w:rPr>
        <w:t xml:space="preserve">Rosenbaum, Paul R. 1984. "The Consequences of Adjustment for a Concomitant Variable That Has Been Affected by the Treatment." </w:t>
      </w:r>
      <w:r>
        <w:rPr>
          <w:rFonts w:ascii="times new roman" w:eastAsia="times new roman" w:hAnsi="times new roman" w:cs="times new roman"/>
          <w:i/>
          <w:iCs/>
        </w:rPr>
        <w:t>Journal of the Royal Statistical Society Series A</w:t>
      </w:r>
      <w:r>
        <w:rPr>
          <w:rFonts w:ascii="times new roman" w:eastAsia="times new roman" w:hAnsi="times new roman" w:cs="times new roman"/>
        </w:rPr>
        <w:t xml:space="preserve"> 147(5):656-666.</w:t>
      </w:r>
    </w:p>
    <w:p>
      <w:pPr>
        <w:spacing w:before="0" w:after="0" w:line="480" w:lineRule="auto"/>
        <w:ind w:left="720" w:hanging="720"/>
        <w:jc w:val="left"/>
      </w:pPr>
      <w:r>
        <w:rPr>
          <w:rFonts w:ascii="times new roman" w:eastAsia="times new roman" w:hAnsi="times new roman" w:cs="times new roman"/>
        </w:rPr>
        <w:t xml:space="preserve">Sanders, Jimy M., and Victor Nee. 1987. "Limits of Ethnic Solidarity in the Enclave Economy." </w:t>
      </w:r>
      <w:r>
        <w:rPr>
          <w:rFonts w:ascii="times new roman" w:eastAsia="times new roman" w:hAnsi="times new roman" w:cs="times new roman"/>
          <w:i/>
          <w:iCs/>
        </w:rPr>
        <w:t>American Sociological Review</w:t>
      </w:r>
      <w:r>
        <w:rPr>
          <w:rFonts w:ascii="times new roman" w:eastAsia="times new roman" w:hAnsi="times new roman" w:cs="times new roman"/>
        </w:rPr>
        <w:t xml:space="preserve"> 52(6):745-773.</w:t>
      </w:r>
    </w:p>
    <w:p>
      <w:pPr>
        <w:spacing w:before="0" w:after="0" w:line="480" w:lineRule="auto"/>
        <w:ind w:left="720" w:hanging="720"/>
        <w:jc w:val="left"/>
      </w:pPr>
      <w:r>
        <w:rPr>
          <w:rFonts w:ascii="times new roman" w:eastAsia="times new roman" w:hAnsi="times new roman" w:cs="times new roman"/>
        </w:rPr>
        <w:t xml:space="preserve">Sevak, Purvi, and Lucie Schmidt. 2014. "Immigrants and Retirement Resources." </w:t>
      </w:r>
      <w:r>
        <w:rPr>
          <w:rFonts w:ascii="times new roman" w:eastAsia="times new roman" w:hAnsi="times new roman" w:cs="times new roman"/>
          <w:i/>
          <w:iCs/>
        </w:rPr>
        <w:t>Social Security Bulletin</w:t>
      </w:r>
      <w:r>
        <w:rPr>
          <w:rFonts w:ascii="times new roman" w:eastAsia="times new roman" w:hAnsi="times new roman" w:cs="times new roman"/>
        </w:rPr>
        <w:t xml:space="preserve"> 74(1):27-45.</w:t>
      </w:r>
    </w:p>
    <w:p>
      <w:pPr>
        <w:spacing w:before="0" w:after="0" w:line="480" w:lineRule="auto"/>
        <w:ind w:left="720" w:hanging="720"/>
        <w:jc w:val="left"/>
      </w:pPr>
      <w:r>
        <w:rPr>
          <w:rFonts w:ascii="times new roman" w:eastAsia="times new roman" w:hAnsi="times new roman" w:cs="times new roman"/>
        </w:rPr>
        <w:t xml:space="preserve">Smith, Robert C. 2006. </w:t>
      </w:r>
      <w:r>
        <w:rPr>
          <w:rFonts w:ascii="times new roman" w:eastAsia="times new roman" w:hAnsi="times new roman" w:cs="times new roman"/>
          <w:i/>
          <w:iCs/>
        </w:rPr>
        <w:t>Mexican New York: Transnational Lives of New Immigrants.</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Telles, Edward E., and Vilma Ortiz. 2008. </w:t>
      </w:r>
      <w:r>
        <w:rPr>
          <w:rFonts w:ascii="times new roman" w:eastAsia="times new roman" w:hAnsi="times new roman" w:cs="times new roman"/>
          <w:i/>
          <w:iCs/>
        </w:rPr>
        <w:t>Generations of Exclusion: Mexican Americans, Assimilation, and Race.</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Zhou, Min. 1997. "Segmented Assimilation: Issues, Controversies, and Recent Research on the New Second Generation."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31(4):975-1008.</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Literature_Review_Immigrant_Household_Finances_4</dc:title>
  <cp:revision>0</cp:revision>
</cp:coreProperties>
</file>