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pStyle w:val="Heading1"/>
        <w:keepNext w:val="0"/>
        <w:keepLines w:val="0"/>
        <w:spacing w:after="240" w:line="480" w:lineRule="auto"/>
        <w:jc w:val="left"/>
        <w:rPr>
          <w:b/>
          <w:bCs/>
          <w:sz w:val="28"/>
          <w:szCs w:val="28"/>
        </w:rPr>
      </w:pPr>
      <w:r>
        <w:rPr>
          <w:rFonts w:ascii="times new roman" w:eastAsia="times new roman" w:hAnsi="times new roman" w:cs="times new roman"/>
          <w:b w:val="0"/>
          <w:bCs w:val="0"/>
          <w:i w:val="0"/>
          <w:color w:val="auto"/>
          <w:sz w:val="28"/>
          <w:szCs w:val="28"/>
        </w:rPr>
        <w:t>Literature Review</w:t>
      </w:r>
    </w:p>
    <w:p>
      <w:pPr>
        <w:pStyle w:val="Heading2"/>
        <w:keepNext w:val="0"/>
        <w:keepLines w:val="0"/>
        <w:spacing w:before="240" w:after="120" w:line="480" w:lineRule="auto"/>
        <w:jc w:val="left"/>
        <w:rPr>
          <w:b/>
          <w:bCs/>
          <w:sz w:val="26"/>
          <w:szCs w:val="26"/>
        </w:rPr>
      </w:pPr>
      <w:r>
        <w:rPr>
          <w:rFonts w:ascii="times new roman" w:eastAsia="times new roman" w:hAnsi="times new roman" w:cs="times new roman"/>
          <w:b w:val="0"/>
          <w:bCs w:val="0"/>
          <w:i w:val="0"/>
          <w:color w:val="auto"/>
          <w:sz w:val="26"/>
          <w:szCs w:val="26"/>
        </w:rPr>
        <w:t>1. Introduction and Scope of the Review</w:t>
      </w:r>
    </w:p>
    <w:p>
      <w:pPr>
        <w:spacing w:before="0" w:after="0" w:line="480" w:lineRule="auto"/>
        <w:ind w:firstLine="720"/>
        <w:jc w:val="both"/>
      </w:pPr>
      <w:r>
        <w:rPr>
          <w:rFonts w:ascii="times new roman" w:eastAsia="times new roman" w:hAnsi="times new roman" w:cs="times new roman"/>
        </w:rPr>
        <w:t>The empirical analysis undertaken in this thesis examines whether the region of national origin influences the financial trajectories of foreign-born households in the United States, after controlling for standard human-capital variables. Addressing this research question necessitates engagement with five distinct yet interconnected bodies of scholarship. First, the century-long theoretical debate over immigrant assimilation provides two principal frameworks, human-capital convergence and segmented assimilation, whose predictions inform the analysis. This literature is central because it grounds the study’s competing hypotheses regarding the persistence or attenuation of origin-based differences. Second, the empirical debate surrounding segmented assimilation has generated significant methodological exchanges in contemporary sociology, directly motivating the two-specification design adopted in this study. Including this debate is essential as it shapes the empirical strategy and highlights the challenges of adjudicating between frameworks using cross-sectional data. Third, the sociology of wealth literature clarifies why asset-based outcomes are theoretically distinct from the income and earnings outcomes that dominate most assimilation research. Its inclusion establishes the rationale for focusing on wealth as the primary measure of economic incorporation and demonstrates why findings from earnings studies may not transfer to asset-based domains. Fourth, specialized research on immigrant wealth, financial access, credit, and homeownership establishes domain-specific expectations for the three pathway outcomes under examination: retirement-account ownership, credit denial, and homeownership. This body of literature is crucial for linking theoretical frameworks to concrete, observable financial margins, thereby sharpening predictions and interpretability. Fifth, methodological literature on post-treatment bias and mediation in observational research delineates the legitimate means by which these competing frameworks can be tested using cross-sectional survey data. Incorporating this final strand guides analytic choices, ensuring that model specification is theoretically justified and transparently aligned with the causal assumptions underlying the research question.</w:t>
      </w:r>
    </w:p>
    <w:p>
      <w:pPr>
        <w:spacing w:before="0" w:after="0" w:line="480" w:lineRule="auto"/>
        <w:ind w:firstLine="720"/>
        <w:jc w:val="both"/>
      </w:pPr>
      <w:r>
        <w:rPr>
          <w:rFonts w:ascii="times new roman" w:eastAsia="times new roman" w:hAnsi="times new roman" w:cs="times new roman"/>
        </w:rPr>
        <w:t>This review systematically examines each body of work. Two central questions guide the discussion: What does each literature predict regarding the relationship between national origin and household financial outcomes among the foreign-born? What does each literature suggest about the appropriate specification of this relationship, particularly with respect to whether education, income, and household formation should be considered confounders or mediators? The review concludes by identifying the specific empirical gap that the 2022 Survey of Consumer Finances (SCF), with its newly introduced national-origin variables, enables this thesis to address for the first time in a nationally representative U.S. wealth survey.</w:t>
      </w:r>
    </w:p>
    <w:p>
      <w:pPr>
        <w:spacing w:before="0" w:after="0" w:line="480" w:lineRule="auto"/>
        <w:ind w:firstLine="720"/>
        <w:jc w:val="both"/>
      </w:pPr>
      <w:r>
        <w:rPr>
          <w:rFonts w:ascii="times new roman" w:eastAsia="times new roman" w:hAnsi="times new roman" w:cs="times new roman"/>
        </w:rPr>
        <w:t>Two key boundary conditions define the scope of this review, and the rationale for these choices is explicitly stated. First, the analysis is restricted to first-generation, foreign-born householders observed within a cross-sectional framework. This limitation is determined by both the structure of the available data and the research objective, which is to assess economic incorporation as it manifests among the first generation. Accordingly, the review prioritizes assimilation literature that directly addresses first-generation outcomes, as these studies provide empirical and conceptual tools appropriate to the population and analytic approach. The broader literature on the second generation is referenced only when its theoretical contributions, particularly the segmented-assimilation pathway typology, have been explicitly adapted for first-generation contexts, thereby ensuring relevance to the present empirical setting. Second, because the SCF dataset does not include information on legal status, parental nativity, or pre-migration wealth, empirical testing of hypotheses involving these variables is not feasible. While literature addressing these constructs is incorporated for theoretical context, it does not serve as the basis for directly testable predictions. These boundaries are established to ensure logical consistency among the research questions, data constraints, and the achievable scope of empirical analysis. By articulating these boundary choices, the review remains focused on questions that the SCF dataset can address and avoids claims that exceed the evidentiary capacity of the available data. However, these boundaries also have implications for interpreting the results and for the generalizability of the findings. Restricting the analysis to first-generation householders means that the conclusions may not extend to the second generation or to mixed-generation households, whose assimilation experiences and financial trajectories could differ significantly. Similarly, the absence of legal status or pre-migration wealth measures may limit the ability to disentangle the mechanisms underlying observed origin differences, potentially understating or overstating effects related to unmeasured heterogeneity. As such, while these boundaries are necessary for analytic rigor, they also define the scope within which the findings should be understood and highlight areas where further research with expanded data would be valuable.</w:t>
      </w:r>
    </w:p>
    <w:p>
      <w:pPr>
        <w:pStyle w:val="Heading2"/>
        <w:keepNext w:val="0"/>
        <w:keepLines w:val="0"/>
        <w:spacing w:before="240" w:after="120" w:line="480" w:lineRule="auto"/>
        <w:jc w:val="left"/>
        <w:rPr>
          <w:b/>
          <w:bCs/>
          <w:sz w:val="26"/>
          <w:szCs w:val="26"/>
        </w:rPr>
      </w:pPr>
      <w:r>
        <w:rPr>
          <w:rFonts w:ascii="times new roman" w:eastAsia="times new roman" w:hAnsi="times new roman" w:cs="times new roman"/>
          <w:b w:val="0"/>
          <w:bCs w:val="0"/>
          <w:i w:val="0"/>
          <w:color w:val="auto"/>
          <w:sz w:val="26"/>
          <w:szCs w:val="26"/>
        </w:rPr>
        <w:t>2. From Straight-Line Assimilation to the Modern Debate</w:t>
      </w:r>
    </w:p>
    <w:p>
      <w:pPr>
        <w:spacing w:before="0" w:after="0" w:line="480" w:lineRule="auto"/>
        <w:ind w:firstLine="720"/>
        <w:jc w:val="both"/>
      </w:pPr>
      <w:r>
        <w:rPr>
          <w:rFonts w:ascii="times new roman" w:eastAsia="times new roman" w:hAnsi="times new roman" w:cs="times new roman"/>
        </w:rPr>
        <w:t>The intellectual ancestry of both frameworks tested in this thesis runs through the classical account of assimilation consolidated by Gordon (1964). Synthesizing the Chicago School tradition, Gordon proposed that immigrant incorporation proceeds through a sequence of stages: acculturation, structural assimilation into primary-group relations, marital assimilation, and eventually the disappearance of ethnic distinctions in life chances; and that the process, once begun, moves largely in one direction. The "straight-line" idea that Gordon pushed was the dominant mid-century theory. To conclude, with time and generational succession, the descendants of immigrants were expected to become economically indistinguishable from the native mainstream, and origin-group membership would gradually lose its predictive power over socioeconomic outcomes.</w:t>
      </w:r>
    </w:p>
    <w:p>
      <w:pPr>
        <w:spacing w:before="0" w:after="0" w:line="480" w:lineRule="auto"/>
        <w:ind w:firstLine="720"/>
        <w:jc w:val="both"/>
      </w:pPr>
      <w:r>
        <w:rPr>
          <w:rFonts w:ascii="times new roman" w:eastAsia="times new roman" w:hAnsi="times new roman" w:cs="times new roman"/>
        </w:rPr>
        <w:t>The post-1965 transformation of U.S. immigration, overwhelmingly from Latin America, Asia, and the Caribbean rather than Europe, forced a re-examination of that expectation. Two responses define the modern debate. The first, associated most prominently with Alba and Nee (1997, 2003), rehabilitated assimilation theory rather than discarding it. In their reformulation, assimilation is not the wholesale absorption of minorities into an unchanging Anglo core but a gradual, often unintended attenuation of ethnic boundaries as immigrants and their children pursue advancement through mainstream institutions, schools, labor markets, and housing markets that themselves change in the process. Crucially for the present thesis, the Alba–Nee reformulation preserves the classical prediction at the level of observable results: origin distinctions should decay with time in the destination country and with the acquisition of destination-specific human capital, and whatever origin gradients remain should be interpretable as compositional differences in education, income, and family structure rather than as durable, origin-specific penalties.</w:t>
      </w:r>
    </w:p>
    <w:p>
      <w:pPr>
        <w:spacing w:before="0" w:after="0" w:line="480" w:lineRule="auto"/>
        <w:ind w:firstLine="720"/>
        <w:jc w:val="both"/>
      </w:pPr>
      <w:r>
        <w:rPr>
          <w:rFonts w:ascii="times new roman" w:eastAsia="times new roman" w:hAnsi="times new roman" w:cs="times new roman"/>
        </w:rPr>
        <w:t>A third strand of response, which segmented assimilation would later absorb, held that the classical account had never applied to racialized groups in the first place. The straight-line expectation was calibrated on the European immigration of 1880 to 1924, whose descendants could and did cross into an expanding white mainstream; nothing in that historical experience guaranteed the same trajectory for immigrants marked as non-white in a society whose housing and credit institutions had been organized around a Black-white color line (Massey and Denton 1993; Oliver and Shapiro 1995). On this reading, the question the post-1965 immigration posed was not whether assimilation happens but into which stratum of a racially segmented society a given group assimilates, the question Portes and Zhou (1993) would place at the center of their framework. The empirical stakes of the disagreement are highest precisely for outcomes, such as wealth, where the historical operation of racialized institutions is best documented.</w:t>
      </w:r>
    </w:p>
    <w:p>
      <w:pPr>
        <w:spacing w:before="0" w:after="0" w:line="480" w:lineRule="auto"/>
        <w:ind w:firstLine="720"/>
        <w:jc w:val="both"/>
      </w:pPr>
      <w:r>
        <w:rPr>
          <w:rFonts w:ascii="times new roman" w:eastAsia="times new roman" w:hAnsi="times new roman" w:cs="times new roman"/>
        </w:rPr>
        <w:t>The second response rejected the uniform-mainstream premise altogether. Its fullest statement is the segmented-assimilation framework (Portes and Zhou 1993), discussed at length in Section 4. Before turning to it, however, the review considers the economics literature that formalized the convergence expectation and supplied the covariate set: education, income, duration of residence, and age, that Model B of this thesis inherits.</w:t>
      </w:r>
    </w:p>
    <w:p>
      <w:pPr>
        <w:pStyle w:val="Heading2"/>
        <w:keepNext w:val="0"/>
        <w:keepLines w:val="0"/>
        <w:spacing w:before="240" w:after="120" w:line="480" w:lineRule="auto"/>
        <w:jc w:val="left"/>
        <w:rPr>
          <w:b/>
          <w:bCs/>
          <w:sz w:val="26"/>
          <w:szCs w:val="26"/>
        </w:rPr>
      </w:pPr>
      <w:r>
        <w:rPr>
          <w:rFonts w:ascii="times new roman" w:eastAsia="times new roman" w:hAnsi="times new roman" w:cs="times new roman"/>
          <w:b w:val="0"/>
          <w:bCs w:val="0"/>
          <w:i w:val="0"/>
          <w:color w:val="auto"/>
          <w:sz w:val="26"/>
          <w:szCs w:val="26"/>
        </w:rPr>
        <w:t>3. The Human-Capital Convergence Tradition</w:t>
      </w:r>
    </w:p>
    <w:p>
      <w:pPr>
        <w:spacing w:before="0" w:after="0" w:line="480" w:lineRule="auto"/>
        <w:ind w:firstLine="720"/>
        <w:jc w:val="both"/>
      </w:pPr>
      <w:r>
        <w:rPr>
          <w:rFonts w:ascii="times new roman" w:eastAsia="times new roman" w:hAnsi="times new roman" w:cs="times new roman"/>
        </w:rPr>
        <w:t>The economics of immigrant assimilation begins with Chiswick's (1978) analysis of the 1970 Census. Chiswick documented that foreign-born men's earnings rise steeply with years since migration, crossing the native-born earnings profile after roughly ten to fifteen years, and interpreted the pattern as the return to post-migration investments in destination-specific human capital: language fluency, credential recognition, labor-market information, and firm-specific experience. The theoretical core of the account is that immigrants arrive with a temporary deficit of transferable skills, not a permanent origin-linked disadvantage; the deficit depreciates with exposure to the destination economy. On this view, cross-sectional differences between origin groups reflect differences in the distribution of human capital and time since arrival, and appropriately specified models should find little residual role for origin itself.</w:t>
      </w:r>
    </w:p>
    <w:p>
      <w:pPr>
        <w:spacing w:before="0" w:after="0" w:line="480" w:lineRule="auto"/>
        <w:ind w:firstLine="720"/>
        <w:jc w:val="both"/>
      </w:pPr>
      <w:r>
        <w:rPr>
          <w:rFonts w:ascii="times new roman" w:eastAsia="times new roman" w:hAnsi="times new roman" w:cs="times new roman"/>
        </w:rPr>
        <w:t>Borjas (1985, 1987) supplied the tradition's most influential complication. Using synthetic cohorts constructed across census waves, Borjas (1985) showed that Chiswick's cross-sectional convergence conflated within-cohort assimilation with secular decline in the skill composition of successive arrival cohorts—the "cohort quality" critique. His self-selection model (Borjas 1987) formalized why origin should matter at entry: emigration rates and the skill composition of emigrants respond to the returns to skill in the source country relative to the United States, so that origin-country income inequality and political conditions shape who migrates in the first place. Borjas (1995, 1999) extended the argument into a broader skepticism about rapid convergence, contending that earnings gaps at entry had widened across post-1965 cohorts and that convergence within a working lifetime was far from assured. Two features of the Borjas program matter for this thesis. First, even in its most convergence-skeptical form, the framework locates the origin effect in the human-capital composition of arrival cohorts—education, skill transferability, selection—rather than in origin-specific treatment by destination institutions. Origin, in other words, operates through the very mediators that Model B controls. Second, the framework's emphasis on arrival-cohort heterogeneity motivates the duration-stratified analysis in this thesis. If origin gradients exist but attenuate with time, pooling recent and long-tenured immigrants could mask effects concentrated in the early incorporation window.</w:t>
      </w:r>
    </w:p>
    <w:p>
      <w:pPr>
        <w:spacing w:before="0" w:after="0" w:line="480" w:lineRule="auto"/>
        <w:ind w:firstLine="720"/>
        <w:jc w:val="both"/>
      </w:pPr>
      <w:r>
        <w:rPr>
          <w:rFonts w:ascii="times new roman" w:eastAsia="times new roman" w:hAnsi="times new roman" w:cs="times new roman"/>
        </w:rPr>
        <w:t>The extension of the convergence framework from earnings to wealth begins with Blau and Graham (1990). Although their canonical contribution concerned Black–white wealth gaps among young households, the analytical template they established, decomposing group wealth differences into the portion explained by income and demographic composition and the residual attributable to group membership per se, became the workhorse of the quantitative wealth-gap literature. Their central finding, that income and demographic controls explain only a fraction of the racial wealth gap, is often read as evidence against a pure human-capital account of wealth stratification. Still, the decomposition logic itself embodies the convergence tradition's specification: group indicators enter alongside human-capital controls, and the residual group coefficient carries the theoretical weight. The Model A/Model B contrast in this thesis makes the estimand ambiguity in that template explicit rather than leaving it implicit, a point developed in Section 10.</w:t>
      </w:r>
    </w:p>
    <w:p>
      <w:pPr>
        <w:spacing w:before="0" w:after="0" w:line="480" w:lineRule="auto"/>
        <w:ind w:firstLine="720"/>
        <w:jc w:val="both"/>
      </w:pPr>
      <w:r>
        <w:rPr>
          <w:rFonts w:ascii="times new roman" w:eastAsia="times new roman" w:hAnsi="times new roman" w:cs="times new roman"/>
        </w:rPr>
        <w:t>Within the convergence tradition, the prediction for this thesis's design is unambiguous. Model A, which conditions only on duration of residence and age, may display origin gradients, since origin proxies for cohort composition and selection. Model B, which adds education, log income, and marital status, should absorb those gradients: origin coefficients should collapse toward the null once the human-capital channels are held constant. The thesis's Model B results, all twelve origin coefficients clustering near an odds ratio of one, none reaching conventional significance, are precisely the pattern this tradition anticipates, though, as Sections 4 and 10 explain, that pattern does not by itself adjudicate between the frameworks.</w:t>
      </w:r>
    </w:p>
    <w:p>
      <w:pPr>
        <w:pStyle w:val="Heading2"/>
        <w:keepNext w:val="0"/>
        <w:keepLines w:val="0"/>
        <w:spacing w:before="240" w:after="120" w:line="480" w:lineRule="auto"/>
        <w:jc w:val="left"/>
        <w:rPr>
          <w:b/>
          <w:bCs/>
          <w:sz w:val="26"/>
          <w:szCs w:val="26"/>
        </w:rPr>
      </w:pPr>
      <w:r>
        <w:rPr>
          <w:rFonts w:ascii="times new roman" w:eastAsia="times new roman" w:hAnsi="times new roman" w:cs="times new roman"/>
          <w:b w:val="0"/>
          <w:bCs w:val="0"/>
          <w:i w:val="0"/>
          <w:color w:val="auto"/>
          <w:sz w:val="26"/>
          <w:szCs w:val="26"/>
        </w:rPr>
        <w:t>4. Segmented Assimilation: Origins, Mechanisms, and Pathways</w:t>
      </w:r>
    </w:p>
    <w:p>
      <w:pPr>
        <w:spacing w:before="0" w:after="0" w:line="480" w:lineRule="auto"/>
        <w:ind w:firstLine="720"/>
        <w:jc w:val="both"/>
      </w:pPr>
      <w:r>
        <w:rPr>
          <w:rFonts w:ascii="times new roman" w:eastAsia="times new roman" w:hAnsi="times new roman" w:cs="times new roman"/>
        </w:rPr>
        <w:t>The segmented-assimilation framework emerged from a research program on ethnic economies that predates its canonical 1993 statement. Studies of the Cuban enclave in Miami (Wilson and Portes 1980; Portes and Bach 1985) and of ethnic enterprise more broadly (Light 1972) documented that immigrant communities could constitute alternative opportunity structures, dense networks of co-ethnic employers, rotating credit, protected markets, and information channels, whose returns to human capital differed from those of the open labor market. If the economic value of a given education or skill endowment depends on the community context in which it is deployed, then origin-group membership is not merely a proxy for individual endowments; it indexes access to group-level resources that standard human-capital models omit.</w:t>
      </w:r>
    </w:p>
    <w:p>
      <w:pPr>
        <w:spacing w:before="0" w:after="0" w:line="480" w:lineRule="auto"/>
        <w:ind w:firstLine="720"/>
        <w:jc w:val="both"/>
      </w:pPr>
      <w:r>
        <w:rPr>
          <w:rFonts w:ascii="times new roman" w:eastAsia="times new roman" w:hAnsi="times new roman" w:cs="times new roman"/>
        </w:rPr>
        <w:t>Portes and Zhou (1993) generalized this insight into a theory of divergent incorporation. Their central claim is that the American mainstream into which immigrants assimilate is not a single destination but a stratified structure, and that the segment of it a group enters depends on its mode of incorporation: the combination of government reception policy, societal prejudice keyed to phenotype, and the strength of the pre-existing co-ethnic community. Three ideal-typical pathways follow. Groups received favorably and racialized as white or near-white experience conventional upward assimilation into the middle class; this thesis labels this pathway as parallel integration. Groups racialized as non-white, concentrated in disadvantaged urban contexts, and lacking community resources risk downward assimilation into a durable position of economic exclusion. Groups with strong ethnic communities may achieve upward mobility through selective acculturation, converting co-ethnic solidarity into economic advancement while deliberately preserving ethnic boundaries, the selective-assimilation pathway. Zhou (1997) systematized the framework and stressed its conditional structure: the theory does not predict that origin always matters, but that it matters through specifiable contextual mechanisms whose distribution varies across origin groups.</w:t>
      </w:r>
    </w:p>
    <w:p>
      <w:pPr>
        <w:spacing w:before="0" w:after="0" w:line="480" w:lineRule="auto"/>
        <w:ind w:firstLine="720"/>
        <w:jc w:val="both"/>
      </w:pPr>
      <w:r>
        <w:rPr>
          <w:rFonts w:ascii="times new roman" w:eastAsia="times new roman" w:hAnsi="times new roman" w:cs="times new roman"/>
        </w:rPr>
        <w:t>Portes and Rumbaut's (2001) longitudinal Children of Immigrants study serves as the principal empirical foundation for the segmented assimilation framework, documenting divergent educational and early-labor-market trajectories among origin groups in San Diego and South Florida and linking these to variations in parental human capital, family structure, and modes of incorporation. However, while the study's design and repeated waves strengthen causal inference regarding differences across groups, critics have raised concerns over its geographical scope and the potential for unobserved contextual factors specific to these metropolitan areas to limit the generalizability of its findings. Furthermore, companion ethnographic and group-level studies (Rumbaut and Portes 2001; Portes, Fernández-Kelly and Haller 2005) offer nuanced accounts of mechanisms such as reactive ethnicity, dissonant acculturation, and the protective function of co-ethnic communities. Yet, as much of the evidence is derived from selected communities or qualitative case studies, questions remain about the extent to which these mechanisms operate universally across immigrant groups and settings. Taken together, while the Children of Immigrants study and its associated qualitative research provide critical support for the framework, their evidentiary contributions are most compelling in illustrating patterns and processes within specific contexts, underscoring the need for further research using broader and more nationally representative samples to corroborate and refine these conclusions.</w:t>
      </w:r>
    </w:p>
    <w:p>
      <w:pPr>
        <w:spacing w:before="0" w:after="0" w:line="480" w:lineRule="auto"/>
        <w:ind w:firstLine="720"/>
        <w:jc w:val="both"/>
      </w:pPr>
      <w:r>
        <w:rPr>
          <w:rFonts w:ascii="times new roman" w:eastAsia="times new roman" w:hAnsi="times new roman" w:cs="times new roman"/>
        </w:rPr>
        <w:t>The enclave-economy strand of the framework has itself been contested in ways that prefigure the specification debates of Section 10. Sanders and Nee (1987) re-analyzed the Cuban-enclave evidence. They argued that the apparent returns to enclave participation depended heavily on how the enclave was operationalized and on whether workers and entrepreneurs were pooled: enclave employment benefited immigrant bosses far more than immigrant workers, whose returns to human capital were lower inside the enclave than outside it. The exchange that followed established a durable lesson for quantitative tests of segmented assimilation: the framework's group-level mechanisms translate into individual-level regression coefficients only under contestable measurement choices, and superficially opposed findings frequently reflect different operationalizations of the same construct. The present thesis inherits a version of this problem in the SCF's five-category origin-region coding, which cannot distinguish enclave-embedded households from otherwise similar co-ethnics. It therefore tests the framework's reduced-form origin predictions rather than its mechanisms.</w:t>
      </w:r>
    </w:p>
    <w:p>
      <w:pPr>
        <w:spacing w:before="0" w:after="0" w:line="480" w:lineRule="auto"/>
        <w:ind w:firstLine="720"/>
        <w:jc w:val="both"/>
      </w:pPr>
      <w:r>
        <w:rPr>
          <w:rFonts w:ascii="times new roman" w:eastAsia="times new roman" w:hAnsi="times new roman" w:cs="times new roman"/>
        </w:rPr>
        <w:t>Three features of the framework bear directly on this thesis's design. First, the theory's mechanisms operate substantially through the mediators that Model B controls. Modes of incorporation are theorized to shape educational attainment, household income, and family stability, which in turn shape wealth accumulation. A finding that origin coefficients attenuate once those mediators enter is therefore consistent with segmented assimilation, what a fully mediated origin effect looks like in a regression, rather than evidence against it. This observation, developed formally in Section 10, is the theoretical justification for reporting Model A alongside Model B. Second, the framework expects within-race heterogeneity: pairs of groups sharing a census race category (Cuban- and Dominican-origin Hispanics; Caribbean- and African-origin Black immigrants) should follow different pathways because their modes of incorporation differ. This prediction distinguishes segmented assimilation from race-stratification accounts and is the specific claim the SCF's new origin-region variables permit testing. Third, the framework is most naturally read as a theory of the incorporation process, implying that origin effects should be most visible early in U.S. tenure and among the second generation as it comes of age; the duration-stratified analysis in this thesis operationalizes the first of those implications, and its null result in the recent-arrival stratum speaks to what the review terms the duration-narrowing version of the theory.</w:t>
      </w:r>
    </w:p>
    <w:p>
      <w:pPr>
        <w:pStyle w:val="Heading2"/>
        <w:keepNext w:val="0"/>
        <w:keepLines w:val="0"/>
        <w:spacing w:before="240" w:after="120" w:line="480" w:lineRule="auto"/>
        <w:jc w:val="left"/>
        <w:rPr>
          <w:b/>
          <w:bCs/>
          <w:sz w:val="26"/>
          <w:szCs w:val="26"/>
        </w:rPr>
      </w:pPr>
      <w:r>
        <w:rPr>
          <w:rFonts w:ascii="times new roman" w:eastAsia="times new roman" w:hAnsi="times new roman" w:cs="times new roman"/>
          <w:b w:val="0"/>
          <w:bCs w:val="0"/>
          <w:i w:val="0"/>
          <w:color w:val="auto"/>
          <w:sz w:val="26"/>
          <w:szCs w:val="26"/>
        </w:rPr>
        <w:t>5. The Empirical Contest and Its Critics</w:t>
      </w:r>
    </w:p>
    <w:p>
      <w:pPr>
        <w:spacing w:before="0" w:after="0" w:line="480" w:lineRule="auto"/>
        <w:ind w:firstLine="720"/>
        <w:jc w:val="both"/>
      </w:pPr>
      <w:r>
        <w:rPr>
          <w:rFonts w:ascii="times new roman" w:eastAsia="times new roman" w:hAnsi="times new roman" w:cs="times new roman"/>
        </w:rPr>
        <w:t>Segmented assimilation has been the most productive and the most contested framework in the sociology of immigration for three decades, and the contours of that contest inform how this thesis's null results should be read. The sharpest exchange appears in a paired set of Social Forces articles. Haller, Portes and Lynch (2011), analyzing the third wave of the Children of Immigrants Longitudinal Study, reported that a substantial minority of the second generation, concentrated among Mexican, Haitian, and West Indian origin groups, experienced outcomes consistent with downward assimilation, and defended the framework's predictive record. Alba, Kasinitz and Waters (2011), responding in the same issue, argued that the evidence shows the second generation to be "mostly alright": that downward assimilation is far less prevalent than the framework implies, that the frameworks are complementary rather than antagonistic, and that many apparent origin effects reflect the ordinary operation of class disadvantage rather than origin-specific incorporation regimes. The New York Second Generation Study (Kasinitz, Mollenkopf, Waters and Holdaway 2008) reached broadly optimistic conclusions of the same kind, finding most second-generation groups outperforming their parents and native-born co-racial peers.</w:t>
      </w:r>
    </w:p>
    <w:p>
      <w:pPr>
        <w:spacing w:before="0" w:after="0" w:line="480" w:lineRule="auto"/>
        <w:ind w:firstLine="720"/>
        <w:jc w:val="both"/>
      </w:pPr>
      <w:r>
        <w:rPr>
          <w:rFonts w:ascii="times new roman" w:eastAsia="times new roman" w:hAnsi="times new roman" w:cs="times new roman"/>
        </w:rPr>
        <w:t>Quantitative assessments outside the framework's home datasets have tended toward the skeptical side of the ledger. Greenman and Xie (2008), using the National Longitudinal Study of Adolescent Health, found little evidence that assimilation is systematically harmful and reported that its association with adolescent well-being varies by group and outcome in ways not well captured by the pathway typology. Waters and Jiménez (2005), reviewing the assimilation literature's empirical benchmarks, socioeconomic status, residential concentration, language, and intermarriage, concluded that on standard indicators contemporary immigrants are assimilating in ways broadly continuous with earlier waves, while noting that new gateways and continuous replenishment complicate measurement. Xie and Greenman (2011) tested the framework's contextual interaction claims directly and found only partial support: the hypothesized benefits of ethnic-community embeddedness in disadvantaged contexts did not materialize consistently.</w:t>
      </w:r>
    </w:p>
    <w:p>
      <w:pPr>
        <w:spacing w:before="0" w:after="0" w:line="480" w:lineRule="auto"/>
        <w:ind w:firstLine="720"/>
        <w:jc w:val="both"/>
      </w:pPr>
      <w:r>
        <w:rPr>
          <w:rFonts w:ascii="times new roman" w:eastAsia="times new roman" w:hAnsi="times new roman" w:cs="times new roman"/>
        </w:rPr>
        <w:t>The framework's proponents have answered these critiques on two fronts. Empirically, Haller, Portes and Lynch (2011) and Portes, Fernandez-Kelly and Haller (2005) contend that optimistic assessments rest on samples and outcome measures that underweight the most disadvantaged segments of the second generation, and that averaging across groups conceals exactly the divergence the theory predicts. Conceptually, they argue that critics test a caricature: the theory predicts downward assimilation as a risk concentrated in specifiable modes of incorporation, not as the modal second-generation outcome, so findings that most children of immigrants progress do not falsify it. The rejoinder highlights a recurring inferential asymmetry in the debate that this thesis confronts directly: because the theory's predictions concern conditional risks for particular configurations of origin, context, and resources, sample-wide null results are always open to the objection that the relevant configurations are too thinly represented, which is why the thesis reports cell sizes and confidence-interval widths alongside point estimates, and treats its recent-arrival stratum results as bearing on one specific, falsifiable version of the theory rather than on the framework as a whole.</w:t>
      </w:r>
    </w:p>
    <w:p>
      <w:pPr>
        <w:spacing w:before="0" w:after="0" w:line="480" w:lineRule="auto"/>
        <w:ind w:firstLine="720"/>
        <w:jc w:val="both"/>
      </w:pPr>
      <w:r>
        <w:rPr>
          <w:rFonts w:ascii="times new roman" w:eastAsia="times new roman" w:hAnsi="times new roman" w:cs="times new roman"/>
        </w:rPr>
        <w:t>Two lessons from this contest shape the present thesis. The first is a measurement lesson: nearly all of the contest has been fought on educational, occupational, earnings, linguistic, and behavioral outcomes. Household wealth, the outcome domain where cumulative, institutionally mediated disadvantage should be most visible if the downward-assimilation mechanism operates, has been largely absent from the debate, not for theoretical reasons but because no nationally representative U.S. wealth survey identified national origin. The second is an inferential lesson: both camps agree that origin groups differ in mediating endowments; they disagree about whether residual origin effects net of those endowments exist and about what mediated effects imply. A design that estimates both the total and the residual association, and that is explicit about the limits of cross-sectional adjudication, responds directly to the terms on which the literature has argued.</w:t>
      </w:r>
    </w:p>
    <w:p>
      <w:pPr>
        <w:pStyle w:val="Heading2"/>
        <w:keepNext w:val="0"/>
        <w:keepLines w:val="0"/>
        <w:spacing w:before="240" w:after="120" w:line="480" w:lineRule="auto"/>
        <w:jc w:val="left"/>
        <w:rPr>
          <w:b/>
          <w:bCs/>
          <w:sz w:val="26"/>
          <w:szCs w:val="26"/>
        </w:rPr>
      </w:pPr>
      <w:r>
        <w:rPr>
          <w:rFonts w:ascii="times new roman" w:eastAsia="times new roman" w:hAnsi="times new roman" w:cs="times new roman"/>
          <w:b w:val="0"/>
          <w:bCs w:val="0"/>
          <w:i w:val="0"/>
          <w:color w:val="auto"/>
          <w:sz w:val="26"/>
          <w:szCs w:val="26"/>
        </w:rPr>
        <w:t>6. Why Wealth Is Different: Stratification and Asset Accumulation</w:t>
      </w:r>
    </w:p>
    <w:p>
      <w:pPr>
        <w:spacing w:before="0" w:after="0" w:line="480" w:lineRule="auto"/>
        <w:ind w:firstLine="720"/>
        <w:jc w:val="both"/>
      </w:pPr>
      <w:r>
        <w:rPr>
          <w:rFonts w:ascii="times new roman" w:eastAsia="times new roman" w:hAnsi="times new roman" w:cs="times new roman"/>
        </w:rPr>
        <w:t>The decision to test the assimilation frameworks on wealth-related outcomes rather than earnings requires justification, and the sociology of wealth supplies it. The foundational argument is owed to Oliver and Shapiro (1995), whose study of Black–white wealth gaps established that wealth is not simply stored income. Because assets accumulate across the life course and across generations, wealth encodes the sedimented history of a group's treatment by credit markets, housing markets, and the state in a way that a current-income snapshot cannot. Their companion concepts, the racialization of state policy, the sedimentation of inequality, and the cost of being Black in credit and housing markets, describe precisely the kind of institutionally mediated, group-specific disadvantage that segmented assimilation's downward pathway posits for disfavored origin groups. Shapiro (2004) extended the account to intergenerational transfers, showing that parental wealth assistance at key junctures (down payments, education) transmits advantage in ways invisible to income-based analysis.</w:t>
      </w:r>
    </w:p>
    <w:p>
      <w:pPr>
        <w:spacing w:before="0" w:after="0" w:line="480" w:lineRule="auto"/>
        <w:ind w:firstLine="720"/>
        <w:jc w:val="both"/>
      </w:pPr>
      <w:r>
        <w:rPr>
          <w:rFonts w:ascii="times new roman" w:eastAsia="times new roman" w:hAnsi="times new roman" w:cs="times new roman"/>
        </w:rPr>
        <w:t>The quantitative wealth-stratification literature generalizes these insights. Keister (2000) documents the extreme concentration and skew of the U.S. wealth distribution and the central role of portfolio composition, particularly early entry into homeownership and financial assets, in cumulative accumulation. Spilerman (2000) provides the canonical statement of why family wealth deserves independent standing in stratification research: wealth generates income without labor, buffers consumption against shocks, collateralizes credit, and transmits status to children. Killewald, Pfeffer and Schachner (2017), reviewing the accumulation literature, emphasize three properties of wealth with direct bearing on this thesis's design: wealth outcomes reflect processes operating over long horizons, so cross-sectional coefficients conflate cohort, age, and duration effects; wealth is a household-level stock shaped by marriage and household formation, so family-structure variables are integral rather than incidental to wealth models; and asset ownership margins (whether a household owns a home or retirement account at all) behave differently from asset value margins, justifying this thesis's focus on binary ownership and access outcomes given the SCF foreign-born sample's size.</w:t>
      </w:r>
    </w:p>
    <w:p>
      <w:pPr>
        <w:spacing w:before="0" w:after="0" w:line="480" w:lineRule="auto"/>
        <w:ind w:firstLine="720"/>
        <w:jc w:val="both"/>
      </w:pPr>
      <w:r>
        <w:rPr>
          <w:rFonts w:ascii="times new roman" w:eastAsia="times new roman" w:hAnsi="times new roman" w:cs="times new roman"/>
        </w:rPr>
        <w:t>For the immigrant case specifically, applying the wealth lens not only intensifies the assimilation debate but also concretely links theory to observable financial outcomes. Under the segmented assimilation and racial-wealth-gap frameworks, origin-linked disadvantage is theorized to manifest through mechanisms such as credit rationing, housing-market discrimination, and exclusion from mainstream financial institutions. These mechanisms predict that national origin should exert a distinct and robust effect on asset ownership and credit access, even after accounting for income, implying that origin gradients will persist in these outcomes more than in earnings. In contrast, the convergence framework posits that if wealth is determined by the same human-capital variables as earnings, any differences by origin should disappear once those factors are controlled, and wealth outcomes should not exhibit residual origin effects. Thus, the empirical implication drawn from these theoretical positions is clear: observing persistent origin-based disparities in wealth outcomes, net of human-capital controls, would support segmented assimilation, while their attenuation would favor the convergence framework. The immigrant-wealth literature reviewed next provides empirical evidence bearing directly on this theoretical divide.</w:t>
      </w:r>
    </w:p>
    <w:p>
      <w:pPr>
        <w:pStyle w:val="Heading2"/>
        <w:keepNext w:val="0"/>
        <w:keepLines w:val="0"/>
        <w:spacing w:before="240" w:after="120" w:line="480" w:lineRule="auto"/>
        <w:jc w:val="left"/>
        <w:rPr>
          <w:b/>
          <w:bCs/>
          <w:sz w:val="26"/>
          <w:szCs w:val="26"/>
        </w:rPr>
      </w:pPr>
      <w:r>
        <w:rPr>
          <w:rFonts w:ascii="times new roman" w:eastAsia="times new roman" w:hAnsi="times new roman" w:cs="times new roman"/>
          <w:b w:val="0"/>
          <w:bCs w:val="0"/>
          <w:i w:val="0"/>
          <w:color w:val="auto"/>
          <w:sz w:val="26"/>
          <w:szCs w:val="26"/>
        </w:rPr>
        <w:t>7. The Immigrant Wealth Literature</w:t>
      </w:r>
    </w:p>
    <w:p>
      <w:pPr>
        <w:spacing w:before="0" w:after="0" w:line="480" w:lineRule="auto"/>
        <w:ind w:firstLine="720"/>
        <w:jc w:val="both"/>
      </w:pPr>
      <w:r>
        <w:rPr>
          <w:rFonts w:ascii="times new roman" w:eastAsia="times new roman" w:hAnsi="times new roman" w:cs="times new roman"/>
        </w:rPr>
        <w:t>A specialized literature on immigrant wealth developed from the late 1990s onward, working around the national-origin limitation of U.S. wealth surveys with three strategies: panel surveys with origin detail but limited wealth measurement, wealth surveys with nativity but not origin, and specialty samples of new arrivals. Its findings frame the expectations for this thesis.</w:t>
      </w:r>
    </w:p>
    <w:p>
      <w:pPr>
        <w:spacing w:before="0" w:after="0" w:line="480" w:lineRule="auto"/>
        <w:ind w:firstLine="720"/>
        <w:jc w:val="both"/>
      </w:pPr>
      <w:r>
        <w:rPr>
          <w:rFonts w:ascii="times new roman" w:eastAsia="times new roman" w:hAnsi="times new roman" w:cs="times new roman"/>
        </w:rPr>
        <w:t>The most comprehensive treatment is Hao's (2007) monograph, which uses two decades of Survey of Income and Program Participation (SIPP) data to map wealth by nativity and national origin. Hao's findings anticipate this thesis's motivating puzzle from both directions. On one hand, she documents large and growing wealth disparities among immigrants of the same race or ethnicity, Cuban households outpacing Dominican, Chinese outpacing Vietnamese and Korean, Jamaican outpacing Haitian, and argues that country of origin increasingly rivals race as a determinant of wealth prospects. On the other hand, she traces these disparities substantially to differences in the educational and institutional endowments that origin groups bring and to differential treatment in U.S. immigration policy and labor markets, that is, to channels that regression controls for education and income would largely absorb. Hao (2004) reports the corresponding survey-based comparisons of immigrant and native wealth, finding that nativity gaps at the median are considerably smaller than the racial wealth gaps within either nativity group, and that immigrant wealth composition tilts toward housing relative to financial assets.</w:t>
      </w:r>
    </w:p>
    <w:p>
      <w:pPr>
        <w:spacing w:before="0" w:after="0" w:line="480" w:lineRule="auto"/>
        <w:ind w:firstLine="720"/>
        <w:jc w:val="both"/>
      </w:pPr>
      <w:r>
        <w:rPr>
          <w:rFonts w:ascii="times new roman" w:eastAsia="times new roman" w:hAnsi="times new roman" w:cs="times new roman"/>
        </w:rPr>
        <w:t>Cobb-Clark and Hildebrand (2006), also using SIPP, provide the benchmark econometric estimates of the nativity wealth gap. Foreign-born households hold substantially less net worth than native-born households, and the gap is concentrated in financial assets rather than housing equity; observable characteristics, income, education, age structure, and family size explain part but not all of it, and the unexplained portion varies sharply by region of origin, with Mexican and Central American households furthest behind and European and Asian households at or near parity. Their decomposition results are, in effect, a SIPP-era Model B: origin-region heterogeneity in the residual gap is exactly what the present thesis re-examines in the SCF two decades later, on ownership margins and within the foreign-born sample rather than against a native benchmark.</w:t>
      </w:r>
    </w:p>
    <w:p>
      <w:pPr>
        <w:spacing w:before="0" w:after="0" w:line="480" w:lineRule="auto"/>
        <w:ind w:firstLine="720"/>
        <w:jc w:val="both"/>
      </w:pPr>
      <w:r>
        <w:rPr>
          <w:rFonts w:ascii="times new roman" w:eastAsia="times new roman" w:hAnsi="times new roman" w:cs="times new roman"/>
        </w:rPr>
        <w:t>Akresh (2011), using the New Immigrant Survey of newly arrived legal permanent residents, shifts the lens to the beginning of the wealth trajectory. She finds steep wealth differences across origin regions at arrival, substantial explanatory power for pre-migration characteristics and visa class, and evidence that wealth assimilation proceeds through asset-type-specific stages, bank accounts first, vehicles and homes later. For the present thesis, the New Immigrant Survey results are the strongest available evidence that origin gradients are large at entry, which sharpens the interpretive question raised by this thesis's recent-arrival stratum: if origin differentiates arriving cohorts strongly, a null origin pattern among recent arrivals in the SCF speaks either to the sample's power limits or to selection into which arrivals appear in a household wealth survey's sampling frame.</w:t>
      </w:r>
    </w:p>
    <w:p>
      <w:pPr>
        <w:spacing w:before="0" w:after="0" w:line="480" w:lineRule="auto"/>
        <w:ind w:firstLine="720"/>
        <w:jc w:val="both"/>
      </w:pPr>
      <w:r>
        <w:rPr>
          <w:rFonts w:ascii="times new roman" w:eastAsia="times new roman" w:hAnsi="times new roman" w:cs="times new roman"/>
        </w:rPr>
        <w:t>Painter and Qian (2016) provide the most direct basis for this thesis's within-immigrant design. Analyzing New Immigrant Survey data, they find consistent racial and ethnic stratification of wealth among recent immigrants that survives controls for human capital and pre-migration resources, and they interpret the pattern as evidence that U.S. racial stratification structures immigrant wealth from the outset. Painter, Holmes and Bateman (2016) push the argument beneath census categories, showing that darker skin tone predicts lower wealth and lower ownership probabilities among new immigrants, evidence that phenotype-linked disadvantage, a core segmented-assimilation mechanism, operates in the wealth domain. Keister, Agius Vallejo and Borelli (2015) supply the complementary long-run view for the largest origin group, finding that Mexican-American wealth attainment is affected by childhood poverty and inheritance deficits but that mobility across the wealth distribution is nonetheless substantial among generations.</w:t>
      </w:r>
    </w:p>
    <w:p>
      <w:pPr>
        <w:spacing w:before="0" w:after="0" w:line="480" w:lineRule="auto"/>
        <w:ind w:firstLine="720"/>
        <w:jc w:val="both"/>
      </w:pPr>
      <w:r>
        <w:rPr>
          <w:rFonts w:ascii="times new roman" w:eastAsia="times new roman" w:hAnsi="times new roman" w:cs="times new roman"/>
        </w:rPr>
        <w:t>Taken together, the empirical literature converges on a nuanced synthesis: origin-region differences in wealth among the U.S. foreign-born are both substantial and complex, with raw disparities consistently observed but the sources and magnitude of residual effects varying across studies. A clear pattern emerges that human-capital composition explains much, though not all, of these differences; where residual effects remain, their persistence is shaped by methodological factors such as the granularity of origin coding, the definition of wealth outcomes, and the robustness of survey design. Specifically, findings diverge depending on whether origin is defined at the country, region, or broader racial/ethnic level, and whether wealth is measured via asset components, net worth, or ownership versus value. The sensitivity of empirical results to these choices indicates that apparent inconsistencies reflect underlying heterogeneity as much as methodological variation. Moreover, the overall synthesis highlights that studies employing limited sample sizes or less precise origin measures often understate the true variation in origin effects. The 2022 SCF, as the first nationally representative survey to provide both detailed household finance data and improved origin specification, advances this literature by enabling more rigorous identification of residual origin-region effects while simultaneously revealing the persistent challenges of subgroup analysis and statistical power due to limited foreign-born sample size. Accordingly, the robustness of conclusions drawn from these analyses is inherently bounded by these empirical limitations: the relatively small sample of foreign-born households in the SCF and the use of broad regional origin codes constrain the ability to detect subtle differences or to generalize findings with high confidence. Thus, the current state of evidence underscores both the empirical reality of origin-based wealth differences and the importance of methodological rigor and precision in interpreting their extent and meaning.</w:t>
      </w:r>
    </w:p>
    <w:p>
      <w:pPr>
        <w:pStyle w:val="Heading2"/>
        <w:keepNext w:val="0"/>
        <w:keepLines w:val="0"/>
        <w:spacing w:before="240" w:after="120" w:line="480" w:lineRule="auto"/>
        <w:jc w:val="left"/>
        <w:rPr>
          <w:b/>
          <w:bCs/>
          <w:sz w:val="26"/>
          <w:szCs w:val="26"/>
        </w:rPr>
      </w:pPr>
      <w:r>
        <w:rPr>
          <w:rFonts w:ascii="times new roman" w:eastAsia="times new roman" w:hAnsi="times new roman" w:cs="times new roman"/>
          <w:b w:val="0"/>
          <w:bCs w:val="0"/>
          <w:i w:val="0"/>
          <w:color w:val="auto"/>
          <w:sz w:val="26"/>
          <w:szCs w:val="26"/>
        </w:rPr>
        <w:t>8. Domain-Specific Evidence on the Three Pathway Outcomes</w:t>
      </w:r>
    </w:p>
    <w:p>
      <w:pPr>
        <w:spacing w:before="0" w:after="0" w:line="480" w:lineRule="auto"/>
        <w:ind w:firstLine="720"/>
        <w:jc w:val="both"/>
      </w:pPr>
      <w:r>
        <w:rPr>
          <w:rFonts w:ascii="times new roman" w:eastAsia="times new roman" w:hAnsi="times new roman" w:cs="times new roman"/>
        </w:rPr>
        <w:t>The thesis maps each segmented-assimilation pathway onto an observable financial outcome: retirement-account ownership for parallel integration, credit denial for downward assimilation, and homeownership for selective assimilation. Each mapping draws on a distinct empirical literature.</w:t>
      </w:r>
    </w:p>
    <w:p>
      <w:pPr>
        <w:pStyle w:val="Heading3"/>
        <w:keepNext w:val="0"/>
        <w:keepLines w:val="0"/>
        <w:spacing w:before="240" w:after="120" w:line="480" w:lineRule="auto"/>
        <w:jc w:val="left"/>
        <w:rPr>
          <w:b/>
          <w:bCs/>
        </w:rPr>
      </w:pPr>
      <w:r>
        <w:rPr>
          <w:rFonts w:ascii="times new roman" w:eastAsia="times new roman" w:hAnsi="times new roman" w:cs="times new roman"/>
          <w:b w:val="0"/>
          <w:bCs w:val="0"/>
          <w:i/>
          <w:iCs/>
          <w:color w:val="auto"/>
          <w:sz w:val="24"/>
          <w:szCs w:val="24"/>
        </w:rPr>
        <w:t>8.1 Retirement Accounts and Financial Market Participation</w:t>
      </w:r>
    </w:p>
    <w:p>
      <w:pPr>
        <w:spacing w:before="0" w:after="0" w:line="480" w:lineRule="auto"/>
        <w:ind w:firstLine="720"/>
        <w:jc w:val="both"/>
      </w:pPr>
      <w:r>
        <w:rPr>
          <w:rFonts w:ascii="times new roman" w:eastAsia="times new roman" w:hAnsi="times new roman" w:cs="times new roman"/>
        </w:rPr>
        <w:t>Immigrant participation in mainstream financial institutions is the subject of a substantial economics literature. Osili and Paulson (2008) show that immigrants from countries with weaker property-rights institutions are markedly less likely to participate in U.S. financial markets, including stock and retirement-asset ownership, and that the effect of home-country institutions persists for decades after migration and is amplified in co-ethnic concentrations. This is among the most important findings in the literature for the present thesis, because it identifies a mechanism by which origin could affect financial outcomes without operating through U.S.-acquired human capital at all: preferences and trust formed by home-country institutional experience. Osili and Paulson (2009) document the breadth of the participation gap across checking accounts, savings vehicles, and retirement plans, and show that it narrows with duration of residence but does not close on observables alone. Rhine and Greene (2006) establish the correlates of being unbanked among immigrants, with origin region among the strongest predictors. On the retirement margin specifically, Sevak and Schmidt (2014) find that foreign-born households approach retirement with markedly lower Social Security entitlements and lower private pension coverage than natives, though, consistent with the selection themes in Section 9, with higher net worth conditional on demographics.</w:t>
      </w:r>
    </w:p>
    <w:p>
      <w:pPr>
        <w:spacing w:before="0" w:after="0" w:line="480" w:lineRule="auto"/>
        <w:ind w:firstLine="720"/>
        <w:jc w:val="both"/>
      </w:pPr>
      <w:r>
        <w:rPr>
          <w:rFonts w:ascii="times new roman" w:eastAsia="times new roman" w:hAnsi="times new roman" w:cs="times new roman"/>
        </w:rPr>
        <w:t>The institutional structure of the U.S. retirement system gives this outcome a distinctive theoretical profile. Because private retirement saving is organized predominantly through employer-sponsored, tax-advantaged accounts, ownership is jointly determined by labor-market position (whether one's employer offers a plan), by income (whether contribution is affordable and the tax advantage valuable), and by voluntary participation conditional on access. Origin can therefore reach the outcome through at least three analytically distinct channels: sorting into covered versus uncovered employment sectors, the income channel that Model B controls, and the trust-and-familiarity channel that Osili and Paulson (2008) identify. Sevak and Schmidt (2014) further note that immigrants' shorter U.S. earnings histories mechanically depress both Social Security entitlements and cumulative plan participation at any given age, underscoring why duration of residence must be held constant before origin comparisons are meaningful—the role it plays in Model A.</w:t>
      </w:r>
    </w:p>
    <w:p>
      <w:pPr>
        <w:spacing w:before="0" w:after="0" w:line="480" w:lineRule="auto"/>
        <w:ind w:firstLine="720"/>
        <w:jc w:val="both"/>
      </w:pPr>
      <w:r>
        <w:rPr>
          <w:rFonts w:ascii="times new roman" w:eastAsia="times new roman" w:hAnsi="times new roman" w:cs="times new roman"/>
        </w:rPr>
        <w:t>The implication for this thesis's parallel-integration outcome is twofold. Retirement-account ownership is a major indicator of incorporation into mainstream financial institutions, sensitive to employer coverage, tenure, income, and institutional trust; and the literature gives concrete reasons to expect origin gradients on this margin, making the Model A near-null pattern in this thesis informative rather than pre-ordained.</w:t>
      </w:r>
    </w:p>
    <w:p>
      <w:pPr>
        <w:pStyle w:val="Heading3"/>
        <w:keepNext w:val="0"/>
        <w:keepLines w:val="0"/>
        <w:spacing w:before="240" w:after="120" w:line="480" w:lineRule="auto"/>
        <w:jc w:val="left"/>
        <w:rPr>
          <w:b/>
          <w:bCs/>
        </w:rPr>
      </w:pPr>
      <w:r>
        <w:rPr>
          <w:rFonts w:ascii="times new roman" w:eastAsia="times new roman" w:hAnsi="times new roman" w:cs="times new roman"/>
          <w:b w:val="0"/>
          <w:bCs w:val="0"/>
          <w:i/>
          <w:iCs/>
          <w:color w:val="auto"/>
          <w:sz w:val="24"/>
          <w:szCs w:val="24"/>
        </w:rPr>
        <w:t>8.2 Credit Access and Denial</w:t>
      </w:r>
    </w:p>
    <w:p>
      <w:pPr>
        <w:spacing w:before="0" w:after="0" w:line="480" w:lineRule="auto"/>
        <w:ind w:firstLine="720"/>
        <w:jc w:val="both"/>
      </w:pPr>
      <w:r>
        <w:rPr>
          <w:rFonts w:ascii="times new roman" w:eastAsia="times new roman" w:hAnsi="times new roman" w:cs="times new roman"/>
        </w:rPr>
        <w:t>The credit-denial outcome connects the thesis to the literature on discrimination in lending. The canonical study is the Boston Fed analysis of Munnell, Tootell, Browne and McEneaney (1996), which found that Black and Hispanic mortgage applicants were substantially more likely to be denied than white applicants with comparable creditworthiness. This finding survived an extensive replication controversy and established that group-linked denial differentials net of observables are a live empirical possibility in U.S. credit markets. Charles and Hurst (2002) show that the Black–white gap in the transition to homeownership operates substantially through the mortgage application and approval process, including differential expectations of rejection that suppress application in the first place, a mechanism with direct relevance to a self-reported denial-or-discouragement measure such as the SCF's. The SCF credit measures used in this thesis capture denial, partial approval, and discouraged non-application in the prior year, so the outcome should be read as an indicator of experienced and anticipated credit rationing rather than of underwriting outcomes alone.</w:t>
      </w:r>
    </w:p>
    <w:p>
      <w:pPr>
        <w:spacing w:before="0" w:after="0" w:line="480" w:lineRule="auto"/>
        <w:ind w:firstLine="720"/>
        <w:jc w:val="both"/>
      </w:pPr>
      <w:r>
        <w:rPr>
          <w:rFonts w:ascii="times new roman" w:eastAsia="times new roman" w:hAnsi="times new roman" w:cs="times new roman"/>
        </w:rPr>
        <w:t>Within the immigrant literature specifically, systematic evidence on credit denial by national origin is thin, far thinner than for participation or homeownership, which is itself a gap this paper addresses. What exists is largely indirect: the unbanked and participation literatures imply weaker credit-file formation for some origin groups, and the enclave literature (Section 4) implies partial substitution of informal co-ethnic credit for mainstream borrowing, which would depress both applications and denials. The absence of strong prior evidence counsels the interpretive caution the thesis adopts around its widest confidence intervals, notably the elevated but non-significant Caribbean/West Indies point estimates.</w:t>
      </w:r>
    </w:p>
    <w:p>
      <w:pPr>
        <w:pStyle w:val="Heading3"/>
        <w:keepNext w:val="0"/>
        <w:keepLines w:val="0"/>
        <w:spacing w:before="240" w:after="120" w:line="480" w:lineRule="auto"/>
        <w:jc w:val="left"/>
        <w:rPr>
          <w:b/>
          <w:bCs/>
        </w:rPr>
      </w:pPr>
      <w:r>
        <w:rPr>
          <w:rFonts w:ascii="times new roman" w:eastAsia="times new roman" w:hAnsi="times new roman" w:cs="times new roman"/>
          <w:b w:val="0"/>
          <w:bCs w:val="0"/>
          <w:i/>
          <w:iCs/>
          <w:color w:val="auto"/>
          <w:sz w:val="24"/>
          <w:szCs w:val="24"/>
        </w:rPr>
        <w:t>8.3 Homeownership</w:t>
      </w:r>
    </w:p>
    <w:p>
      <w:pPr>
        <w:spacing w:before="0" w:after="0" w:line="480" w:lineRule="auto"/>
        <w:ind w:firstLine="720"/>
        <w:jc w:val="both"/>
      </w:pPr>
      <w:r>
        <w:rPr>
          <w:rFonts w:ascii="times new roman" w:eastAsia="times new roman" w:hAnsi="times new roman" w:cs="times new roman"/>
        </w:rPr>
        <w:t>Homeownership is the best-developed outcome in the immigrant-finance literature. Alba and Logan (1992) set the framework, testing assimilation against stratification accounts of ownership across twelve racial and ethnic groups and finding both at work: ownership tracks life-cycle and socioeconomic position within every group, but majority households convert those resources into ownership more readily than most minority groups. Coulson (1999) found that the low aggregate ownership rates of Hispanic and Asian households are substantially attributable to immigration-related composition, youth, recency of arrival, income, and location, rather than to group membership per se; Painter, Gabriel and Myers (2001) reached parallel conclusions in gateway metropolitan areas, reporting Latino–white ownership gaps that close on endowments and Asian–white gaps near zero. Flippen (2001) extended the analysis to housing equity and emphasized that ownership and equity margins can diverge, with minority owners holding less valuable and more slowly appreciating homes. McConnell and Marcelli (2007) found that even legal status did not significantly differentiate ownership among Mexican immigrants in Los Angeles once economic and life-course characteristics were controlled. The residential-segregation literature (Massey and Denton 1993) supplies the structural backdrop: where a group can buy conditions what buying achieves, a channel between origin and wealth that operates through neighborhood context rather than through household-level covariates.</w:t>
      </w:r>
    </w:p>
    <w:p>
      <w:pPr>
        <w:spacing w:before="0" w:after="0" w:line="480" w:lineRule="auto"/>
        <w:ind w:firstLine="720"/>
        <w:jc w:val="both"/>
      </w:pPr>
      <w:r>
        <w:rPr>
          <w:rFonts w:ascii="times new roman" w:eastAsia="times new roman" w:hAnsi="times new roman" w:cs="times new roman"/>
        </w:rPr>
        <w:t>Two syntheses from this literature matter in this context. Firstly, the homeownership evidence is, on balance, the friendliest terrain in the immigrant-finance literature for the convergence account: origin and ethnic gaps in ownership propensity repeatedly shrink toward zero under human-capital and location controls. Second, the literature's persistent finding that duration of residence is among the strongest predictors of immigrant ownership underwrites this thesis's treatment of years in the United States as a core exogenous control in Model A and as the stratifying variable in the duration analysis.</w:t>
      </w:r>
    </w:p>
    <w:p>
      <w:pPr>
        <w:pStyle w:val="Heading2"/>
        <w:keepNext w:val="0"/>
        <w:keepLines w:val="0"/>
        <w:spacing w:before="240" w:after="120" w:line="480" w:lineRule="auto"/>
        <w:jc w:val="left"/>
        <w:rPr>
          <w:b/>
          <w:bCs/>
          <w:sz w:val="26"/>
          <w:szCs w:val="26"/>
        </w:rPr>
      </w:pPr>
      <w:r>
        <w:rPr>
          <w:rFonts w:ascii="times new roman" w:eastAsia="times new roman" w:hAnsi="times new roman" w:cs="times new roman"/>
          <w:b w:val="0"/>
          <w:bCs w:val="0"/>
          <w:i w:val="0"/>
          <w:color w:val="auto"/>
          <w:sz w:val="26"/>
          <w:szCs w:val="26"/>
        </w:rPr>
        <w:t>9. Within-Race Heterogeneity and the Selection Problem</w:t>
      </w:r>
    </w:p>
    <w:p>
      <w:pPr>
        <w:spacing w:before="0" w:after="0" w:line="480" w:lineRule="auto"/>
        <w:ind w:firstLine="720"/>
        <w:jc w:val="both"/>
      </w:pPr>
      <w:r>
        <w:rPr>
          <w:rFonts w:ascii="times new roman" w:eastAsia="times new roman" w:hAnsi="times new roman" w:cs="times new roman"/>
        </w:rPr>
        <w:t>The claim that origin distinctions matter within census race categories, the specific claim the SCF's new variables allow testing, has its richest evidentiary base in the literature on Black immigrants. Waters (1999) documented the boundary work of West Indian immigrants in New York, whose labor-market reception and self-understanding diverged from those of African Americans in ways that classical race-only frameworks could not accommodate. Model (2008) subjected the "West Indian success" narrative to systematic test and concluded that the group's advantages over African Americans owe more to the positive selectivity of migration, who chooses to move, than to cultural difference or favored treatment. Hamilton (2019) generalized the selection argument across Black immigrant streams, showing that origin-group differences in outcomes track differences in migrants' selectivity relative to their home-country populations. Logan (2007) mapped the socioeconomic heterogeneity of African and Caribbean immigrant populations that race-only analyses pool together. For Hispanic-origin groups, Smith (2006) and Telles and Ortiz (2008) document, respectively, the transnational structures shaping Mexican New Yorkers' mobility and the multigenerational persistence of Mexican-American disadvantage that assimilation models understate.</w:t>
      </w:r>
    </w:p>
    <w:p>
      <w:pPr>
        <w:spacing w:before="0" w:after="0" w:line="480" w:lineRule="auto"/>
        <w:ind w:firstLine="720"/>
        <w:jc w:val="both"/>
      </w:pPr>
      <w:r>
        <w:rPr>
          <w:rFonts w:ascii="times new roman" w:eastAsia="times new roman" w:hAnsi="times new roman" w:cs="times new roman"/>
        </w:rPr>
        <w:t>This literature cuts in two directions for the present thesis. It motivates the disaggregation exercise: if within-race origin heterogeneity is as consequential as the Black-immigrant literature suggests, wealth surveys that stop at race mismeasure the structure of financial stratification. But it also supplies the leading rival explanation for any origin gradient found: selective migration and selective return migration. The thesis's survivorship-bias discussion draws directly on this logic: a cross-sectional sample of immigrants present in 2022 conditions on remaining in the United States, and if exit is selective on financial success differentially by origin, observed origin coefficients confound incorporation processes with attrition. Sevak and Schmidt's (2014) finding that immigrants hold higher net worth than natives conditional on demographics, despite lower earnings-linked entitlements, is commonly read through the same selection lens.</w:t>
      </w:r>
    </w:p>
    <w:p>
      <w:pPr>
        <w:spacing w:before="0" w:after="0" w:line="480" w:lineRule="auto"/>
        <w:ind w:firstLine="720"/>
        <w:jc w:val="both"/>
      </w:pPr>
      <w:r>
        <w:rPr>
          <w:rFonts w:ascii="times new roman" w:eastAsia="times new roman" w:hAnsi="times new roman" w:cs="times new roman"/>
        </w:rPr>
        <w:t>A final implication of this literature concerns measurement. The within-race heterogeneity documented for Black immigrants exists at the level of national origin and even sending-region cohort; Jamaican versus Haitian, Nigerian versus Somali, yet the SCF's five broad origin regions place all Sub-Saharan African-origin households in a residual category alongside Middle Eastern and Pacific Islander households. If the heterogeneity this literature documents is real, coarse regional coding biases origin coefficients toward the null by averaging over divergent trajectories within categories. The thesis's recommendation of finer country-of-origin coding in future SCF waves follows directly from this literature, and the possibility of within-category averaging is among the reasons the thesis frames its null findings as claims about what the 2022 SCF's coding can detect rather than about the underlying incorporation processes.</w:t>
      </w:r>
    </w:p>
    <w:p>
      <w:pPr>
        <w:pStyle w:val="Heading2"/>
        <w:keepNext w:val="0"/>
        <w:keepLines w:val="0"/>
        <w:spacing w:before="240" w:after="120" w:line="480" w:lineRule="auto"/>
        <w:jc w:val="left"/>
        <w:rPr>
          <w:b/>
          <w:bCs/>
          <w:sz w:val="26"/>
          <w:szCs w:val="26"/>
        </w:rPr>
      </w:pPr>
      <w:r>
        <w:rPr>
          <w:rFonts w:ascii="times new roman" w:eastAsia="times new roman" w:hAnsi="times new roman" w:cs="times new roman"/>
          <w:b w:val="0"/>
          <w:bCs w:val="0"/>
          <w:i w:val="0"/>
          <w:color w:val="auto"/>
          <w:sz w:val="26"/>
          <w:szCs w:val="26"/>
        </w:rPr>
        <w:t>10. Methodological Foundations: Mediation, Post-Treatment Bias, and Survey Design</w:t>
      </w:r>
    </w:p>
    <w:p>
      <w:pPr>
        <w:spacing w:before="0" w:after="0" w:line="480" w:lineRule="auto"/>
        <w:ind w:firstLine="720"/>
        <w:jc w:val="both"/>
      </w:pPr>
      <w:r>
        <w:rPr>
          <w:rFonts w:ascii="times new roman" w:eastAsia="times new roman" w:hAnsi="times new roman" w:cs="times new roman"/>
        </w:rPr>
        <w:t>The literature reviewed above disagrees less about facts than about specifications, and a methodological literature governs how such disagreements should be handled. Its principal result is Rosenbaum's (1984) demonstration that adjusting for a variable affected by the treatment, a post-treatment or intermediate variable, generally biases the estimate of the treatment's total effect, even when the unadjusted comparison would have been valid. Applied to the present setting: if origin (fixed at birth) shapes educational attainment, income, and household formation, then a model that controls for those variables does not estimate origin's effect with the confounding removed; it estimates a different quantity, the association net of the theorized mechanisms, and does so consistently only under strong additional assumptions. Acharya, Blackwell and Sen (2016) formalize the modern treatment: they define the controlled direct effect, show that naive mediator adjustment suffers from intermediate-variable bias whenever unobserved factors affect both the mediators and the outcome, and recommend that researchers either estimate total effects with pre-treatment controls only or use estimators purpose-built for direct effects. The broader causal-mediation literature (VanderWeele 2015) reaches the same structural conclusion.</w:t>
      </w:r>
    </w:p>
    <w:p>
      <w:pPr>
        <w:spacing w:before="0" w:after="0" w:line="480" w:lineRule="auto"/>
        <w:ind w:firstLine="720"/>
        <w:jc w:val="both"/>
      </w:pPr>
      <w:r>
        <w:rPr>
          <w:rFonts w:ascii="times new roman" w:eastAsia="times new roman" w:hAnsi="times new roman" w:cs="times new roman"/>
        </w:rPr>
        <w:t>This literature does not reject the use of mediator-adjusted models; rather, it emphasizes the importance of explicitness regarding what such models empirically estimate. This distinction underpins the thesis's methodological approach. By conditioning only on plausibly pre-treatment covariates (age, duration of residence), Model A estimates the total association between national origin and each financial outcome—an estimate aligned with the primary predictions of segmented assimilation. In contrast, Model B, which includes education, income, and marital status, estimates the residual association between origin and each outcome after accounting for the human-capital channel, thereby reflecting the main quantity emphasized by the convergence tradition and informing whether origin provides explanatory power beyond standard covariates. The empirical implication is that while neither model directly tests the causal mechanisms proposed by the frameworks, the magnitude of change between the Model A and Model B coefficients quantifies the proportion of the origin–outcome association that is transmitted via the observed mediators. For example, if Model A finds that national origin is associated with lower homeownership rates, but this association shrinks substantially in Model B after adjusting for education and income, it suggests that these mediators explain a significant part of the origin effect. This approach represents the most that can be robustly inferred from cross-sectional data. Logistic regression is chosen as the modeling framework because the primary outcomes—retirement account ownership, credit denial, and homeownership—are all binary variables, making linear regression inappropriate and the logit model the conventional and interpretable choice. Given the moderate to small sample sizes within some origin-region groups, particularly when further stratified by duration of residence, maximum likelihood estimates from standard logistic regression can be biased or unstable. To address this, Firth's penalized likelihood correction is employed, as it reduces small-sample bias and mitigates issues of separation that can arise when certain outcome categories are rare or when predictor groups contain few observations. This combination ensures both statistical validity and methodological rigor, making the chosen approach preferable to alternatives such as linear probability models or uncorrected maximum likelihood, which would be more vulnerable to bias and model instability under the conditions present in the SCF data. The explicit distinction between these estimands is methodologically consequential: as highlighted in Section 5, much of the prior literature’s disagreement stems from conflating total and direct effects, making empirical clarity about these quantities essential for meaningful theoretical adjudication.</w:t>
      </w:r>
    </w:p>
    <w:p>
      <w:pPr>
        <w:spacing w:before="0" w:after="0" w:line="480" w:lineRule="auto"/>
        <w:ind w:firstLine="720"/>
        <w:jc w:val="both"/>
      </w:pPr>
      <w:r>
        <w:rPr>
          <w:rFonts w:ascii="times new roman" w:eastAsia="times new roman" w:hAnsi="times new roman" w:cs="times new roman"/>
        </w:rPr>
        <w:t>Three further methodological literatures underpin the analysis. First, small-sample inference in logistic regression: with origin-region cells as small as forty households, maximum-likelihood estimates suffer well-documented small-sample bias and separation risk, and Firth's (1993) penalized likelihood is the standard remedy; its use in the duration-stratified models guards against mistaking small-cell artifacts for pathway effects. Second, the design of the SCF itself: the survey's dual-frame sample, its oversampling of wealthy households, and its five-fold multiple imputation of missing values require survey-weighted estimation with Rubin's (1987) combining rules, and failure to account for the imputation structure understates standard errors—precisely the error that would manufacture spurious origin effects (Lindamood, Hanna and Bi 2007). The 2022 wave's addition of respondent and spouse national-origin variables and exact years of U.S. residence, documented in the Federal Reserve Board's report on the survey (Aladangady et al. 2023), is the data development that makes the thesis possible. Third, discrete-choice foundations: the binary-outcome models employed descend from McFadden's (1973) conditional-logit framework, and the fit diagnostics reported follow its pseudo-R-squared tradition.</w:t>
      </w:r>
    </w:p>
    <w:p>
      <w:pPr>
        <w:pStyle w:val="Heading2"/>
        <w:keepNext w:val="0"/>
        <w:keepLines w:val="0"/>
        <w:spacing w:before="240" w:after="120" w:line="480" w:lineRule="auto"/>
        <w:jc w:val="left"/>
        <w:rPr>
          <w:b/>
          <w:bCs/>
          <w:sz w:val="26"/>
          <w:szCs w:val="26"/>
        </w:rPr>
      </w:pPr>
      <w:r>
        <w:rPr>
          <w:rFonts w:ascii="times new roman" w:eastAsia="times new roman" w:hAnsi="times new roman" w:cs="times new roman"/>
          <w:b w:val="0"/>
          <w:bCs w:val="0"/>
          <w:i w:val="0"/>
          <w:color w:val="auto"/>
          <w:sz w:val="26"/>
          <w:szCs w:val="26"/>
        </w:rPr>
        <w:t>11. Synthesis: The Gap This Thesis Addresses</w:t>
      </w:r>
    </w:p>
    <w:p>
      <w:pPr>
        <w:spacing w:before="0" w:after="0" w:line="480" w:lineRule="auto"/>
        <w:ind w:firstLine="720"/>
        <w:jc w:val="both"/>
      </w:pPr>
      <w:r>
        <w:rPr>
          <w:rFonts w:ascii="times new roman" w:eastAsia="times new roman" w:hAnsi="times new roman" w:cs="times new roman"/>
        </w:rPr>
        <w:t>Five central conclusions emerge from the literature reviewed, clarifying the distinct yet overlapping predictions of the frameworks and underscoring the precise contribution of this thesis. First, the two frameworks under examination represent the endpoints of an ongoing and unresolved theoretical debate; while their rhetoric suggests clear divergence, their observable predictions are closer than often recognized, with both anticipating group differences in mediating endowments and disagreeing primarily on the persistence and interpretation of residual origin effects. Second, the empirical assessment of segmented assimilation has focused overwhelmingly on outcomes such as education and earnings, whereas the domain of wealth—the clearest register of cumulative institutional disadvantage—remains largely uninvestigated due solely to prior data limitations. Third, the specialized literature on immigrant wealth demonstrates that while origin-region differences are substantial in raw terms, they are often, but not completely, accounted for by human-capital factors, and the size and persistence of unexplained gaps differ depending on dataset and outcome definition. Fourth, research on financial participation, credit access, and homeownership identifies specific mechanisms through which origin may exert effects outside standard covariates, meaning that a lack of residual differences is empirically meaningful and not a foregone conclusion. Fifth, methodological scholarship establishes that the choice between total-effect and mediator-adjusted estimation requires explicit theoretical justification, and much of the field’s disagreement can be traced to a lack of conceptual clarity on this point. The review’s unique contribution lies in bringing these strands together to highlight a pivotal methodological and empirical gap: until the advent of the 2022 SCF, no study could rigorously test for origin-region differences in immigrant wealth using nationally representative data linking detailed origin coding with robust financial measurement, nor distinguish total versus residual effects in doing so. As a result, this synthesis not only clarifies theoretical stakes but also justifies the approach and relevance of the present thesis as a foundational step toward a more nuanced and generalizable understanding of immigrant wealth stratification. Nonetheless, given persistent limitations in data granularity and representativeness, interpretations regarding the power of each framework and the mechanisms at work must remain provisional pending future, more comprehensive research.</w:t>
      </w:r>
    </w:p>
    <w:p>
      <w:pPr>
        <w:spacing w:before="0" w:after="0" w:line="480" w:lineRule="auto"/>
        <w:ind w:firstLine="720"/>
        <w:jc w:val="both"/>
      </w:pPr>
      <w:r>
        <w:rPr>
          <w:rFonts w:ascii="times new roman" w:eastAsia="times new roman" w:hAnsi="times new roman" w:cs="times new roman"/>
        </w:rPr>
        <w:t>The specific gap at the intersection of these literatures lies in the absence of empirical research using nationally representative U.S. data that simultaneously offers granular national-origin information and is purpose-built to measure household finances. Prior to the 2022 SCF, no such survey existed, preventing scholars from rigorously examining origin-region gradients in household financial outcomes on a national scale. Although related studies—including Cobb-Clark and Hildebrand (2006) and Hao (2004, 2007) using the SIPP, and Akresh (2011) and Painter and Qian (2016) using the New Immigrant Survey—provided important insights, their data were limited by either less precise wealth measurement or non-representative sampling designs, and none addressed the distinction between total and direct effects in their analytic strategies. The unique contribution of this thesis is thus to be the first to leverage the 2022 SCF to directly test for origin-region differences in immigrant financial outcomes within a nationally representative framework. By explicitly distinguishing between total and residual origin effects and by assessing both estimands, this study offers a novel empirical foundation for evaluating segmented-assimilation and human-capital-convergence theories.</w:t>
      </w:r>
    </w:p>
    <w:p>
      <w:pPr>
        <w:spacing w:before="120" w:after="120"/>
        <w:jc w:val="left"/>
      </w:pPr>
    </w:p>
    <w:p>
      <w:pPr>
        <w:spacing w:before="0" w:after="0" w:line="480" w:lineRule="auto"/>
        <w:ind w:firstLine="720"/>
        <w:jc w:val="both"/>
      </w:pPr>
      <w:r>
        <w:rPr>
          <w:rFonts w:ascii="times new roman" w:eastAsia="times new roman" w:hAnsi="times new roman" w:cs="times new roman"/>
        </w:rPr>
        <w:t>To address the persistent limitations identified here, future research should prioritize several concrete steps. First, oversampling recent immigrants in national household surveys would increase statistical power for subgroup analyses, allowing for more precise estimates of early incorporation processes. Second, enhancing the granularity of national-origin measures by moving beyond broad world-region categories to specific countries of origin would better capture within-category heterogeneity and illuminate key group differences. Third, integrating direct measures of legal status, pre-migration wealth, and visa class into survey designs would enable researchers to disentangle the mechanisms underlying observed origin effects and examine the pathways suggested by both assimilation frameworks. Fourth, longitudinal follow-up of foreign-born households would make it possible to track individual wealth trajectories and better identify causal relationships by observing changes over time. Analytical strategies such as causal mediation analysis or structural equation modeling, paired with sensitivity checks for selection bias and attrition, would further strengthen the interpretation of origin effects. Pursuing these enhancements, whether through new data collection or coordinated survey supplements, would substantially advance the empirical rigor and theoretical power of research in this area. In doing so, subsequent studies could more decisively adjudicate between competing frameworks and clarify the mechanisms shaping immigrant wealth stratification.</w:t>
      </w:r>
    </w:p>
    <w:p>
      <w:pPr>
        <w:pStyle w:val="Heading1"/>
        <w:keepNext w:val="0"/>
        <w:keepLines w:val="0"/>
        <w:spacing w:after="240" w:line="480" w:lineRule="auto"/>
        <w:jc w:val="left"/>
        <w:rPr>
          <w:b/>
          <w:bCs/>
          <w:sz w:val="28"/>
          <w:szCs w:val="28"/>
        </w:rPr>
      </w:pPr>
      <w:r>
        <w:rPr>
          <w:rFonts w:ascii="times new roman" w:eastAsia="times new roman" w:hAnsi="times new roman" w:cs="times new roman"/>
          <w:b w:val="0"/>
          <w:bCs w:val="0"/>
          <w:i w:val="0"/>
          <w:color w:val="auto"/>
          <w:sz w:val="28"/>
          <w:szCs w:val="28"/>
        </w:rPr>
        <w:t>References</w:t>
      </w:r>
    </w:p>
    <w:p>
      <w:pPr>
        <w:spacing w:before="0" w:after="0" w:line="480" w:lineRule="auto"/>
        <w:ind w:left="720" w:hanging="720"/>
        <w:jc w:val="left"/>
      </w:pPr>
      <w:r>
        <w:rPr>
          <w:rFonts w:ascii="times new roman" w:eastAsia="times new roman" w:hAnsi="times new roman" w:cs="times new roman"/>
        </w:rPr>
        <w:t xml:space="preserve">Acharya, Avidit, Matthew Blackwell, and Maya Sen. 2016. "Explaining Causal Findings Without Bias: Detecting and Assessing Direct Effects." </w:t>
      </w:r>
      <w:r>
        <w:rPr>
          <w:rFonts w:ascii="times new roman" w:eastAsia="times new roman" w:hAnsi="times new roman" w:cs="times new roman"/>
          <w:i/>
          <w:iCs/>
        </w:rPr>
        <w:t>American Political Science Review</w:t>
      </w:r>
      <w:r>
        <w:rPr>
          <w:rFonts w:ascii="times new roman" w:eastAsia="times new roman" w:hAnsi="times new roman" w:cs="times new roman"/>
        </w:rPr>
        <w:t xml:space="preserve"> 110(3):512–529.</w:t>
      </w:r>
    </w:p>
    <w:p>
      <w:pPr>
        <w:spacing w:before="0" w:after="0" w:line="480" w:lineRule="auto"/>
        <w:ind w:left="720" w:hanging="720"/>
        <w:jc w:val="left"/>
      </w:pPr>
      <w:r>
        <w:rPr>
          <w:rFonts w:ascii="times new roman" w:eastAsia="times new roman" w:hAnsi="times new roman" w:cs="times new roman"/>
        </w:rPr>
        <w:t xml:space="preserve">Akresh, Ilana Redstone. 2011. "Wealth Accumulation among U.S. Immigrants: A Study of Assimilation and Differentials." </w:t>
      </w:r>
      <w:r>
        <w:rPr>
          <w:rFonts w:ascii="times new roman" w:eastAsia="times new roman" w:hAnsi="times new roman" w:cs="times new roman"/>
          <w:i/>
          <w:iCs/>
        </w:rPr>
        <w:t>Social Science Research</w:t>
      </w:r>
      <w:r>
        <w:rPr>
          <w:rFonts w:ascii="times new roman" w:eastAsia="times new roman" w:hAnsi="times new roman" w:cs="times new roman"/>
        </w:rPr>
        <w:t xml:space="preserve"> 40(5):1390–1401.</w:t>
      </w:r>
    </w:p>
    <w:p>
      <w:pPr>
        <w:spacing w:before="0" w:after="0" w:line="480" w:lineRule="auto"/>
        <w:ind w:left="720" w:hanging="720"/>
        <w:jc w:val="left"/>
      </w:pPr>
      <w:r>
        <w:rPr>
          <w:rFonts w:ascii="times new roman" w:eastAsia="times new roman" w:hAnsi="times new roman" w:cs="times new roman"/>
        </w:rPr>
        <w:t xml:space="preserve">Aladangady, Aditya, Jesse Bricker, Andrew C. Chang, Sarena Goodman, Jacob Krimmel, Kevin B. Moore, Sarah Reber, Alice Henriques Volz, and Richard A. Windle. 2023. </w:t>
      </w:r>
      <w:r>
        <w:rPr>
          <w:rFonts w:ascii="times new roman" w:eastAsia="times new roman" w:hAnsi="times new roman" w:cs="times new roman"/>
          <w:i/>
          <w:iCs/>
        </w:rPr>
        <w:t>Changes in U.S. Family Finances from 2019 to 2022: Evidence from the Survey of Consumer Finances.</w:t>
      </w:r>
      <w:r>
        <w:rPr>
          <w:rFonts w:ascii="times new roman" w:eastAsia="times new roman" w:hAnsi="times new roman" w:cs="times new roman"/>
        </w:rPr>
        <w:t xml:space="preserve"> Washington, DC: Board of Governors of the Federal Reserve System.</w:t>
      </w:r>
    </w:p>
    <w:p>
      <w:pPr>
        <w:spacing w:before="0" w:after="0" w:line="480" w:lineRule="auto"/>
        <w:ind w:left="720" w:hanging="720"/>
        <w:jc w:val="left"/>
      </w:pPr>
      <w:r>
        <w:rPr>
          <w:rFonts w:ascii="times new roman" w:eastAsia="times new roman" w:hAnsi="times new roman" w:cs="times new roman"/>
        </w:rPr>
        <w:t xml:space="preserve">Alba, Richard, Philip Kasinitz, and Mary C. Waters. 2011. "The Kids Are (Mostly) Alright: Second-Generation Assimilation. Comments on Haller, Portes and Lynch." </w:t>
      </w:r>
      <w:r>
        <w:rPr>
          <w:rFonts w:ascii="times new roman" w:eastAsia="times new roman" w:hAnsi="times new roman" w:cs="times new roman"/>
          <w:i/>
          <w:iCs/>
        </w:rPr>
        <w:t>Social Forces</w:t>
      </w:r>
      <w:r>
        <w:rPr>
          <w:rFonts w:ascii="times new roman" w:eastAsia="times new roman" w:hAnsi="times new roman" w:cs="times new roman"/>
        </w:rPr>
        <w:t xml:space="preserve"> 89(3):763–774.</w:t>
      </w:r>
    </w:p>
    <w:p>
      <w:pPr>
        <w:spacing w:before="0" w:after="0" w:line="480" w:lineRule="auto"/>
        <w:ind w:left="720" w:hanging="720"/>
        <w:jc w:val="left"/>
      </w:pPr>
      <w:r>
        <w:rPr>
          <w:rFonts w:ascii="times new roman" w:eastAsia="times new roman" w:hAnsi="times new roman" w:cs="times new roman"/>
        </w:rPr>
        <w:t xml:space="preserve">Alba, Richard D., and John R. Logan. 1992. "Assimilation and Stratification in the Homeownership Patterns of Racial and Ethnic Groups." </w:t>
      </w:r>
      <w:r>
        <w:rPr>
          <w:rFonts w:ascii="times new roman" w:eastAsia="times new roman" w:hAnsi="times new roman" w:cs="times new roman"/>
          <w:i/>
          <w:iCs/>
        </w:rPr>
        <w:t>International Migration Review</w:t>
      </w:r>
      <w:r>
        <w:rPr>
          <w:rFonts w:ascii="times new roman" w:eastAsia="times new roman" w:hAnsi="times new roman" w:cs="times new roman"/>
        </w:rPr>
        <w:t xml:space="preserve"> 26(4):1314–1341.</w:t>
      </w:r>
    </w:p>
    <w:p>
      <w:pPr>
        <w:spacing w:before="0" w:after="0" w:line="480" w:lineRule="auto"/>
        <w:ind w:left="720" w:hanging="720"/>
        <w:jc w:val="left"/>
      </w:pPr>
      <w:r>
        <w:rPr>
          <w:rFonts w:ascii="times new roman" w:eastAsia="times new roman" w:hAnsi="times new roman" w:cs="times new roman"/>
        </w:rPr>
        <w:t xml:space="preserve">Alba, Richard, and Victor Nee. 1997. "Rethinking Assimilation Theory for a New Era of Immigration." </w:t>
      </w:r>
      <w:r>
        <w:rPr>
          <w:rFonts w:ascii="times new roman" w:eastAsia="times new roman" w:hAnsi="times new roman" w:cs="times new roman"/>
          <w:i/>
          <w:iCs/>
        </w:rPr>
        <w:t>International Migration Review</w:t>
      </w:r>
      <w:r>
        <w:rPr>
          <w:rFonts w:ascii="times new roman" w:eastAsia="times new roman" w:hAnsi="times new roman" w:cs="times new roman"/>
        </w:rPr>
        <w:t xml:space="preserve"> 31(4):826–874.</w:t>
      </w:r>
    </w:p>
    <w:p>
      <w:pPr>
        <w:spacing w:before="0" w:after="0" w:line="480" w:lineRule="auto"/>
        <w:ind w:left="720" w:hanging="720"/>
        <w:jc w:val="left"/>
      </w:pPr>
      <w:r>
        <w:rPr>
          <w:rFonts w:ascii="times new roman" w:eastAsia="times new roman" w:hAnsi="times new roman" w:cs="times new roman"/>
        </w:rPr>
        <w:t xml:space="preserve">Alba, Richard, and Victor Nee. 2003. </w:t>
      </w:r>
      <w:r>
        <w:rPr>
          <w:rFonts w:ascii="times new roman" w:eastAsia="times new roman" w:hAnsi="times new roman" w:cs="times new roman"/>
          <w:i/>
          <w:iCs/>
        </w:rPr>
        <w:t>Remaking the American Mainstream: Assimilation and Contemporary Immigration.</w:t>
      </w:r>
      <w:r>
        <w:rPr>
          <w:rFonts w:ascii="times new roman" w:eastAsia="times new roman" w:hAnsi="times new roman" w:cs="times new roman"/>
        </w:rPr>
        <w:t xml:space="preserve"> Cambridge, MA: Harvard University Press.</w:t>
      </w:r>
    </w:p>
    <w:p>
      <w:pPr>
        <w:spacing w:before="0" w:after="0" w:line="480" w:lineRule="auto"/>
        <w:ind w:left="720" w:hanging="720"/>
        <w:jc w:val="left"/>
      </w:pPr>
      <w:r>
        <w:rPr>
          <w:rFonts w:ascii="times new roman" w:eastAsia="times new roman" w:hAnsi="times new roman" w:cs="times new roman"/>
        </w:rPr>
        <w:t xml:space="preserve">Blau, Francine D., and John W. Graham. 1990. "Black-White Differences in Wealth and Asset Composition." </w:t>
      </w:r>
      <w:r>
        <w:rPr>
          <w:rFonts w:ascii="times new roman" w:eastAsia="times new roman" w:hAnsi="times new roman" w:cs="times new roman"/>
          <w:i/>
          <w:iCs/>
        </w:rPr>
        <w:t>Quarterly Journal of Economics</w:t>
      </w:r>
      <w:r>
        <w:rPr>
          <w:rFonts w:ascii="times new roman" w:eastAsia="times new roman" w:hAnsi="times new roman" w:cs="times new roman"/>
        </w:rPr>
        <w:t xml:space="preserve"> 105(2):321–339.</w:t>
      </w:r>
    </w:p>
    <w:p>
      <w:pPr>
        <w:spacing w:before="0" w:after="0" w:line="480" w:lineRule="auto"/>
        <w:ind w:left="720" w:hanging="720"/>
        <w:jc w:val="left"/>
      </w:pPr>
      <w:r>
        <w:rPr>
          <w:rFonts w:ascii="times new roman" w:eastAsia="times new roman" w:hAnsi="times new roman" w:cs="times new roman"/>
        </w:rPr>
        <w:t xml:space="preserve">Borjas, George J. 1985. "Assimilation, Changes in Cohort Quality, and the Earnings of Immigrants." </w:t>
      </w:r>
      <w:r>
        <w:rPr>
          <w:rFonts w:ascii="times new roman" w:eastAsia="times new roman" w:hAnsi="times new roman" w:cs="times new roman"/>
          <w:i/>
          <w:iCs/>
        </w:rPr>
        <w:t>Journal of Labor Economics</w:t>
      </w:r>
      <w:r>
        <w:rPr>
          <w:rFonts w:ascii="times new roman" w:eastAsia="times new roman" w:hAnsi="times new roman" w:cs="times new roman"/>
        </w:rPr>
        <w:t xml:space="preserve"> 3(4):463–489.</w:t>
      </w:r>
    </w:p>
    <w:p>
      <w:pPr>
        <w:spacing w:before="0" w:after="0" w:line="480" w:lineRule="auto"/>
        <w:ind w:left="720" w:hanging="720"/>
        <w:jc w:val="left"/>
      </w:pPr>
      <w:r>
        <w:rPr>
          <w:rFonts w:ascii="times new roman" w:eastAsia="times new roman" w:hAnsi="times new roman" w:cs="times new roman"/>
        </w:rPr>
        <w:t xml:space="preserve">Borjas, George J. 1987. "Self-Selection and the Earnings of Immigrants." </w:t>
      </w:r>
      <w:r>
        <w:rPr>
          <w:rFonts w:ascii="times new roman" w:eastAsia="times new roman" w:hAnsi="times new roman" w:cs="times new roman"/>
          <w:i/>
          <w:iCs/>
        </w:rPr>
        <w:t>American Economic Review</w:t>
      </w:r>
      <w:r>
        <w:rPr>
          <w:rFonts w:ascii="times new roman" w:eastAsia="times new roman" w:hAnsi="times new roman" w:cs="times new roman"/>
        </w:rPr>
        <w:t xml:space="preserve"> 77(4):531–553.</w:t>
      </w:r>
    </w:p>
    <w:p>
      <w:pPr>
        <w:spacing w:before="0" w:after="0" w:line="480" w:lineRule="auto"/>
        <w:ind w:left="720" w:hanging="720"/>
        <w:jc w:val="left"/>
      </w:pPr>
      <w:r>
        <w:rPr>
          <w:rFonts w:ascii="times new roman" w:eastAsia="times new roman" w:hAnsi="times new roman" w:cs="times new roman"/>
        </w:rPr>
        <w:t xml:space="preserve">Borjas, George J. 1995. "Assimilation and Changes in Cohort Quality Revisited: What Happened to Immigrant Earnings in the 1980s?" </w:t>
      </w:r>
      <w:r>
        <w:rPr>
          <w:rFonts w:ascii="times new roman" w:eastAsia="times new roman" w:hAnsi="times new roman" w:cs="times new roman"/>
          <w:i/>
          <w:iCs/>
        </w:rPr>
        <w:t>Journal of Labor Economics</w:t>
      </w:r>
      <w:r>
        <w:rPr>
          <w:rFonts w:ascii="times new roman" w:eastAsia="times new roman" w:hAnsi="times new roman" w:cs="times new roman"/>
        </w:rPr>
        <w:t xml:space="preserve"> 13(2):201–245.</w:t>
      </w:r>
    </w:p>
    <w:p>
      <w:pPr>
        <w:spacing w:before="0" w:after="0" w:line="480" w:lineRule="auto"/>
        <w:ind w:left="720" w:hanging="720"/>
        <w:jc w:val="left"/>
      </w:pPr>
      <w:r>
        <w:rPr>
          <w:rFonts w:ascii="times new roman" w:eastAsia="times new roman" w:hAnsi="times new roman" w:cs="times new roman"/>
        </w:rPr>
        <w:t xml:space="preserve">Borjas, George J. 1999. </w:t>
      </w:r>
      <w:r>
        <w:rPr>
          <w:rFonts w:ascii="times new roman" w:eastAsia="times new roman" w:hAnsi="times new roman" w:cs="times new roman"/>
          <w:i/>
          <w:iCs/>
        </w:rPr>
        <w:t>Heaven's Door: Immigration Policy and the American Economy.</w:t>
      </w:r>
      <w:r>
        <w:rPr>
          <w:rFonts w:ascii="times new roman" w:eastAsia="times new roman" w:hAnsi="times new roman" w:cs="times new roman"/>
        </w:rPr>
        <w:t xml:space="preserve"> Princeton, NJ: Princeton University Press.</w:t>
      </w:r>
    </w:p>
    <w:p>
      <w:pPr>
        <w:spacing w:before="0" w:after="0" w:line="480" w:lineRule="auto"/>
        <w:ind w:left="720" w:hanging="720"/>
        <w:jc w:val="left"/>
      </w:pPr>
      <w:r>
        <w:rPr>
          <w:rFonts w:ascii="times new roman" w:eastAsia="times new roman" w:hAnsi="times new roman" w:cs="times new roman"/>
        </w:rPr>
        <w:t xml:space="preserve">Charles, Kerwin Kofi, and Erik Hurst. 2002. "The Transition to Home Ownership and the Black-White Wealth Gap." </w:t>
      </w:r>
      <w:r>
        <w:rPr>
          <w:rFonts w:ascii="times new roman" w:eastAsia="times new roman" w:hAnsi="times new roman" w:cs="times new roman"/>
          <w:i/>
          <w:iCs/>
        </w:rPr>
        <w:t>Review of Economics and Statistics</w:t>
      </w:r>
      <w:r>
        <w:rPr>
          <w:rFonts w:ascii="times new roman" w:eastAsia="times new roman" w:hAnsi="times new roman" w:cs="times new roman"/>
        </w:rPr>
        <w:t xml:space="preserve"> 84(2):281–297.</w:t>
      </w:r>
    </w:p>
    <w:p>
      <w:pPr>
        <w:spacing w:before="0" w:after="0" w:line="480" w:lineRule="auto"/>
        <w:ind w:left="720" w:hanging="720"/>
        <w:jc w:val="left"/>
      </w:pPr>
      <w:r>
        <w:rPr>
          <w:rFonts w:ascii="times new roman" w:eastAsia="times new roman" w:hAnsi="times new roman" w:cs="times new roman"/>
        </w:rPr>
        <w:t xml:space="preserve">Chiswick, Barry R. 1978. "The Effect of Americanization on the Earnings of Foreign-born Men." </w:t>
      </w:r>
      <w:r>
        <w:rPr>
          <w:rFonts w:ascii="times new roman" w:eastAsia="times new roman" w:hAnsi="times new roman" w:cs="times new roman"/>
          <w:i/>
          <w:iCs/>
        </w:rPr>
        <w:t>Journal of Political Economy</w:t>
      </w:r>
      <w:r>
        <w:rPr>
          <w:rFonts w:ascii="times new roman" w:eastAsia="times new roman" w:hAnsi="times new roman" w:cs="times new roman"/>
        </w:rPr>
        <w:t xml:space="preserve"> 86(5):897–921.</w:t>
      </w:r>
    </w:p>
    <w:p>
      <w:pPr>
        <w:spacing w:before="0" w:after="0" w:line="480" w:lineRule="auto"/>
        <w:ind w:left="720" w:hanging="720"/>
        <w:jc w:val="left"/>
      </w:pPr>
      <w:r>
        <w:rPr>
          <w:rFonts w:ascii="times new roman" w:eastAsia="times new roman" w:hAnsi="times new roman" w:cs="times new roman"/>
        </w:rPr>
        <w:t xml:space="preserve">Cobb-Clark, Deborah A., and Vincent A. Hildebrand. 2006. "The Wealth and Asset Holdings of U.S.-Born and Foreign-Born Households: Evidence from SIPP Data." </w:t>
      </w:r>
      <w:r>
        <w:rPr>
          <w:rFonts w:ascii="times new roman" w:eastAsia="times new roman" w:hAnsi="times new roman" w:cs="times new roman"/>
          <w:i/>
          <w:iCs/>
        </w:rPr>
        <w:t>Review of Income and Wealth</w:t>
      </w:r>
      <w:r>
        <w:rPr>
          <w:rFonts w:ascii="times new roman" w:eastAsia="times new roman" w:hAnsi="times new roman" w:cs="times new roman"/>
        </w:rPr>
        <w:t xml:space="preserve"> 52(1):17–42.</w:t>
      </w:r>
    </w:p>
    <w:p>
      <w:pPr>
        <w:spacing w:before="0" w:after="0" w:line="480" w:lineRule="auto"/>
        <w:ind w:left="720" w:hanging="720"/>
        <w:jc w:val="left"/>
      </w:pPr>
      <w:r>
        <w:rPr>
          <w:rFonts w:ascii="times new roman" w:eastAsia="times new roman" w:hAnsi="times new roman" w:cs="times new roman"/>
        </w:rPr>
        <w:t xml:space="preserve">Coulson, N. Edward. 1999. "Why Are Hispanic- and Asian-American Homeownership Rates So Low?: Immigration and Other Factors." </w:t>
      </w:r>
      <w:r>
        <w:rPr>
          <w:rFonts w:ascii="times new roman" w:eastAsia="times new roman" w:hAnsi="times new roman" w:cs="times new roman"/>
          <w:i/>
          <w:iCs/>
        </w:rPr>
        <w:t>Journal of Urban Economics</w:t>
      </w:r>
      <w:r>
        <w:rPr>
          <w:rFonts w:ascii="times new roman" w:eastAsia="times new roman" w:hAnsi="times new roman" w:cs="times new roman"/>
        </w:rPr>
        <w:t xml:space="preserve"> 45(2):209–227.</w:t>
      </w:r>
    </w:p>
    <w:p>
      <w:pPr>
        <w:spacing w:before="0" w:after="0" w:line="480" w:lineRule="auto"/>
        <w:ind w:left="720" w:hanging="720"/>
        <w:jc w:val="left"/>
      </w:pPr>
      <w:r>
        <w:rPr>
          <w:rFonts w:ascii="times new roman" w:eastAsia="times new roman" w:hAnsi="times new roman" w:cs="times new roman"/>
        </w:rPr>
        <w:t xml:space="preserve">Firth, David. 1993. "Bias Reduction of Maximum Likelihood Estimates." </w:t>
      </w:r>
      <w:r>
        <w:rPr>
          <w:rFonts w:ascii="times new roman" w:eastAsia="times new roman" w:hAnsi="times new roman" w:cs="times new roman"/>
          <w:i/>
          <w:iCs/>
        </w:rPr>
        <w:t>Biometrika</w:t>
      </w:r>
      <w:r>
        <w:rPr>
          <w:rFonts w:ascii="times new roman" w:eastAsia="times new roman" w:hAnsi="times new roman" w:cs="times new roman"/>
        </w:rPr>
        <w:t xml:space="preserve"> 80(1):27–38.</w:t>
      </w:r>
    </w:p>
    <w:p>
      <w:pPr>
        <w:spacing w:before="0" w:after="0" w:line="480" w:lineRule="auto"/>
        <w:ind w:left="720" w:hanging="720"/>
        <w:jc w:val="left"/>
      </w:pPr>
      <w:r>
        <w:rPr>
          <w:rFonts w:ascii="times new roman" w:eastAsia="times new roman" w:hAnsi="times new roman" w:cs="times new roman"/>
        </w:rPr>
        <w:t xml:space="preserve">Flippen, Chenoa A. 2001. "Racial and Ethnic Inequality in Homeownership and Housing Equity." </w:t>
      </w:r>
      <w:r>
        <w:rPr>
          <w:rFonts w:ascii="times new roman" w:eastAsia="times new roman" w:hAnsi="times new roman" w:cs="times new roman"/>
          <w:i/>
          <w:iCs/>
        </w:rPr>
        <w:t>The Sociological Quarterly</w:t>
      </w:r>
      <w:r>
        <w:rPr>
          <w:rFonts w:ascii="times new roman" w:eastAsia="times new roman" w:hAnsi="times new roman" w:cs="times new roman"/>
        </w:rPr>
        <w:t xml:space="preserve"> 42(2):121–149.</w:t>
      </w:r>
    </w:p>
    <w:p>
      <w:pPr>
        <w:spacing w:before="0" w:after="0" w:line="480" w:lineRule="auto"/>
        <w:ind w:left="720" w:hanging="720"/>
        <w:jc w:val="left"/>
      </w:pPr>
      <w:r>
        <w:rPr>
          <w:rFonts w:ascii="times new roman" w:eastAsia="times new roman" w:hAnsi="times new roman" w:cs="times new roman"/>
        </w:rPr>
        <w:t xml:space="preserve">Gordon, Milton M. 1964. </w:t>
      </w:r>
      <w:r>
        <w:rPr>
          <w:rFonts w:ascii="times new roman" w:eastAsia="times new roman" w:hAnsi="times new roman" w:cs="times new roman"/>
          <w:i/>
          <w:iCs/>
        </w:rPr>
        <w:t>Assimilation in American Life: The Role of Race, Religion, and National Origins.</w:t>
      </w:r>
      <w:r>
        <w:rPr>
          <w:rFonts w:ascii="times new roman" w:eastAsia="times new roman" w:hAnsi="times new roman" w:cs="times new roman"/>
        </w:rPr>
        <w:t xml:space="preserve"> New York: Oxford University Press.</w:t>
      </w:r>
    </w:p>
    <w:p>
      <w:pPr>
        <w:spacing w:before="0" w:after="0" w:line="480" w:lineRule="auto"/>
        <w:ind w:left="720" w:hanging="720"/>
        <w:jc w:val="left"/>
      </w:pPr>
      <w:r>
        <w:rPr>
          <w:rFonts w:ascii="times new roman" w:eastAsia="times new roman" w:hAnsi="times new roman" w:cs="times new roman"/>
        </w:rPr>
        <w:t xml:space="preserve">Greenman, Emily, and Yu Xie. 2008. "Is Assimilation Theory Dead? The Effect of Assimilation on Adolescent Well-Being." </w:t>
      </w:r>
      <w:r>
        <w:rPr>
          <w:rFonts w:ascii="times new roman" w:eastAsia="times new roman" w:hAnsi="times new roman" w:cs="times new roman"/>
          <w:i/>
          <w:iCs/>
        </w:rPr>
        <w:t>Social Science Research</w:t>
      </w:r>
      <w:r>
        <w:rPr>
          <w:rFonts w:ascii="times new roman" w:eastAsia="times new roman" w:hAnsi="times new roman" w:cs="times new roman"/>
        </w:rPr>
        <w:t xml:space="preserve"> 37(1):109–137.</w:t>
      </w:r>
    </w:p>
    <w:p>
      <w:pPr>
        <w:spacing w:before="0" w:after="0" w:line="480" w:lineRule="auto"/>
        <w:ind w:left="720" w:hanging="720"/>
        <w:jc w:val="left"/>
      </w:pPr>
      <w:r>
        <w:rPr>
          <w:rFonts w:ascii="times new roman" w:eastAsia="times new roman" w:hAnsi="times new roman" w:cs="times new roman"/>
        </w:rPr>
        <w:t xml:space="preserve">Haller, William, Alejandro Portes, and Scott M. Lynch. 2011. "Dreams Fulfilled, Dreams Shattered: Determinants of Segmented Assimilation in the Second Generation." </w:t>
      </w:r>
      <w:r>
        <w:rPr>
          <w:rFonts w:ascii="times new roman" w:eastAsia="times new roman" w:hAnsi="times new roman" w:cs="times new roman"/>
          <w:i/>
          <w:iCs/>
        </w:rPr>
        <w:t>Social Forces</w:t>
      </w:r>
      <w:r>
        <w:rPr>
          <w:rFonts w:ascii="times new roman" w:eastAsia="times new roman" w:hAnsi="times new roman" w:cs="times new roman"/>
        </w:rPr>
        <w:t xml:space="preserve"> 89(3):733–762.</w:t>
      </w:r>
    </w:p>
    <w:p>
      <w:pPr>
        <w:spacing w:before="0" w:after="0" w:line="480" w:lineRule="auto"/>
        <w:ind w:left="720" w:hanging="720"/>
        <w:jc w:val="left"/>
      </w:pPr>
      <w:r>
        <w:rPr>
          <w:rFonts w:ascii="times new roman" w:eastAsia="times new roman" w:hAnsi="times new roman" w:cs="times new roman"/>
        </w:rPr>
        <w:t xml:space="preserve">Hamilton, Tod G. 2019. </w:t>
      </w:r>
      <w:r>
        <w:rPr>
          <w:rFonts w:ascii="times new roman" w:eastAsia="times new roman" w:hAnsi="times new roman" w:cs="times new roman"/>
          <w:i/>
          <w:iCs/>
        </w:rPr>
        <w:t>Immigration and the Remaking of Black America.</w:t>
      </w:r>
      <w:r>
        <w:rPr>
          <w:rFonts w:ascii="times new roman" w:eastAsia="times new roman" w:hAnsi="times new roman" w:cs="times new roman"/>
        </w:rPr>
        <w:t xml:space="preserve"> New York: Russell Sage Foundation.</w:t>
      </w:r>
    </w:p>
    <w:p>
      <w:pPr>
        <w:spacing w:before="0" w:after="0" w:line="480" w:lineRule="auto"/>
        <w:ind w:left="720" w:hanging="720"/>
        <w:jc w:val="left"/>
      </w:pPr>
      <w:r>
        <w:rPr>
          <w:rFonts w:ascii="times new roman" w:eastAsia="times new roman" w:hAnsi="times new roman" w:cs="times new roman"/>
        </w:rPr>
        <w:t xml:space="preserve">Hao, Lingxin. 2004. "Wealth of Immigrant and Native-Born Americans." </w:t>
      </w:r>
      <w:r>
        <w:rPr>
          <w:rFonts w:ascii="times new roman" w:eastAsia="times new roman" w:hAnsi="times new roman" w:cs="times new roman"/>
          <w:i/>
          <w:iCs/>
        </w:rPr>
        <w:t>International Migration Review</w:t>
      </w:r>
      <w:r>
        <w:rPr>
          <w:rFonts w:ascii="times new roman" w:eastAsia="times new roman" w:hAnsi="times new roman" w:cs="times new roman"/>
        </w:rPr>
        <w:t xml:space="preserve"> 38(2):518–546.</w:t>
      </w:r>
    </w:p>
    <w:p>
      <w:pPr>
        <w:spacing w:before="0" w:after="0" w:line="480" w:lineRule="auto"/>
        <w:ind w:left="720" w:hanging="720"/>
        <w:jc w:val="left"/>
      </w:pPr>
      <w:r>
        <w:rPr>
          <w:rFonts w:ascii="times new roman" w:eastAsia="times new roman" w:hAnsi="times new roman" w:cs="times new roman"/>
        </w:rPr>
        <w:t xml:space="preserve">Hao, Lingxin. 2007. </w:t>
      </w:r>
      <w:r>
        <w:rPr>
          <w:rFonts w:ascii="times new roman" w:eastAsia="times new roman" w:hAnsi="times new roman" w:cs="times new roman"/>
          <w:i/>
          <w:iCs/>
        </w:rPr>
        <w:t>Color Lines, Country Lines: Race, Immigration, and Wealth Stratification in America.</w:t>
      </w:r>
      <w:r>
        <w:rPr>
          <w:rFonts w:ascii="times new roman" w:eastAsia="times new roman" w:hAnsi="times new roman" w:cs="times new roman"/>
        </w:rPr>
        <w:t xml:space="preserve"> New York: Russell Sage Foundation.</w:t>
      </w:r>
    </w:p>
    <w:p>
      <w:pPr>
        <w:spacing w:before="0" w:after="0" w:line="480" w:lineRule="auto"/>
        <w:ind w:left="720" w:hanging="720"/>
        <w:jc w:val="left"/>
      </w:pPr>
      <w:r>
        <w:rPr>
          <w:rFonts w:ascii="times new roman" w:eastAsia="times new roman" w:hAnsi="times new roman" w:cs="times new roman"/>
        </w:rPr>
        <w:t xml:space="preserve">Kasinitz, Philip, John H. Mollenkopf, Mary C. Waters, and Jennifer Holdaway. 2008. </w:t>
      </w:r>
      <w:r>
        <w:rPr>
          <w:rFonts w:ascii="times new roman" w:eastAsia="times new roman" w:hAnsi="times new roman" w:cs="times new roman"/>
          <w:i/>
          <w:iCs/>
        </w:rPr>
        <w:t>Inheriting the City: The Children of Immigrants Come of Age.</w:t>
      </w:r>
      <w:r>
        <w:rPr>
          <w:rFonts w:ascii="times new roman" w:eastAsia="times new roman" w:hAnsi="times new roman" w:cs="times new roman"/>
        </w:rPr>
        <w:t xml:space="preserve"> New York: Russell Sage Foundation; Cambridge, MA: Harvard University Press.</w:t>
      </w:r>
    </w:p>
    <w:p>
      <w:pPr>
        <w:spacing w:before="0" w:after="0" w:line="480" w:lineRule="auto"/>
        <w:ind w:left="720" w:hanging="720"/>
        <w:jc w:val="left"/>
      </w:pPr>
      <w:r>
        <w:rPr>
          <w:rFonts w:ascii="times new roman" w:eastAsia="times new roman" w:hAnsi="times new roman" w:cs="times new roman"/>
        </w:rPr>
        <w:t xml:space="preserve">Keister, Lisa A. 2000. </w:t>
      </w:r>
      <w:r>
        <w:rPr>
          <w:rFonts w:ascii="times new roman" w:eastAsia="times new roman" w:hAnsi="times new roman" w:cs="times new roman"/>
          <w:i/>
          <w:iCs/>
        </w:rPr>
        <w:t>Wealth in America: Trends in Wealth Inequality.</w:t>
      </w:r>
      <w:r>
        <w:rPr>
          <w:rFonts w:ascii="times new roman" w:eastAsia="times new roman" w:hAnsi="times new roman" w:cs="times new roman"/>
        </w:rPr>
        <w:t xml:space="preserve"> Cambridge: Cambridge University Press.</w:t>
      </w:r>
    </w:p>
    <w:p>
      <w:pPr>
        <w:spacing w:before="0" w:after="0" w:line="480" w:lineRule="auto"/>
        <w:ind w:left="720" w:hanging="720"/>
        <w:jc w:val="left"/>
      </w:pPr>
      <w:r>
        <w:rPr>
          <w:rFonts w:ascii="times new roman" w:eastAsia="times new roman" w:hAnsi="times new roman" w:cs="times new roman"/>
        </w:rPr>
        <w:t xml:space="preserve">Keister, Lisa A., Jody Agius Vallejo, and E. Paige Borelli. 2015. "Mexican American Mobility: Early Life Processes and Adult Wealth Ownership." </w:t>
      </w:r>
      <w:r>
        <w:rPr>
          <w:rFonts w:ascii="times new roman" w:eastAsia="times new roman" w:hAnsi="times new roman" w:cs="times new roman"/>
          <w:i/>
          <w:iCs/>
        </w:rPr>
        <w:t>Social Forces</w:t>
      </w:r>
      <w:r>
        <w:rPr>
          <w:rFonts w:ascii="times new roman" w:eastAsia="times new roman" w:hAnsi="times new roman" w:cs="times new roman"/>
        </w:rPr>
        <w:t xml:space="preserve"> 93(3):1015–1046.</w:t>
      </w:r>
    </w:p>
    <w:p>
      <w:pPr>
        <w:spacing w:before="0" w:after="0" w:line="480" w:lineRule="auto"/>
        <w:ind w:left="720" w:hanging="720"/>
        <w:jc w:val="left"/>
      </w:pPr>
      <w:r>
        <w:rPr>
          <w:rFonts w:ascii="times new roman" w:eastAsia="times new roman" w:hAnsi="times new roman" w:cs="times new roman"/>
        </w:rPr>
        <w:t xml:space="preserve">Killewald, Alexandra, Fabian T. Pfeffer, and Jared N. Schachner. 2017. "Wealth Inequality and Accumulation." </w:t>
      </w:r>
      <w:r>
        <w:rPr>
          <w:rFonts w:ascii="times new roman" w:eastAsia="times new roman" w:hAnsi="times new roman" w:cs="times new roman"/>
          <w:i/>
          <w:iCs/>
        </w:rPr>
        <w:t>Annual Review of Sociology</w:t>
      </w:r>
      <w:r>
        <w:rPr>
          <w:rFonts w:ascii="times new roman" w:eastAsia="times new roman" w:hAnsi="times new roman" w:cs="times new roman"/>
        </w:rPr>
        <w:t xml:space="preserve"> 43:379–404.</w:t>
      </w:r>
    </w:p>
    <w:p>
      <w:pPr>
        <w:spacing w:before="0" w:after="0" w:line="480" w:lineRule="auto"/>
        <w:ind w:left="720" w:hanging="720"/>
        <w:jc w:val="left"/>
      </w:pPr>
      <w:r>
        <w:rPr>
          <w:rFonts w:ascii="times new roman" w:eastAsia="times new roman" w:hAnsi="times new roman" w:cs="times new roman"/>
        </w:rPr>
        <w:t xml:space="preserve">Light, Ivan. 1972. </w:t>
      </w:r>
      <w:r>
        <w:rPr>
          <w:rFonts w:ascii="times new roman" w:eastAsia="times new roman" w:hAnsi="times new roman" w:cs="times new roman"/>
          <w:i/>
          <w:iCs/>
        </w:rPr>
        <w:t>Ethnic Enterprise in America: Business and Welfare Among Chinese, Japanese, and Blacks.</w:t>
      </w:r>
      <w:r>
        <w:rPr>
          <w:rFonts w:ascii="times new roman" w:eastAsia="times new roman" w:hAnsi="times new roman" w:cs="times new roman"/>
        </w:rPr>
        <w:t xml:space="preserve"> Berkeley, CA: University of California Press.</w:t>
      </w:r>
    </w:p>
    <w:p>
      <w:pPr>
        <w:spacing w:before="0" w:after="0" w:line="480" w:lineRule="auto"/>
        <w:ind w:left="720" w:hanging="720"/>
        <w:jc w:val="left"/>
      </w:pPr>
      <w:r>
        <w:rPr>
          <w:rFonts w:ascii="times new roman" w:eastAsia="times new roman" w:hAnsi="times new roman" w:cs="times new roman"/>
        </w:rPr>
        <w:t xml:space="preserve">Lindamood, Suzanne, Sherman D. Hanna, and Lan Bi. 2007. "Using the Survey of Consumer Finances: Some Methodological Considerations and Issues." </w:t>
      </w:r>
      <w:r>
        <w:rPr>
          <w:rFonts w:ascii="times new roman" w:eastAsia="times new roman" w:hAnsi="times new roman" w:cs="times new roman"/>
          <w:i/>
          <w:iCs/>
        </w:rPr>
        <w:t>Journal of Consumer Affairs</w:t>
      </w:r>
      <w:r>
        <w:rPr>
          <w:rFonts w:ascii="times new roman" w:eastAsia="times new roman" w:hAnsi="times new roman" w:cs="times new roman"/>
        </w:rPr>
        <w:t xml:space="preserve"> 41(2):195–222.</w:t>
      </w:r>
    </w:p>
    <w:p>
      <w:pPr>
        <w:spacing w:before="0" w:after="0" w:line="480" w:lineRule="auto"/>
        <w:ind w:left="720" w:hanging="720"/>
        <w:jc w:val="left"/>
      </w:pPr>
      <w:r>
        <w:rPr>
          <w:rFonts w:ascii="times new roman" w:eastAsia="times new roman" w:hAnsi="times new roman" w:cs="times new roman"/>
        </w:rPr>
        <w:t xml:space="preserve">Logan, John R. 2007. "Who Are the Other African Americans? Contemporary African and Caribbean Immigrants in the United States." Pp. 49–67 in </w:t>
      </w:r>
      <w:r>
        <w:rPr>
          <w:rFonts w:ascii="times new roman" w:eastAsia="times new roman" w:hAnsi="times new roman" w:cs="times new roman"/>
          <w:i/>
          <w:iCs/>
        </w:rPr>
        <w:t>The Other African Americans: Contemporary African and Caribbean Families in the United States</w:t>
      </w:r>
      <w:r>
        <w:rPr>
          <w:rFonts w:ascii="times new roman" w:eastAsia="times new roman" w:hAnsi="times new roman" w:cs="times new roman"/>
        </w:rPr>
        <w:t>, edited by Y. Shaw-Taylor and S. A. Tuch. Lanham, MD: Rowman &amp; Littlefield.</w:t>
      </w:r>
    </w:p>
    <w:p>
      <w:pPr>
        <w:spacing w:before="0" w:after="0" w:line="480" w:lineRule="auto"/>
        <w:ind w:left="720" w:hanging="720"/>
        <w:jc w:val="left"/>
      </w:pPr>
      <w:r>
        <w:rPr>
          <w:rFonts w:ascii="times new roman" w:eastAsia="times new roman" w:hAnsi="times new roman" w:cs="times new roman"/>
        </w:rPr>
        <w:t xml:space="preserve">Massey, Douglas S., and Nancy A. Denton. 1993. </w:t>
      </w:r>
      <w:r>
        <w:rPr>
          <w:rFonts w:ascii="times new roman" w:eastAsia="times new roman" w:hAnsi="times new roman" w:cs="times new roman"/>
          <w:i/>
          <w:iCs/>
        </w:rPr>
        <w:t>American Apartheid: Segregation and the Making of the Underclass.</w:t>
      </w:r>
      <w:r>
        <w:rPr>
          <w:rFonts w:ascii="times new roman" w:eastAsia="times new roman" w:hAnsi="times new roman" w:cs="times new roman"/>
        </w:rPr>
        <w:t xml:space="preserve"> Cambridge, MA: Harvard University Press.</w:t>
      </w:r>
    </w:p>
    <w:p>
      <w:pPr>
        <w:spacing w:before="0" w:after="0" w:line="480" w:lineRule="auto"/>
        <w:ind w:left="720" w:hanging="720"/>
        <w:jc w:val="left"/>
      </w:pPr>
      <w:r>
        <w:rPr>
          <w:rFonts w:ascii="times new roman" w:eastAsia="times new roman" w:hAnsi="times new roman" w:cs="times new roman"/>
        </w:rPr>
        <w:t xml:space="preserve">McConnell, Eileen Diaz, and Enrico A. Marcelli. 2007. "Buying into the American Dream? Mexican Immigrants, Legal Status, and Homeownership in Los Angeles County." </w:t>
      </w:r>
      <w:r>
        <w:rPr>
          <w:rFonts w:ascii="times new roman" w:eastAsia="times new roman" w:hAnsi="times new roman" w:cs="times new roman"/>
          <w:i/>
          <w:iCs/>
        </w:rPr>
        <w:t>Social Science Quarterly</w:t>
      </w:r>
      <w:r>
        <w:rPr>
          <w:rFonts w:ascii="times new roman" w:eastAsia="times new roman" w:hAnsi="times new roman" w:cs="times new roman"/>
        </w:rPr>
        <w:t xml:space="preserve"> 88(1):199–221.</w:t>
      </w:r>
    </w:p>
    <w:p>
      <w:pPr>
        <w:spacing w:before="0" w:after="0" w:line="480" w:lineRule="auto"/>
        <w:ind w:left="720" w:hanging="720"/>
        <w:jc w:val="left"/>
      </w:pPr>
      <w:r>
        <w:rPr>
          <w:rFonts w:ascii="times new roman" w:eastAsia="times new roman" w:hAnsi="times new roman" w:cs="times new roman"/>
        </w:rPr>
        <w:t xml:space="preserve">McFadden, Daniel. 1973. "Conditional Logit Analysis of Qualitative Choice Behavior." Pp. 105–142 in </w:t>
      </w:r>
      <w:r>
        <w:rPr>
          <w:rFonts w:ascii="times new roman" w:eastAsia="times new roman" w:hAnsi="times new roman" w:cs="times new roman"/>
          <w:i/>
          <w:iCs/>
        </w:rPr>
        <w:t>Frontiers in Econometrics</w:t>
      </w:r>
      <w:r>
        <w:rPr>
          <w:rFonts w:ascii="times new roman" w:eastAsia="times new roman" w:hAnsi="times new roman" w:cs="times new roman"/>
        </w:rPr>
        <w:t>, edited by P. Zarembka. New York: Academic Press.</w:t>
      </w:r>
    </w:p>
    <w:p>
      <w:pPr>
        <w:spacing w:before="0" w:after="0" w:line="480" w:lineRule="auto"/>
        <w:ind w:left="720" w:hanging="720"/>
        <w:jc w:val="left"/>
      </w:pPr>
      <w:r>
        <w:rPr>
          <w:rFonts w:ascii="times new roman" w:eastAsia="times new roman" w:hAnsi="times new roman" w:cs="times new roman"/>
        </w:rPr>
        <w:t xml:space="preserve">Model, Suzanne. 2008. </w:t>
      </w:r>
      <w:r>
        <w:rPr>
          <w:rFonts w:ascii="times new roman" w:eastAsia="times new roman" w:hAnsi="times new roman" w:cs="times new roman"/>
          <w:i/>
          <w:iCs/>
        </w:rPr>
        <w:t>West Indian Immigrants: A Black Success Story?</w:t>
      </w:r>
      <w:r>
        <w:rPr>
          <w:rFonts w:ascii="times new roman" w:eastAsia="times new roman" w:hAnsi="times new roman" w:cs="times new roman"/>
        </w:rPr>
        <w:t xml:space="preserve"> New York: Russell Sage Foundation.</w:t>
      </w:r>
    </w:p>
    <w:p>
      <w:pPr>
        <w:spacing w:before="0" w:after="0" w:line="480" w:lineRule="auto"/>
        <w:ind w:left="720" w:hanging="720"/>
        <w:jc w:val="left"/>
      </w:pPr>
      <w:r>
        <w:rPr>
          <w:rFonts w:ascii="times new roman" w:eastAsia="times new roman" w:hAnsi="times new roman" w:cs="times new roman"/>
        </w:rPr>
        <w:t xml:space="preserve">Munnell, Alicia H., Geoffrey M. B. Tootell, Lynn E. Browne, and James McEneaney. 1996. "Mortgage Lending in Boston: Interpreting HMDA Data." </w:t>
      </w:r>
      <w:r>
        <w:rPr>
          <w:rFonts w:ascii="times new roman" w:eastAsia="times new roman" w:hAnsi="times new roman" w:cs="times new roman"/>
          <w:i/>
          <w:iCs/>
        </w:rPr>
        <w:t>American Economic Review</w:t>
      </w:r>
      <w:r>
        <w:rPr>
          <w:rFonts w:ascii="times new roman" w:eastAsia="times new roman" w:hAnsi="times new roman" w:cs="times new roman"/>
        </w:rPr>
        <w:t xml:space="preserve"> 86(1):25–53.</w:t>
      </w:r>
    </w:p>
    <w:p>
      <w:pPr>
        <w:spacing w:before="0" w:after="0" w:line="480" w:lineRule="auto"/>
        <w:ind w:left="720" w:hanging="720"/>
        <w:jc w:val="left"/>
      </w:pPr>
      <w:r>
        <w:rPr>
          <w:rFonts w:ascii="times new roman" w:eastAsia="times new roman" w:hAnsi="times new roman" w:cs="times new roman"/>
        </w:rPr>
        <w:t xml:space="preserve">Oliver, Melvin L., and Thomas M. Shapiro. 1995. </w:t>
      </w:r>
      <w:r>
        <w:rPr>
          <w:rFonts w:ascii="times new roman" w:eastAsia="times new roman" w:hAnsi="times new roman" w:cs="times new roman"/>
          <w:i/>
          <w:iCs/>
        </w:rPr>
        <w:t>Black Wealth/White Wealth: A New Perspective on Racial Inequality.</w:t>
      </w:r>
      <w:r>
        <w:rPr>
          <w:rFonts w:ascii="times new roman" w:eastAsia="times new roman" w:hAnsi="times new roman" w:cs="times new roman"/>
        </w:rPr>
        <w:t xml:space="preserve"> New York: Routledge.</w:t>
      </w:r>
    </w:p>
    <w:p>
      <w:pPr>
        <w:spacing w:before="0" w:after="0" w:line="480" w:lineRule="auto"/>
        <w:ind w:left="720" w:hanging="720"/>
        <w:jc w:val="left"/>
      </w:pPr>
      <w:r>
        <w:rPr>
          <w:rFonts w:ascii="times new roman" w:eastAsia="times new roman" w:hAnsi="times new roman" w:cs="times new roman"/>
        </w:rPr>
        <w:t xml:space="preserve">Osili, Una Okonkwo, and Anna L. Paulson. 2008. "Institutions and Financial Development: Evidence from International Migrants in the United States." </w:t>
      </w:r>
      <w:r>
        <w:rPr>
          <w:rFonts w:ascii="times new roman" w:eastAsia="times new roman" w:hAnsi="times new roman" w:cs="times new roman"/>
          <w:i/>
          <w:iCs/>
        </w:rPr>
        <w:t>Review of Economics and Statistics</w:t>
      </w:r>
      <w:r>
        <w:rPr>
          <w:rFonts w:ascii="times new roman" w:eastAsia="times new roman" w:hAnsi="times new roman" w:cs="times new roman"/>
        </w:rPr>
        <w:t xml:space="preserve"> 90(3):498–517.</w:t>
      </w:r>
    </w:p>
    <w:p>
      <w:pPr>
        <w:spacing w:before="0" w:after="0" w:line="480" w:lineRule="auto"/>
        <w:ind w:left="720" w:hanging="720"/>
        <w:jc w:val="left"/>
      </w:pPr>
      <w:r>
        <w:rPr>
          <w:rFonts w:ascii="times new roman" w:eastAsia="times new roman" w:hAnsi="times new roman" w:cs="times new roman"/>
        </w:rPr>
        <w:t xml:space="preserve">Osili, Una Okonkwo, and Anna L. Paulson. 2009. "Immigrants' Access to Financial Services and Asset Accumulation." Pp. 285–318 in </w:t>
      </w:r>
      <w:r>
        <w:rPr>
          <w:rFonts w:ascii="times new roman" w:eastAsia="times new roman" w:hAnsi="times new roman" w:cs="times new roman"/>
          <w:i/>
          <w:iCs/>
        </w:rPr>
        <w:t>Insufficient Funds: Savings, Assets, Credit, and Banking Among Low-Income Households</w:t>
      </w:r>
      <w:r>
        <w:rPr>
          <w:rFonts w:ascii="times new roman" w:eastAsia="times new roman" w:hAnsi="times new roman" w:cs="times new roman"/>
        </w:rPr>
        <w:t>, edited by R. M. Blank and M. S. Barr. New York: Russell Sage Foundation.</w:t>
      </w:r>
    </w:p>
    <w:p>
      <w:pPr>
        <w:spacing w:before="0" w:after="0" w:line="480" w:lineRule="auto"/>
        <w:ind w:left="720" w:hanging="720"/>
        <w:jc w:val="left"/>
      </w:pPr>
      <w:r>
        <w:rPr>
          <w:rFonts w:ascii="times new roman" w:eastAsia="times new roman" w:hAnsi="times new roman" w:cs="times new roman"/>
        </w:rPr>
        <w:t xml:space="preserve">Painter, Gary, Stuart Gabriel, and Dowell Myers. 2001. "Race, Immigrant Status, and Housing Tenure Choice." </w:t>
      </w:r>
      <w:r>
        <w:rPr>
          <w:rFonts w:ascii="times new roman" w:eastAsia="times new roman" w:hAnsi="times new roman" w:cs="times new roman"/>
          <w:i/>
          <w:iCs/>
        </w:rPr>
        <w:t>Journal of Urban Economics</w:t>
      </w:r>
      <w:r>
        <w:rPr>
          <w:rFonts w:ascii="times new roman" w:eastAsia="times new roman" w:hAnsi="times new roman" w:cs="times new roman"/>
        </w:rPr>
        <w:t xml:space="preserve"> 49(1):150–167.</w:t>
      </w:r>
    </w:p>
    <w:p>
      <w:pPr>
        <w:spacing w:before="0" w:after="0" w:line="480" w:lineRule="auto"/>
        <w:ind w:left="720" w:hanging="720"/>
        <w:jc w:val="left"/>
      </w:pPr>
      <w:r>
        <w:rPr>
          <w:rFonts w:ascii="times new roman" w:eastAsia="times new roman" w:hAnsi="times new roman" w:cs="times new roman"/>
        </w:rPr>
        <w:t xml:space="preserve">Painter, Matthew A., II, Malcolm D. Holmes, and Jenna Bateman. 2016. "Skin Tone, Race/Ethnicity, and Wealth Inequality among New Immigrants." </w:t>
      </w:r>
      <w:r>
        <w:rPr>
          <w:rFonts w:ascii="times new roman" w:eastAsia="times new roman" w:hAnsi="times new roman" w:cs="times new roman"/>
          <w:i/>
          <w:iCs/>
        </w:rPr>
        <w:t>Social Forces</w:t>
      </w:r>
      <w:r>
        <w:rPr>
          <w:rFonts w:ascii="times new roman" w:eastAsia="times new roman" w:hAnsi="times new roman" w:cs="times new roman"/>
        </w:rPr>
        <w:t xml:space="preserve"> 94(3):1153–1185.</w:t>
      </w:r>
    </w:p>
    <w:p>
      <w:pPr>
        <w:spacing w:before="0" w:after="0" w:line="480" w:lineRule="auto"/>
        <w:ind w:left="720" w:hanging="720"/>
        <w:jc w:val="left"/>
      </w:pPr>
      <w:r>
        <w:rPr>
          <w:rFonts w:ascii="times new roman" w:eastAsia="times new roman" w:hAnsi="times new roman" w:cs="times new roman"/>
        </w:rPr>
        <w:t xml:space="preserve">Painter, Matthew A., II, and Zhenchao Qian. 2016. "Wealth Inequality Among Immigrants: Consistent Racial/Ethnic Inequality in the United States." </w:t>
      </w:r>
      <w:r>
        <w:rPr>
          <w:rFonts w:ascii="times new roman" w:eastAsia="times new roman" w:hAnsi="times new roman" w:cs="times new roman"/>
          <w:i/>
          <w:iCs/>
        </w:rPr>
        <w:t>Population Research and Policy Review</w:t>
      </w:r>
      <w:r>
        <w:rPr>
          <w:rFonts w:ascii="times new roman" w:eastAsia="times new roman" w:hAnsi="times new roman" w:cs="times new roman"/>
        </w:rPr>
        <w:t xml:space="preserve"> 35(2):147–175.</w:t>
      </w:r>
    </w:p>
    <w:p>
      <w:pPr>
        <w:spacing w:before="0" w:after="0" w:line="480" w:lineRule="auto"/>
        <w:ind w:left="720" w:hanging="720"/>
        <w:jc w:val="left"/>
      </w:pPr>
      <w:r>
        <w:rPr>
          <w:rFonts w:ascii="times new roman" w:eastAsia="times new roman" w:hAnsi="times new roman" w:cs="times new roman"/>
        </w:rPr>
        <w:t xml:space="preserve">Portes, Alejandro, and Robert L. Bach. 1985. </w:t>
      </w:r>
      <w:r>
        <w:rPr>
          <w:rFonts w:ascii="times new roman" w:eastAsia="times new roman" w:hAnsi="times new roman" w:cs="times new roman"/>
          <w:i/>
          <w:iCs/>
        </w:rPr>
        <w:t>Latin Journey: Cuban and Mexican Immigrants in the United States.</w:t>
      </w:r>
      <w:r>
        <w:rPr>
          <w:rFonts w:ascii="times new roman" w:eastAsia="times new roman" w:hAnsi="times new roman" w:cs="times new roman"/>
        </w:rPr>
        <w:t xml:space="preserve"> Berkeley, CA: University of California Press.</w:t>
      </w:r>
    </w:p>
    <w:p>
      <w:pPr>
        <w:spacing w:before="0" w:after="0" w:line="480" w:lineRule="auto"/>
        <w:ind w:left="720" w:hanging="720"/>
        <w:jc w:val="left"/>
      </w:pPr>
      <w:r>
        <w:rPr>
          <w:rFonts w:ascii="times new roman" w:eastAsia="times new roman" w:hAnsi="times new roman" w:cs="times new roman"/>
        </w:rPr>
        <w:t xml:space="preserve">Portes, Alejandro, Patricia Fernández-Kelly, and William Haller. 2005. "Segmented Assimilation on the Ground: The New Second Generation in Early Adulthood." </w:t>
      </w:r>
      <w:r>
        <w:rPr>
          <w:rFonts w:ascii="times new roman" w:eastAsia="times new roman" w:hAnsi="times new roman" w:cs="times new roman"/>
          <w:i/>
          <w:iCs/>
        </w:rPr>
        <w:t>Ethnic and Racial Studies</w:t>
      </w:r>
      <w:r>
        <w:rPr>
          <w:rFonts w:ascii="times new roman" w:eastAsia="times new roman" w:hAnsi="times new roman" w:cs="times new roman"/>
        </w:rPr>
        <w:t xml:space="preserve"> 28(6):1000–1040.</w:t>
      </w:r>
    </w:p>
    <w:p>
      <w:pPr>
        <w:spacing w:before="0" w:after="0" w:line="480" w:lineRule="auto"/>
        <w:ind w:left="720" w:hanging="720"/>
        <w:jc w:val="left"/>
      </w:pPr>
      <w:r>
        <w:rPr>
          <w:rFonts w:ascii="times new roman" w:eastAsia="times new roman" w:hAnsi="times new roman" w:cs="times new roman"/>
        </w:rPr>
        <w:t xml:space="preserve">Portes, Alejandro, and Rubén G. Rumbaut. 2001. </w:t>
      </w:r>
      <w:r>
        <w:rPr>
          <w:rFonts w:ascii="times new roman" w:eastAsia="times new roman" w:hAnsi="times new roman" w:cs="times new roman"/>
          <w:i/>
          <w:iCs/>
        </w:rPr>
        <w:t>Legacies: The Story of the Immigrant Second Generation.</w:t>
      </w:r>
      <w:r>
        <w:rPr>
          <w:rFonts w:ascii="times new roman" w:eastAsia="times new roman" w:hAnsi="times new roman" w:cs="times new roman"/>
        </w:rPr>
        <w:t xml:space="preserve"> Berkeley, CA: University of California Press.</w:t>
      </w:r>
    </w:p>
    <w:p>
      <w:pPr>
        <w:spacing w:before="0" w:after="0" w:line="480" w:lineRule="auto"/>
        <w:ind w:left="720" w:hanging="720"/>
        <w:jc w:val="left"/>
      </w:pPr>
      <w:r>
        <w:rPr>
          <w:rFonts w:ascii="times new roman" w:eastAsia="times new roman" w:hAnsi="times new roman" w:cs="times new roman"/>
        </w:rPr>
        <w:t xml:space="preserve">Portes, Alejandro, and Min Zhou. 1993. "The New Second Generation: Segmented Assimilation and Its Variants." </w:t>
      </w:r>
      <w:r>
        <w:rPr>
          <w:rFonts w:ascii="times new roman" w:eastAsia="times new roman" w:hAnsi="times new roman" w:cs="times new roman"/>
          <w:i/>
          <w:iCs/>
        </w:rPr>
        <w:t>Annals of the American Academy of Political and Social Science</w:t>
      </w:r>
      <w:r>
        <w:rPr>
          <w:rFonts w:ascii="times new roman" w:eastAsia="times new roman" w:hAnsi="times new roman" w:cs="times new roman"/>
        </w:rPr>
        <w:t xml:space="preserve"> 530(1):74–96.</w:t>
      </w:r>
    </w:p>
    <w:p>
      <w:pPr>
        <w:spacing w:before="0" w:after="0" w:line="480" w:lineRule="auto"/>
        <w:ind w:left="720" w:hanging="720"/>
        <w:jc w:val="left"/>
      </w:pPr>
      <w:r>
        <w:rPr>
          <w:rFonts w:ascii="times new roman" w:eastAsia="times new roman" w:hAnsi="times new roman" w:cs="times new roman"/>
        </w:rPr>
        <w:t xml:space="preserve">Rhine, Sherrie L. W., and William H. Greene. 2006. "The Determinants of Being Unbanked for U.S. Immigrants." </w:t>
      </w:r>
      <w:r>
        <w:rPr>
          <w:rFonts w:ascii="times new roman" w:eastAsia="times new roman" w:hAnsi="times new roman" w:cs="times new roman"/>
          <w:i/>
          <w:iCs/>
        </w:rPr>
        <w:t>Journal of Consumer Affairs</w:t>
      </w:r>
      <w:r>
        <w:rPr>
          <w:rFonts w:ascii="times new roman" w:eastAsia="times new roman" w:hAnsi="times new roman" w:cs="times new roman"/>
        </w:rPr>
        <w:t xml:space="preserve"> 40(1):21–40.</w:t>
      </w:r>
    </w:p>
    <w:p>
      <w:pPr>
        <w:spacing w:before="0" w:after="0" w:line="480" w:lineRule="auto"/>
        <w:ind w:left="720" w:hanging="720"/>
        <w:jc w:val="left"/>
      </w:pPr>
      <w:r>
        <w:rPr>
          <w:rFonts w:ascii="times new roman" w:eastAsia="times new roman" w:hAnsi="times new roman" w:cs="times new roman"/>
        </w:rPr>
        <w:t xml:space="preserve">Rosenbaum, Paul R. 1984. "The Consequences of Adjustment for a Concomitant Variable That Has Been Affected by the Treatment." </w:t>
      </w:r>
      <w:r>
        <w:rPr>
          <w:rFonts w:ascii="times new roman" w:eastAsia="times new roman" w:hAnsi="times new roman" w:cs="times new roman"/>
          <w:i/>
          <w:iCs/>
        </w:rPr>
        <w:t>Journal of the Royal Statistical Society Series A</w:t>
      </w:r>
      <w:r>
        <w:rPr>
          <w:rFonts w:ascii="times new roman" w:eastAsia="times new roman" w:hAnsi="times new roman" w:cs="times new roman"/>
        </w:rPr>
        <w:t xml:space="preserve"> 147(5):656–666.</w:t>
      </w:r>
    </w:p>
    <w:p>
      <w:pPr>
        <w:spacing w:before="0" w:after="0" w:line="480" w:lineRule="auto"/>
        <w:ind w:left="720" w:hanging="720"/>
        <w:jc w:val="left"/>
      </w:pPr>
      <w:r>
        <w:rPr>
          <w:rFonts w:ascii="times new roman" w:eastAsia="times new roman" w:hAnsi="times new roman" w:cs="times new roman"/>
        </w:rPr>
        <w:t xml:space="preserve">Rubin, Donald B. 1987. </w:t>
      </w:r>
      <w:r>
        <w:rPr>
          <w:rFonts w:ascii="times new roman" w:eastAsia="times new roman" w:hAnsi="times new roman" w:cs="times new roman"/>
          <w:i/>
          <w:iCs/>
        </w:rPr>
        <w:t>Multiple Imputation for Nonresponse in Surveys.</w:t>
      </w:r>
      <w:r>
        <w:rPr>
          <w:rFonts w:ascii="times new roman" w:eastAsia="times new roman" w:hAnsi="times new roman" w:cs="times new roman"/>
        </w:rPr>
        <w:t xml:space="preserve"> New York: Wiley.</w:t>
      </w:r>
    </w:p>
    <w:p>
      <w:pPr>
        <w:spacing w:before="0" w:after="0" w:line="480" w:lineRule="auto"/>
        <w:ind w:left="720" w:hanging="720"/>
        <w:jc w:val="left"/>
      </w:pPr>
      <w:r>
        <w:rPr>
          <w:rFonts w:ascii="times new roman" w:eastAsia="times new roman" w:hAnsi="times new roman" w:cs="times new roman"/>
        </w:rPr>
        <w:t xml:space="preserve">Rumbaut, Rubén G., and Alejandro Portes, eds. 2001. </w:t>
      </w:r>
      <w:r>
        <w:rPr>
          <w:rFonts w:ascii="times new roman" w:eastAsia="times new roman" w:hAnsi="times new roman" w:cs="times new roman"/>
          <w:i/>
          <w:iCs/>
        </w:rPr>
        <w:t>Ethnicities: Children of Immigrants in America.</w:t>
      </w:r>
      <w:r>
        <w:rPr>
          <w:rFonts w:ascii="times new roman" w:eastAsia="times new roman" w:hAnsi="times new roman" w:cs="times new roman"/>
        </w:rPr>
        <w:t xml:space="preserve"> Berkeley, CA: University of California Press.</w:t>
      </w:r>
    </w:p>
    <w:p>
      <w:pPr>
        <w:spacing w:before="0" w:after="0" w:line="480" w:lineRule="auto"/>
        <w:ind w:left="720" w:hanging="720"/>
        <w:jc w:val="left"/>
      </w:pPr>
      <w:r>
        <w:rPr>
          <w:rFonts w:ascii="times new roman" w:eastAsia="times new roman" w:hAnsi="times new roman" w:cs="times new roman"/>
        </w:rPr>
        <w:t xml:space="preserve">Sanders, Jimy M., and Victor Nee. 1987. "Limits of Ethnic Solidarity in the Enclave Economy." </w:t>
      </w:r>
      <w:r>
        <w:rPr>
          <w:rFonts w:ascii="times new roman" w:eastAsia="times new roman" w:hAnsi="times new roman" w:cs="times new roman"/>
          <w:i/>
          <w:iCs/>
        </w:rPr>
        <w:t>American Sociological Review</w:t>
      </w:r>
      <w:r>
        <w:rPr>
          <w:rFonts w:ascii="times new roman" w:eastAsia="times new roman" w:hAnsi="times new roman" w:cs="times new roman"/>
        </w:rPr>
        <w:t xml:space="preserve"> 52(6):745–773.</w:t>
      </w:r>
    </w:p>
    <w:p>
      <w:pPr>
        <w:spacing w:before="0" w:after="0" w:line="480" w:lineRule="auto"/>
        <w:ind w:left="720" w:hanging="720"/>
        <w:jc w:val="left"/>
      </w:pPr>
      <w:r>
        <w:rPr>
          <w:rFonts w:ascii="times new roman" w:eastAsia="times new roman" w:hAnsi="times new roman" w:cs="times new roman"/>
        </w:rPr>
        <w:t xml:space="preserve">Sevak, Purvi, and Lucie Schmidt. 2014. "Immigrants and Retirement Resources." </w:t>
      </w:r>
      <w:r>
        <w:rPr>
          <w:rFonts w:ascii="times new roman" w:eastAsia="times new roman" w:hAnsi="times new roman" w:cs="times new roman"/>
          <w:i/>
          <w:iCs/>
        </w:rPr>
        <w:t>Social Security Bulletin</w:t>
      </w:r>
      <w:r>
        <w:rPr>
          <w:rFonts w:ascii="times new roman" w:eastAsia="times new roman" w:hAnsi="times new roman" w:cs="times new roman"/>
        </w:rPr>
        <w:t xml:space="preserve"> 74(1):27–45.</w:t>
      </w:r>
    </w:p>
    <w:p>
      <w:pPr>
        <w:spacing w:before="0" w:after="0" w:line="480" w:lineRule="auto"/>
        <w:ind w:left="720" w:hanging="720"/>
        <w:jc w:val="left"/>
      </w:pPr>
      <w:r>
        <w:rPr>
          <w:rFonts w:ascii="times new roman" w:eastAsia="times new roman" w:hAnsi="times new roman" w:cs="times new roman"/>
        </w:rPr>
        <w:t xml:space="preserve">Shapiro, Thomas M. 2004. </w:t>
      </w:r>
      <w:r>
        <w:rPr>
          <w:rFonts w:ascii="times new roman" w:eastAsia="times new roman" w:hAnsi="times new roman" w:cs="times new roman"/>
          <w:i/>
          <w:iCs/>
        </w:rPr>
        <w:t>The Hidden Cost of Being African American: How Wealth Perpetuates Inequality.</w:t>
      </w:r>
      <w:r>
        <w:rPr>
          <w:rFonts w:ascii="times new roman" w:eastAsia="times new roman" w:hAnsi="times new roman" w:cs="times new roman"/>
        </w:rPr>
        <w:t xml:space="preserve"> New York: Oxford University Press.</w:t>
      </w:r>
    </w:p>
    <w:p>
      <w:pPr>
        <w:spacing w:before="0" w:after="0" w:line="480" w:lineRule="auto"/>
        <w:ind w:left="720" w:hanging="720"/>
        <w:jc w:val="left"/>
      </w:pPr>
      <w:r>
        <w:rPr>
          <w:rFonts w:ascii="times new roman" w:eastAsia="times new roman" w:hAnsi="times new roman" w:cs="times new roman"/>
        </w:rPr>
        <w:t xml:space="preserve">Smith, Robert C. 2006. </w:t>
      </w:r>
      <w:r>
        <w:rPr>
          <w:rFonts w:ascii="times new roman" w:eastAsia="times new roman" w:hAnsi="times new roman" w:cs="times new roman"/>
          <w:i/>
          <w:iCs/>
        </w:rPr>
        <w:t>Mexican New York: Transnational Lives of New Immigrants.</w:t>
      </w:r>
      <w:r>
        <w:rPr>
          <w:rFonts w:ascii="times new roman" w:eastAsia="times new roman" w:hAnsi="times new roman" w:cs="times new roman"/>
        </w:rPr>
        <w:t xml:space="preserve"> Berkeley, CA: University of California Press.</w:t>
      </w:r>
    </w:p>
    <w:p>
      <w:pPr>
        <w:spacing w:before="0" w:after="0" w:line="480" w:lineRule="auto"/>
        <w:ind w:left="720" w:hanging="720"/>
        <w:jc w:val="left"/>
      </w:pPr>
      <w:r>
        <w:rPr>
          <w:rFonts w:ascii="times new roman" w:eastAsia="times new roman" w:hAnsi="times new roman" w:cs="times new roman"/>
        </w:rPr>
        <w:t xml:space="preserve">Spilerman, Seymour. 2000. "Wealth and Stratification Processes." </w:t>
      </w:r>
      <w:r>
        <w:rPr>
          <w:rFonts w:ascii="times new roman" w:eastAsia="times new roman" w:hAnsi="times new roman" w:cs="times new roman"/>
          <w:i/>
          <w:iCs/>
        </w:rPr>
        <w:t>Annual Review of Sociology</w:t>
      </w:r>
      <w:r>
        <w:rPr>
          <w:rFonts w:ascii="times new roman" w:eastAsia="times new roman" w:hAnsi="times new roman" w:cs="times new roman"/>
        </w:rPr>
        <w:t xml:space="preserve"> 26:497–524.</w:t>
      </w:r>
    </w:p>
    <w:p>
      <w:pPr>
        <w:spacing w:before="0" w:after="0" w:line="480" w:lineRule="auto"/>
        <w:ind w:left="720" w:hanging="720"/>
        <w:jc w:val="left"/>
      </w:pPr>
      <w:r>
        <w:rPr>
          <w:rFonts w:ascii="times new roman" w:eastAsia="times new roman" w:hAnsi="times new roman" w:cs="times new roman"/>
        </w:rPr>
        <w:t xml:space="preserve">Telles, Edward E., and Vilma Ortiz. 2008. </w:t>
      </w:r>
      <w:r>
        <w:rPr>
          <w:rFonts w:ascii="times new roman" w:eastAsia="times new roman" w:hAnsi="times new roman" w:cs="times new roman"/>
          <w:i/>
          <w:iCs/>
        </w:rPr>
        <w:t>Generations of Exclusion: Mexican Americans, Assimilation, and Race.</w:t>
      </w:r>
      <w:r>
        <w:rPr>
          <w:rFonts w:ascii="times new roman" w:eastAsia="times new roman" w:hAnsi="times new roman" w:cs="times new roman"/>
        </w:rPr>
        <w:t xml:space="preserve"> New York: Russell Sage Foundation.</w:t>
      </w:r>
    </w:p>
    <w:p>
      <w:pPr>
        <w:spacing w:before="0" w:after="0" w:line="480" w:lineRule="auto"/>
        <w:ind w:left="720" w:hanging="720"/>
        <w:jc w:val="left"/>
      </w:pPr>
      <w:r>
        <w:rPr>
          <w:rFonts w:ascii="times new roman" w:eastAsia="times new roman" w:hAnsi="times new roman" w:cs="times new roman"/>
        </w:rPr>
        <w:t xml:space="preserve">VanderWeele, Tyler J. 2015. </w:t>
      </w:r>
      <w:r>
        <w:rPr>
          <w:rFonts w:ascii="times new roman" w:eastAsia="times new roman" w:hAnsi="times new roman" w:cs="times new roman"/>
          <w:i/>
          <w:iCs/>
        </w:rPr>
        <w:t>Explanation in Causal Inference: Methods for Mediation and Interaction.</w:t>
      </w:r>
      <w:r>
        <w:rPr>
          <w:rFonts w:ascii="times new roman" w:eastAsia="times new roman" w:hAnsi="times new roman" w:cs="times new roman"/>
        </w:rPr>
        <w:t xml:space="preserve"> New York: Oxford University Press.</w:t>
      </w:r>
    </w:p>
    <w:p>
      <w:pPr>
        <w:spacing w:before="0" w:after="0" w:line="480" w:lineRule="auto"/>
        <w:ind w:left="720" w:hanging="720"/>
        <w:jc w:val="left"/>
      </w:pPr>
      <w:r>
        <w:rPr>
          <w:rFonts w:ascii="times new roman" w:eastAsia="times new roman" w:hAnsi="times new roman" w:cs="times new roman"/>
        </w:rPr>
        <w:t xml:space="preserve">Waters, Mary C. 1999. </w:t>
      </w:r>
      <w:r>
        <w:rPr>
          <w:rFonts w:ascii="times new roman" w:eastAsia="times new roman" w:hAnsi="times new roman" w:cs="times new roman"/>
          <w:i/>
          <w:iCs/>
        </w:rPr>
        <w:t>Black Identities: West Indian Immigrant Dreams and American Realities.</w:t>
      </w:r>
      <w:r>
        <w:rPr>
          <w:rFonts w:ascii="times new roman" w:eastAsia="times new roman" w:hAnsi="times new roman" w:cs="times new roman"/>
        </w:rPr>
        <w:t xml:space="preserve"> Cambridge, MA: Harvard University Press.</w:t>
      </w:r>
    </w:p>
    <w:p>
      <w:pPr>
        <w:spacing w:before="0" w:after="0" w:line="480" w:lineRule="auto"/>
        <w:ind w:left="720" w:hanging="720"/>
        <w:jc w:val="left"/>
      </w:pPr>
      <w:r>
        <w:rPr>
          <w:rFonts w:ascii="times new roman" w:eastAsia="times new roman" w:hAnsi="times new roman" w:cs="times new roman"/>
        </w:rPr>
        <w:t xml:space="preserve">Waters, Mary C., and Tomás R. Jiménez. 2005. "Assessing Immigrant Assimilation: New Empirical and Theoretical Challenges." </w:t>
      </w:r>
      <w:r>
        <w:rPr>
          <w:rFonts w:ascii="times new roman" w:eastAsia="times new roman" w:hAnsi="times new roman" w:cs="times new roman"/>
          <w:i/>
          <w:iCs/>
        </w:rPr>
        <w:t>Annual Review of Sociology</w:t>
      </w:r>
      <w:r>
        <w:rPr>
          <w:rFonts w:ascii="times new roman" w:eastAsia="times new roman" w:hAnsi="times new roman" w:cs="times new roman"/>
        </w:rPr>
        <w:t xml:space="preserve"> 31:105–125.</w:t>
      </w:r>
    </w:p>
    <w:p>
      <w:pPr>
        <w:spacing w:before="0" w:after="0" w:line="480" w:lineRule="auto"/>
        <w:ind w:left="720" w:hanging="720"/>
        <w:jc w:val="left"/>
      </w:pPr>
      <w:r>
        <w:rPr>
          <w:rFonts w:ascii="times new roman" w:eastAsia="times new roman" w:hAnsi="times new roman" w:cs="times new roman"/>
        </w:rPr>
        <w:t xml:space="preserve">Wilson, Kenneth L., and Alejandro Portes. 1980. "Immigrant Enclaves: An Analysis of the Labor Market Experiences of Cubans in Miami." </w:t>
      </w:r>
      <w:r>
        <w:rPr>
          <w:rFonts w:ascii="times new roman" w:eastAsia="times new roman" w:hAnsi="times new roman" w:cs="times new roman"/>
          <w:i/>
          <w:iCs/>
        </w:rPr>
        <w:t>American Journal of Sociology</w:t>
      </w:r>
      <w:r>
        <w:rPr>
          <w:rFonts w:ascii="times new roman" w:eastAsia="times new roman" w:hAnsi="times new roman" w:cs="times new roman"/>
        </w:rPr>
        <w:t xml:space="preserve"> 86(2):295–319.</w:t>
      </w:r>
    </w:p>
    <w:p>
      <w:pPr>
        <w:spacing w:before="0" w:after="0" w:line="480" w:lineRule="auto"/>
        <w:ind w:left="720" w:hanging="720"/>
        <w:jc w:val="left"/>
      </w:pPr>
      <w:r>
        <w:rPr>
          <w:rFonts w:ascii="times new roman" w:eastAsia="times new roman" w:hAnsi="times new roman" w:cs="times new roman"/>
        </w:rPr>
        <w:t xml:space="preserve">Xie, Yu, and Emily Greenman. 2011. "The Social Context of Assimilation: Testing Implications of Segmented Assimilation Theory." </w:t>
      </w:r>
      <w:r>
        <w:rPr>
          <w:rFonts w:ascii="times new roman" w:eastAsia="times new roman" w:hAnsi="times new roman" w:cs="times new roman"/>
          <w:i/>
          <w:iCs/>
        </w:rPr>
        <w:t>Social Science Research</w:t>
      </w:r>
      <w:r>
        <w:rPr>
          <w:rFonts w:ascii="times new roman" w:eastAsia="times new roman" w:hAnsi="times new roman" w:cs="times new roman"/>
        </w:rPr>
        <w:t xml:space="preserve"> 40(3):965–984.</w:t>
      </w:r>
    </w:p>
    <w:p>
      <w:pPr>
        <w:spacing w:before="0" w:after="0" w:line="480" w:lineRule="auto"/>
        <w:ind w:left="720" w:hanging="720"/>
        <w:jc w:val="left"/>
      </w:pPr>
      <w:r>
        <w:rPr>
          <w:rFonts w:ascii="times new roman" w:eastAsia="times new roman" w:hAnsi="times new roman" w:cs="times new roman"/>
        </w:rPr>
        <w:t xml:space="preserve">Zhou, Min. 1997. "Segmented Assimilation: Issues, Controversies, and Recent Research on the New Second Generation." </w:t>
      </w:r>
      <w:r>
        <w:rPr>
          <w:rFonts w:ascii="times new roman" w:eastAsia="times new roman" w:hAnsi="times new roman" w:cs="times new roman"/>
          <w:i/>
          <w:iCs/>
        </w:rPr>
        <w:t>International Migration Review</w:t>
      </w:r>
      <w:r>
        <w:rPr>
          <w:rFonts w:ascii="times new roman" w:eastAsia="times new roman" w:hAnsi="times new roman" w:cs="times new roman"/>
        </w:rPr>
        <w:t xml:space="preserve"> 31(4):975–1008.</w:t>
      </w: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Literature_Review_Immigrant_Household_Finances</dc:title>
  <cp:revision>0</cp:revision>
</cp:coreProperties>
</file>