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240" w:after="120"/>
      </w:pPr>
      <w:r>
        <w:rPr>
          <w:rFonts w:ascii="Times New Roman" w:hAnsi="Times New Roman"/>
          <w:b/>
          <w:i w:val="0"/>
          <w:color w:val="000000"/>
          <w:sz w:val="28"/>
        </w:rPr>
        <w:t>Literature Review</w:t>
      </w:r>
    </w:p>
    <w:p>
      <w:pPr>
        <w:spacing w:line="480" w:lineRule="auto" w:before="240" w:after="120"/>
      </w:pPr>
      <w:r>
        <w:rPr>
          <w:rFonts w:ascii="Times New Roman" w:hAnsi="Times New Roman"/>
          <w:b/>
          <w:i w:val="0"/>
          <w:color w:val="000000"/>
          <w:sz w:val="26"/>
        </w:rPr>
        <w:t>1. Introduction and Scope of the Review</w:t>
      </w:r>
    </w:p>
    <w:p>
      <w:pPr>
        <w:spacing w:line="480" w:lineRule="auto" w:after="0"/>
        <w:ind w:firstLine="720"/>
        <w:jc w:val="both"/>
      </w:pPr>
      <w:r>
        <w:rPr>
          <w:rFonts w:ascii="Times New Roman" w:hAnsi="Times New Roman"/>
          <w:b w:val="0"/>
          <w:i w:val="0"/>
          <w:color w:val="000000"/>
          <w:sz w:val="24"/>
        </w:rPr>
        <w:t>A significant research gap motivates this thesis: until the 2022 Survey of Consumer Finances (SCF), no nationally representative U.S. wealth survey identified respondents' region of national origin, making it impossible to rigorously test how origin shapes the financial position of foreign-born households in the United States once standard human-capital variables are accounted for. Addressing this gap, the empirical analysis in this thesis examines that relationship directly. Situating this question requires engagement with four connected bodies of scholarship: the theoretical debate over immigrant assimilation, which supplies the two competing frameworks the analysis operationalizes; the empirical contest over segmented assimilation, whose unsettled conflicts motivate the two-specification design adopted here; the specialized literature on immigrant wealth, financial access, credit, and homeownership, which supplies the domain-specific expectations for the three pathway outcomes analyzed (retirement-account ownership, credit denial, and homeownership); and the methodological literature on post-treatment bias, which governs how the frameworks might legitimately be tested against cross-sectional survey data.</w:t>
      </w:r>
    </w:p>
    <w:p>
      <w:pPr>
        <w:spacing w:line="480" w:lineRule="auto" w:after="0"/>
        <w:ind w:firstLine="720"/>
        <w:jc w:val="both"/>
      </w:pPr>
      <w:r>
        <w:rPr>
          <w:rFonts w:ascii="Times New Roman" w:hAnsi="Times New Roman"/>
          <w:b w:val="0"/>
          <w:i w:val="0"/>
          <w:color w:val="000000"/>
          <w:sz w:val="24"/>
        </w:rPr>
        <w:t>To orient the reader and clarify the scope of the review, the discussion is structured around two guiding questions. First, what specific predictions does each body of literature advance regarding the relationship between national origin and the financial outcomes of foreign-born households? Second, how does each literature determine the appropriate model specification for this relationship, particularly concerning whether variables such as education, income, and household formation function as confounders to be controlled or as mediators through which origin exerts its effects? This roadmap establishes the framework for the review and delineates its contribution: the review identifies the central empirical gap addressed by this thesis, namely that the 2022 Survey of Consumer Finances (SCF), with its addition of national-origin detail, allows for a rigorous and direct test of origin effects in a nationally representative U.S. wealth survey for the first time. Accordingly, the expected contributions are situated precisely within the parameters defined by the availability and structure of this new dataset.</w:t>
      </w:r>
    </w:p>
    <w:p>
      <w:pPr>
        <w:spacing w:line="480" w:lineRule="auto" w:after="0"/>
        <w:ind w:firstLine="720"/>
        <w:jc w:val="both"/>
      </w:pPr>
      <w:r>
        <w:rPr>
          <w:rFonts w:ascii="Times New Roman" w:hAnsi="Times New Roman"/>
          <w:b w:val="0"/>
          <w:i w:val="0"/>
          <w:color w:val="000000"/>
          <w:sz w:val="24"/>
        </w:rPr>
        <w:t>Two boundary conditions warrant statement at the outset, and each reflects the evidentiary limitations of the available data. First, the analysis concerns first-generation, foreign-born householders observed cross-sectionally; accordingly, the review focuses on first-generation economic incorporation and references the second-generation literature only in cases where its pathway typology is explicitly extended to first-generation outcomes. Second, because the SCF does not collect data on legal status, parental nativity, or pre-migration wealth, the review excludes direct tests of literatures centered on those constructs. Instead, such literatures are included solely to provide contextual background, as the absence of corresponding variables in the SCF precludes empirical assessment of these dimensions within the present study. These exclusions ensure that the reviewed scholarship aligns precisely with the analytic scope permitted by the data.</w:t>
      </w:r>
    </w:p>
    <w:p>
      <w:pPr>
        <w:spacing w:line="480" w:lineRule="auto" w:before="240" w:after="120"/>
      </w:pPr>
      <w:r>
        <w:rPr>
          <w:rFonts w:ascii="Times New Roman" w:hAnsi="Times New Roman"/>
          <w:b/>
          <w:i/>
          <w:color w:val="000000"/>
          <w:sz w:val="24"/>
        </w:rPr>
        <w:t>Search Strategy</w:t>
      </w:r>
    </w:p>
    <w:p>
      <w:pPr>
        <w:spacing w:line="480" w:lineRule="auto" w:after="0"/>
        <w:ind w:firstLine="720"/>
        <w:jc w:val="both"/>
      </w:pPr>
      <w:r>
        <w:rPr>
          <w:rFonts w:ascii="Times New Roman" w:hAnsi="Times New Roman"/>
          <w:b w:val="0"/>
          <w:i w:val="0"/>
          <w:color w:val="000000"/>
          <w:sz w:val="24"/>
        </w:rPr>
        <w:t>The literature assembled here was identified through a structured search of the databases most relevant to the sociology and economics of immigration and wealth: JSTOR, EconLit, SocINDEX, and Google Scholar, supplemented by forward and backward citation tracing in the Social Sciences Citation Index. Search terms combined the theoretical vocabulary of the field (segmented assimilation, straight-line assimilation, human-capital convergence, mode of incorporation) with outcome and population terms (immigrant wealth, nativity wealth gap, financial assimilation, immigrant homeownership, credit access, retirement participation, national origin). Priority was given to peer-reviewed journal articles reporting empirical research and to university-press research monographs, with citation tracing anchored on the field-defining works (Portes and Zhou 1993; Hao 2007; Cobb-Clark and Hildebrand 2006) to locate both their antecedents and the studies that later engaged them. To ensure the currency and relevance of the review, sources were limited to works published from 1990 onward, except for earlier foundational studies essential for historical context. This time frame aligns with significant shifts in U.S. immigration patterns and the development of core theoretical frameworks pertinent to the thesis. From an initial pool of roughly sixty candidate works, thirty were retained as directly bearing on the frameworks, the wealth outcomes, or the specification questions the thesis addresses; conference papers, non-refereed web sources, and dissertations were excluded in favor of published, peer-reviewed scholarship in order to maintain a high standard of evidentiary quality and reliability.</w:t>
      </w:r>
    </w:p>
    <w:p>
      <w:pPr>
        <w:spacing w:line="480" w:lineRule="auto" w:before="240" w:after="120"/>
      </w:pPr>
      <w:r>
        <w:rPr>
          <w:rFonts w:ascii="Times New Roman" w:hAnsi="Times New Roman"/>
          <w:b/>
          <w:i/>
          <w:color w:val="000000"/>
          <w:sz w:val="24"/>
        </w:rPr>
        <w:t>A Literature Map of the Field</w:t>
      </w:r>
    </w:p>
    <w:p>
      <w:pPr>
        <w:spacing w:line="480" w:lineRule="auto" w:after="0"/>
        <w:ind w:firstLine="720"/>
        <w:jc w:val="both"/>
      </w:pPr>
      <w:r>
        <w:rPr>
          <w:rFonts w:ascii="Times New Roman" w:hAnsi="Times New Roman"/>
          <w:b w:val="0"/>
          <w:i w:val="0"/>
          <w:color w:val="000000"/>
          <w:sz w:val="24"/>
        </w:rPr>
        <w:t>Figure 1 organizes the reviewed literature as a hierarchical map with four main branches, each representing a central body of scholarship relevant to the thesis, and locates the point at which this thesis contributes. The first branch, assimilation theory, subdivides further to show the two principal frameworks under examination, human-capital convergence (Chiswick 1978; Borjas 1987, 1999; Blau and Graham 1990) and segmented assimilation (Portes and Zhou 1993; Zhou 1997; Portes and Rumbaut 2001), as well as the ongoing empirical debates involving both their proponents and critics (Haller, Portes and Lynch 2011; Alba, Kasinitz and Waters 2011; Greenman and Xie 2008). The second branch, devoted to the sociology of wealth and the immigrant-wealth literature, illustrates why wealth is considered a distinct analytical outcome (Oliver and Shapiro 1995) and identifies key empirical antecedents for the current study, such as Hao (2007), Cobb-Clark and Hildebrand (2006), and Painter and Qian (2016). The third branch aggregates the domain-specific literatures that align each segmented-assimilation pathway with a measurable financial outcome, mapping parallel integration onto retirement participation (Osili and Paulson 2008; Sevak and Schmidt 2014), downward assimilation onto credit denial (Munnell et al. 1996), and selective assimilation onto homeownership (Alba and Logan 1992). The fourth branch comprises studies on within-race and selection dynamics that justify the disaggregation of origin groups (Model 2008; Logan 2007), alongside methodological works dictating proper testing of these theoretical frameworks in cross-sectional data contexts (Rosenbaum 1984; Acharya, Blackwell and Sen 2016; Firth 1993). This map structure not only visually distinguishes the major literatures but also clarifies how the thesis connects to each research branch.</w:t>
      </w:r>
    </w:p>
    <w:p>
      <w:pPr>
        <w:spacing w:line="480" w:lineRule="auto" w:after="0"/>
        <w:ind w:firstLine="720"/>
        <w:jc w:val="both"/>
      </w:pPr>
      <w:r>
        <w:rPr>
          <w:rFonts w:ascii="Times New Roman" w:hAnsi="Times New Roman"/>
          <w:b w:val="0"/>
          <w:i w:val="0"/>
          <w:color w:val="000000"/>
          <w:sz w:val="24"/>
        </w:rPr>
        <w:t>The "Need to Study" box at the base of the map locates the present thesis and the dashed lines record how it connects to each branch. The thesis tests the competing frameworks of the first branch through its two-specification design; it extends the immigrant-wealth precedents of the second branch by using the first nationally representative U.S. wealth survey to carry national-origin detail (Aladangady et al. 2023); it operationalizes the pathway-to-outcome logic of the third branch across its three financial outcomes; and it inherits the specification discipline and the selection caveat of the fourth. The map thus makes visible both the convergence of these literatures on a single unanswered question and the specific point at which this thesis contributes.</w:t>
      </w:r>
    </w:p>
    <w:p>
      <w:r>
        <w:br w:type="page"/>
      </w:r>
    </w:p>
    <w:p>
      <w:pPr>
        <w:spacing w:before="120"/>
        <w:jc w:val="center"/>
      </w:pPr>
      <w:r>
        <w:drawing>
          <wp:inline xmlns:a="http://schemas.openxmlformats.org/drawingml/2006/main" xmlns:pic="http://schemas.openxmlformats.org/drawingml/2006/picture">
            <wp:extent cx="5943600" cy="4705350"/>
            <wp:docPr id="1" name="Picture 1"/>
            <wp:cNvGraphicFramePr>
              <a:graphicFrameLocks noChangeAspect="1"/>
            </wp:cNvGraphicFramePr>
            <a:graphic>
              <a:graphicData uri="http://schemas.openxmlformats.org/drawingml/2006/picture">
                <pic:pic>
                  <pic:nvPicPr>
                    <pic:cNvPr id="0" name="litmap.png"/>
                    <pic:cNvPicPr/>
                  </pic:nvPicPr>
                  <pic:blipFill>
                    <a:blip r:embed="rId9"/>
                    <a:stretch>
                      <a:fillRect/>
                    </a:stretch>
                  </pic:blipFill>
                  <pic:spPr>
                    <a:xfrm>
                      <a:off x="0" y="0"/>
                      <a:ext cx="5943600" cy="4705350"/>
                    </a:xfrm>
                    <a:prstGeom prst="rect"/>
                  </pic:spPr>
                </pic:pic>
              </a:graphicData>
            </a:graphic>
          </wp:inline>
        </w:drawing>
      </w:r>
    </w:p>
    <w:p>
      <w:pPr>
        <w:spacing w:after="240"/>
        <w:jc w:val="center"/>
      </w:pPr>
      <w:r>
        <w:rPr>
          <w:rFonts w:ascii="Times New Roman" w:hAnsi="Times New Roman"/>
          <w:b/>
          <w:i w:val="0"/>
          <w:color w:val="000000"/>
          <w:sz w:val="20"/>
        </w:rPr>
        <w:t xml:space="preserve">Figure 1. </w:t>
      </w:r>
      <w:r>
        <w:rPr>
          <w:rFonts w:ascii="Times New Roman" w:hAnsi="Times New Roman"/>
          <w:b w:val="0"/>
          <w:i/>
          <w:color w:val="000000"/>
          <w:sz w:val="20"/>
        </w:rPr>
        <w:t>Literature map of the field, with the proposed study positioned at the base. Solid lines group the reviewed literature; dashed lines show how the thesis connects to each branch.</w:t>
      </w:r>
    </w:p>
    <w:p>
      <w:pPr>
        <w:spacing w:line="480" w:lineRule="auto" w:before="240" w:after="120"/>
      </w:pPr>
      <w:r>
        <w:rPr>
          <w:rFonts w:ascii="Times New Roman" w:hAnsi="Times New Roman"/>
          <w:b/>
          <w:i w:val="0"/>
          <w:color w:val="000000"/>
          <w:sz w:val="26"/>
        </w:rPr>
        <w:t>2. From Straight-Line Assimilation to the Modern Debate</w:t>
      </w:r>
    </w:p>
    <w:p>
      <w:pPr>
        <w:spacing w:line="480" w:lineRule="auto" w:after="0"/>
        <w:ind w:firstLine="720"/>
        <w:jc w:val="both"/>
      </w:pPr>
      <w:r>
        <w:rPr>
          <w:rFonts w:ascii="Times New Roman" w:hAnsi="Times New Roman"/>
          <w:b w:val="0"/>
          <w:i w:val="0"/>
          <w:color w:val="000000"/>
          <w:sz w:val="24"/>
        </w:rPr>
        <w:t>The classical account of assimilation held that immigrant incorporation proceeds in a single direction. With time and generational succession, the descendants of immigrants would become economically indistinguishable from the native mainstream, and origin-group membership would lose its indicative power over socioeconomic outcomes. The post-1965 transformation of U.S. immigration, drawn overwhelmingly from Latin America, Asia, and the Caribbean rather than Europe, forced a re-examination of that expectation, and two responses define the modern debate.</w:t>
      </w:r>
    </w:p>
    <w:p>
      <w:pPr>
        <w:spacing w:line="480" w:lineRule="auto" w:after="0"/>
        <w:ind w:firstLine="720"/>
        <w:jc w:val="both"/>
      </w:pPr>
      <w:r>
        <w:rPr>
          <w:rFonts w:ascii="Times New Roman" w:hAnsi="Times New Roman"/>
          <w:b w:val="0"/>
          <w:i w:val="0"/>
          <w:color w:val="000000"/>
          <w:sz w:val="24"/>
        </w:rPr>
        <w:t>The first, associated with Alba and Nee (1997), rehabilitated assimilation theory rather than discarding it. In their reformulation, assimilation is not the absorption of minorities into an unchanging Anglo core but a gradual, often unintended attenuation of ethnic boundaries as immigrants pursue advancement through mainstream institutions that themselves change in the process. This articulation preserves the classical prediction at the level of observable results: origin distinctions should decay with time and with the acquisition of destination-specific human capital, and whatever origin gradients remain should be interpretable as component differences in education, income, and family structure rather than as durable, origin-specific penalties. That is precisely the prediction Model B of this thesis places under test.</w:t>
      </w:r>
    </w:p>
    <w:p>
      <w:pPr>
        <w:spacing w:line="480" w:lineRule="auto" w:after="0"/>
        <w:ind w:firstLine="720"/>
        <w:jc w:val="both"/>
      </w:pPr>
      <w:r>
        <w:rPr>
          <w:rFonts w:ascii="Times New Roman" w:hAnsi="Times New Roman"/>
          <w:b w:val="0"/>
          <w:i w:val="0"/>
          <w:color w:val="000000"/>
          <w:sz w:val="24"/>
        </w:rPr>
        <w:t>The second response rejected the uniform-mainstream premise. It held that the straight-line expectation had been calibrated on a European immigration whose descendants could cross into an expanding white mainstream, and that nothing in that experience guaranteed the same trajectory for immigrants marked as non-white in a society whose housing and credit institutions had been organized around a racial color line (Oliver and Shapiro 1995). On this reading, the question was not whether assimilation happens but into which stratum of a stratified society a given group assimilates, the question Portes and Zhou (1993) placed at the center of the segmented-assimilation framework. The stakes of that disagreement are highest for outcomes, such as wealth, where the historical operation of racialized institutions is best documented. Before turning to that framework, the review considers the economics literature that formalized the convergence expectation and supplied the covariate set that Model B inherits.</w:t>
      </w:r>
    </w:p>
    <w:p>
      <w:pPr>
        <w:spacing w:line="480" w:lineRule="auto" w:before="240" w:after="120"/>
      </w:pPr>
      <w:r>
        <w:rPr>
          <w:rFonts w:ascii="Times New Roman" w:hAnsi="Times New Roman"/>
          <w:b/>
          <w:i w:val="0"/>
          <w:color w:val="000000"/>
          <w:sz w:val="26"/>
        </w:rPr>
        <w:t>3. The Human-Capital Convergence Tradition</w:t>
      </w:r>
    </w:p>
    <w:p>
      <w:pPr>
        <w:spacing w:line="480" w:lineRule="auto" w:after="0"/>
        <w:ind w:firstLine="720"/>
        <w:jc w:val="both"/>
      </w:pPr>
      <w:r>
        <w:rPr>
          <w:rFonts w:ascii="Times New Roman" w:hAnsi="Times New Roman"/>
          <w:b w:val="0"/>
          <w:i w:val="0"/>
          <w:color w:val="000000"/>
          <w:sz w:val="24"/>
        </w:rPr>
        <w:t>The economics of immigrant assimilation begins with Chiswick's (1978) analysis of the 1970 Census, which documented that foreign-born men's earnings rise steeply with years since migration and cross the native-born profile after roughly ten to fifteen years. Chiswick read this as the return to post-migration investment in destination-specific human capital: language fluency, credential recognition, and labor-market experience. The theoretical core is that immigrants arrive with a temporary deficit of transferable skills rather than a permanent origin-linked disadvantage, and the deficit depreciates with exposure to the destination economy. Cross-sectional differences between origin groups therefore reflect differences in human capital and time since arrival, and correctly specified models should find little residual role for origin. Framed as a modeling problem, the convergence account treats education and income as confounders to be controlled, the quantities that must be held constant to recover origin's true and, on this account, negligible contribution. This is the expectation Model B is built to evaluate, and Section 9 develops its econometric implications.</w:t>
      </w:r>
    </w:p>
    <w:p>
      <w:pPr>
        <w:spacing w:line="480" w:lineRule="auto" w:after="0"/>
        <w:ind w:firstLine="720"/>
        <w:jc w:val="both"/>
      </w:pPr>
      <w:r>
        <w:rPr>
          <w:rFonts w:ascii="Times New Roman" w:hAnsi="Times New Roman"/>
          <w:b w:val="0"/>
          <w:i w:val="0"/>
          <w:color w:val="000000"/>
          <w:sz w:val="24"/>
        </w:rPr>
        <w:t>Borjas (1987) supplied the tradition's most influential complication. His self-selection model formalized why origin should matter at entry: emigration rates and the skill composition of emigrants respond to the returns to skill in the source country relative to the United States, so that origin-country conditions shape who migrates in the first place. Borjas (1999) extended this into a larger skepticism about quick convergence, arguing that entry gaps had widened across post-1965 cohorts and that convergence within a working lifetime was not assured, in part because the skill composition of successive arrival cohorts had declined. Two features of this program matter here. Even in its convergence-skeptical form, it locates the origin effect in the human-capital composition of arrival cohorts rather than in origin-specific treatment by destination institutions. Hence, origin operates through the very mediators Model B holds constant. Its focus on arrival-cohort heterogeneity is the basis for the duration-stratified analysis. If origin gradients exist but attenuate with time, pooling recent and long-tenured immigrants could obscure effects concentrated in the early window, which the stratification at fifteen years is designed to surface.</w:t>
      </w:r>
    </w:p>
    <w:p>
      <w:pPr>
        <w:spacing w:line="480" w:lineRule="auto" w:after="0"/>
        <w:ind w:firstLine="720"/>
        <w:jc w:val="both"/>
      </w:pPr>
      <w:r>
        <w:rPr>
          <w:rFonts w:ascii="Times New Roman" w:hAnsi="Times New Roman"/>
          <w:b w:val="0"/>
          <w:i w:val="0"/>
          <w:color w:val="000000"/>
          <w:sz w:val="24"/>
        </w:rPr>
        <w:t>The extension of the convergence framework from earnings to wealth begins with Blau and Graham (1990). Although their contribution concerned Black-white wealth gaps among young households, the analytical template they established, decomposing group wealth differences into the portion explained by income and demographic makeup and the residual attributable to group membership itself, became the workhorse of the quantitative wealth-gap literature. Their result that income and demographic controls explain only a fraction of the racial wealth gap is often read against a pure human-capital account, yet the decomposition logic embodies the convergence tradition's specification, in which group indicators enter alongside human-capital controls. The residual group coefficient carries the theoretical weight. This thesis's Model A and Model B contrast renders the estimand ambiguity in that template explicit rather than leaving it implicit.</w:t>
      </w:r>
    </w:p>
    <w:p>
      <w:pPr>
        <w:spacing w:line="480" w:lineRule="auto" w:after="0"/>
        <w:ind w:firstLine="720"/>
        <w:jc w:val="both"/>
      </w:pPr>
      <w:r>
        <w:rPr>
          <w:rFonts w:ascii="Times New Roman" w:hAnsi="Times New Roman"/>
          <w:b w:val="0"/>
          <w:i w:val="0"/>
          <w:color w:val="000000"/>
          <w:sz w:val="24"/>
        </w:rPr>
        <w:t>Within this tradition, the prediction for the thesis is unambiguous. Model A, conditioning only on duration and age, may display origin gradients, since origin proxies for cohort composition and selection. Model B, adding education, income, and marital status, should absorb them, and origin coefficients should collapse toward the null once the human-capital channels are held constant. The thesis's Model B results, in which all twelve origin coefficients cluster near an odds ratio of one and none reaches conventional significance, are exactly the pattern this tradition anticipates. As Sections 4 and 9 explain, that pattern does not by itself settle which framework is correct, because a fully mediated origin effect and a truly absent one leave the same regression signature.</w:t>
      </w:r>
    </w:p>
    <w:p>
      <w:pPr>
        <w:spacing w:line="480" w:lineRule="auto" w:before="240" w:after="120"/>
      </w:pPr>
      <w:r>
        <w:rPr>
          <w:rFonts w:ascii="Times New Roman" w:hAnsi="Times New Roman"/>
          <w:b/>
          <w:i w:val="0"/>
          <w:color w:val="000000"/>
          <w:sz w:val="26"/>
        </w:rPr>
        <w:t>4. Segmented Assimilation: Origins, Mechanisms, and Pathways</w:t>
      </w:r>
    </w:p>
    <w:p>
      <w:pPr>
        <w:spacing w:line="480" w:lineRule="auto" w:after="0"/>
        <w:ind w:firstLine="720"/>
        <w:jc w:val="both"/>
      </w:pPr>
      <w:r>
        <w:rPr>
          <w:rFonts w:ascii="Times New Roman" w:hAnsi="Times New Roman"/>
          <w:b w:val="0"/>
          <w:i w:val="0"/>
          <w:color w:val="000000"/>
          <w:sz w:val="24"/>
        </w:rPr>
        <w:t>The segmented-assimilation framework emerged from a research program on ethnic economies that predates its canonical 1993 statement. That program documented that immigrant communities could constitute alternative opportunity structures, dense networks of co-ethnic employers, credit, and information whose returns to human capital differed from those of the open labor market. If the value of a given education or skill endowment depends on the community context in which it is deployed, then origin-group membership is not simply a proxy for individual endowments; it indexes access to group-level resources that standard human-capital models omit. That claim, that origin carries resources external to the individual, is the wedge separating segmented assimilation from the convergence account. Framed as the same modeling problem introduced in Section 3, the difference is exact: where convergence treats education and income as confounders to be controlled, segmented assimilation treats them as mediators lying on the causal path from origin to wealth, the intervening variables through which modes of incorporation are theorized to act. The two frameworks thus disagree not only about substance but about which covariates a correctly specified model may legitimately include, a disagreement Section 9 formalizes, and the thesis's Model A and Model B are constructed to separate.</w:t>
      </w:r>
    </w:p>
    <w:p>
      <w:pPr>
        <w:spacing w:line="480" w:lineRule="auto" w:after="0"/>
        <w:ind w:firstLine="720"/>
        <w:jc w:val="both"/>
      </w:pPr>
      <w:r>
        <w:rPr>
          <w:rFonts w:ascii="Times New Roman" w:hAnsi="Times New Roman"/>
          <w:b w:val="0"/>
          <w:i w:val="0"/>
          <w:color w:val="000000"/>
          <w:sz w:val="24"/>
        </w:rPr>
        <w:t>Portes and Zhou (1993) generalized this insight into a theory of divergent incorporation. They claim that the American mainstream is not a single destination but a stratified structure, and that the segment a group enters depends on its mode of incorporation: the combination of government reception policy, societal prejudice keyed to phenotype, and the strength of the co-ethnic community. Three ideal-typical pathways follow. Groups received favorably and racialized as white or near-white experience conventional upward assimilation into the middle class; this thesis operationalizes this pathway as parallel integration. Groups racialized as non-white, concentrated in disadvantaged contexts, and lacking community resources risk downward assimilation into durable exclusion. Groups with strong ethnic communities may achieve mobility through selective acculturation, converting co-ethnic solidarity into advancement while preserving ethnic boundaries, the selective-assimilation pathway. Zhou (1997) systematized the framework and stressed its conditional structure: the theory does not predict that origin always matters, but that it matters through specifiable contextual mechanisms whose distribution varies across origin groups. The thesis inherits this three-way typology directly, pairing each pathway with an observable financial outcome in the architecture examined in Section 7.</w:t>
      </w:r>
    </w:p>
    <w:p>
      <w:pPr>
        <w:spacing w:line="480" w:lineRule="auto" w:after="0"/>
        <w:ind w:firstLine="720"/>
        <w:jc w:val="both"/>
      </w:pPr>
      <w:r>
        <w:rPr>
          <w:rFonts w:ascii="Times New Roman" w:hAnsi="Times New Roman"/>
          <w:b w:val="0"/>
          <w:i w:val="0"/>
          <w:color w:val="000000"/>
          <w:sz w:val="24"/>
        </w:rPr>
        <w:t>Portes and Rumbaut's (2001) longitudinal Children of Immigrants study is the framework's principal empirical foundation, documenting divergent educational and early-labor-market trajectories among origin groups in San Diego and South Florida and linking these to variations in parental human capital, family structure, and modes of incorporation. The evidentiary base has recognized limits. The repeated waves strengthen inference about the ordering of predictors and outcomes. Yet, the concentration in two metropolitan areas leaves open the possibility that locally specific reception contexts shape the results in ways that would not generalize to a national sample. That gap between rich local evidence and untested national scope is one this thesis's nationally representative design speaks to directly.</w:t>
      </w:r>
    </w:p>
    <w:p>
      <w:pPr>
        <w:spacing w:line="480" w:lineRule="auto" w:after="0"/>
        <w:ind w:firstLine="720"/>
        <w:jc w:val="both"/>
      </w:pPr>
      <w:r>
        <w:rPr>
          <w:rFonts w:ascii="Times New Roman" w:hAnsi="Times New Roman"/>
          <w:b w:val="0"/>
          <w:i w:val="0"/>
          <w:color w:val="000000"/>
          <w:sz w:val="24"/>
        </w:rPr>
        <w:t>The enclave-economy strand has itself been contested in ways that prefigure the specification debates of Section 9. Sanders and Nee (1987) argued that the apparent returns to enclave participation depended heavily on how the enclave was operationalized and on whether workers and entrepreneurs were pooled, since enclave employment on their reading benefited immigrant proprietors more than immigrant workers, whose returns to human capital inside the enclave could fall below those available in the open labor market. Their operationalization of enclave membership by residential co-ethnic concentration became the crux of a prolonged methodological exchange, and the lasting lesson for quantitative tests of segmented assimilation is that the framework's group-level mechanisms translate into individual-level coefficients only under contestable measurement choices, so that superficially opposed findings frequently reflect different operationalizations of the same construct. This thesis inherits a version of that problem in the SCF's five-category origin coding, which cannot distinguish enclave-embedded households from otherwise similar co-ethnics. It therefore tests the framework's reduced-form origin predictions rather than its mechanisms.</w:t>
      </w:r>
    </w:p>
    <w:p>
      <w:pPr>
        <w:spacing w:line="480" w:lineRule="auto" w:before="240" w:after="120"/>
      </w:pPr>
      <w:r>
        <w:rPr>
          <w:rFonts w:ascii="Times New Roman" w:hAnsi="Times New Roman"/>
          <w:b/>
          <w:i/>
          <w:color w:val="000000"/>
          <w:sz w:val="24"/>
        </w:rPr>
        <w:t>Three implications for the present design</w:t>
      </w:r>
    </w:p>
    <w:p>
      <w:pPr>
        <w:spacing w:line="480" w:lineRule="auto" w:after="0"/>
        <w:ind w:firstLine="720"/>
        <w:jc w:val="both"/>
      </w:pPr>
      <w:r>
        <w:rPr>
          <w:rFonts w:ascii="Times New Roman" w:hAnsi="Times New Roman"/>
          <w:b w:val="0"/>
          <w:i w:val="0"/>
          <w:color w:val="000000"/>
          <w:sz w:val="24"/>
        </w:rPr>
        <w:t>Three features of the framework bear directly on the design. First, its mechanisms operate substantially through the mediators Model B controls, since modes of incorporation are theorized to shape education, income, and family stability, which in turn shape wealth. A finding that origin coefficients attenuate once those mediators enter is therefore consistent with segmented assimilation; it is what a fully mediated origin effect looks like in a regression, rather than evidence against the theory. This is the justification for reporting Model A alongside Model B. Second, the framework forecasts within-race heterogeneity: groups sharing a census race category should follow different pathways because their modes of incorporation differ, the claim the SCF's new origin variables permit testing. Third, the framework is most naturally read as a theory of the incorporation process, which implies origin effects should be most visible early in U.S. tenure. The duration-stratified analysis operationalizes that implication, and its null result in the recent-arrival stratum bears on what the review terms the duration-narrowing version of the theory.</w:t>
      </w:r>
    </w:p>
    <w:p>
      <w:pPr>
        <w:spacing w:line="480" w:lineRule="auto" w:before="240" w:after="120"/>
      </w:pPr>
      <w:r>
        <w:rPr>
          <w:rFonts w:ascii="Times New Roman" w:hAnsi="Times New Roman"/>
          <w:b/>
          <w:i w:val="0"/>
          <w:color w:val="000000"/>
          <w:sz w:val="26"/>
        </w:rPr>
        <w:t>5. The Empirical Contest and Its Critics</w:t>
      </w:r>
    </w:p>
    <w:p>
      <w:pPr>
        <w:spacing w:line="480" w:lineRule="auto" w:after="0"/>
        <w:ind w:firstLine="720"/>
        <w:jc w:val="both"/>
      </w:pPr>
      <w:r>
        <w:rPr>
          <w:rFonts w:ascii="Times New Roman" w:hAnsi="Times New Roman"/>
          <w:b w:val="0"/>
          <w:i w:val="0"/>
          <w:color w:val="000000"/>
          <w:sz w:val="24"/>
        </w:rPr>
        <w:t>Segmented assimilation has been the most productive and the most contested framework in the sociology of immigration for three decades, and the contours of that contest inform how this thesis's null results should be read.</w:t>
      </w:r>
    </w:p>
    <w:p>
      <w:pPr>
        <w:spacing w:line="480" w:lineRule="auto" w:before="240" w:after="120"/>
      </w:pPr>
      <w:r>
        <w:rPr>
          <w:rFonts w:ascii="Times New Roman" w:hAnsi="Times New Roman"/>
          <w:b/>
          <w:i/>
          <w:color w:val="000000"/>
          <w:sz w:val="24"/>
        </w:rPr>
        <w:t>The case for downward assimilation</w:t>
      </w:r>
    </w:p>
    <w:p>
      <w:pPr>
        <w:spacing w:line="480" w:lineRule="auto" w:after="0"/>
        <w:ind w:firstLine="720"/>
        <w:jc w:val="both"/>
      </w:pPr>
      <w:r>
        <w:rPr>
          <w:rFonts w:ascii="Times New Roman" w:hAnsi="Times New Roman"/>
          <w:b w:val="0"/>
          <w:i w:val="0"/>
          <w:color w:val="000000"/>
          <w:sz w:val="24"/>
        </w:rPr>
        <w:t>The sharpest exchange appears in a paired set of Social Forces articles. Haller, Portes and Lynch (2011), analyzing the third wave of the Children of Immigrants Longitudinal Study, constructed a Downward Assimilation Index from six indicators and reported that a significant proportion of the second generation experienced outcomes consistent with downward assimilation, with the predictors of that index being the mirror image of the predictors of educational and occupational achievement and interacting significantly with the class and racial composition of early school contexts. On that basis, they defended the framework's predictive record.</w:t>
      </w:r>
    </w:p>
    <w:p>
      <w:pPr>
        <w:spacing w:line="480" w:lineRule="auto" w:before="240" w:after="120"/>
      </w:pPr>
      <w:r>
        <w:rPr>
          <w:rFonts w:ascii="Times New Roman" w:hAnsi="Times New Roman"/>
          <w:b/>
          <w:i/>
          <w:color w:val="000000"/>
          <w:sz w:val="24"/>
        </w:rPr>
        <w:t>The optimistic critique</w:t>
      </w:r>
    </w:p>
    <w:p>
      <w:pPr>
        <w:spacing w:line="480" w:lineRule="auto" w:after="0"/>
        <w:ind w:firstLine="720"/>
        <w:jc w:val="both"/>
      </w:pPr>
      <w:r>
        <w:rPr>
          <w:rFonts w:ascii="Times New Roman" w:hAnsi="Times New Roman"/>
          <w:b w:val="0"/>
          <w:i w:val="0"/>
          <w:color w:val="000000"/>
          <w:sz w:val="24"/>
        </w:rPr>
        <w:t>Alba, Kasinitz and Waters (2011), responding in the same issue, argued that the evidence shows the second generation to be mostly doing well: that downward assimilation is far less prevalent than the framework implies, that the frameworks are better read as complementary than as antagonistic, and that many apparent origin effects reflect the ordinary operation of class disadvantage rather than origin-specific incorporation regimes. Quantitative assessments outside the framework's home datasets have tended the same way. Greenman and Xie (2008), using a national adolescent-health survey, found little evidence that assimilation is systematically harmful and reported that its association with well-being varies by group and outcome in ways the pathway typology does not capture well.</w:t>
      </w:r>
    </w:p>
    <w:p>
      <w:pPr>
        <w:spacing w:line="480" w:lineRule="auto" w:before="240" w:after="120"/>
      </w:pPr>
      <w:r>
        <w:rPr>
          <w:rFonts w:ascii="Times New Roman" w:hAnsi="Times New Roman"/>
          <w:b/>
          <w:i/>
          <w:color w:val="000000"/>
          <w:sz w:val="24"/>
        </w:rPr>
        <w:t>The rejoinder and the inferential asymmetry</w:t>
      </w:r>
    </w:p>
    <w:p>
      <w:pPr>
        <w:spacing w:line="480" w:lineRule="auto" w:after="0"/>
        <w:ind w:firstLine="720"/>
        <w:jc w:val="both"/>
      </w:pPr>
      <w:r>
        <w:rPr>
          <w:rFonts w:ascii="Times New Roman" w:hAnsi="Times New Roman"/>
          <w:b w:val="0"/>
          <w:i w:val="0"/>
          <w:color w:val="000000"/>
          <w:sz w:val="24"/>
        </w:rPr>
        <w:t>The framework's proponents contend that optimistic assessments rest on samples and measures that underweight the most disadvantaged segments of the second generation, and that the theory predicts downward assimilation as a risk concentrated in specifiable modes of incorporation rather than as the modal outcome, so that findings of broad progress do not falsify it. The rejoinder exposes an inferential asymmetry this thesis confronts directly: because the theory's predictions concern conditional risks for particular configurations of origin, context, and resources, sample-wide null results always remain open to the objection that the relevant configurations are too thinly represented. That is why the thesis reports cell sizes and confidence-interval widths alongside point estimates, and why it treats its recent-arrival stratum results as bearing on one specific, falsifiable version of the theory rather than on the framework as a whole.</w:t>
      </w:r>
    </w:p>
    <w:p>
      <w:pPr>
        <w:spacing w:line="480" w:lineRule="auto" w:after="0"/>
        <w:ind w:firstLine="720"/>
        <w:jc w:val="both"/>
      </w:pPr>
      <w:r>
        <w:rPr>
          <w:rFonts w:ascii="Times New Roman" w:hAnsi="Times New Roman"/>
          <w:b w:val="0"/>
          <w:i w:val="0"/>
          <w:color w:val="000000"/>
          <w:sz w:val="24"/>
        </w:rPr>
        <w:t>Two lessons follow. The first is a measurement lesson: nearly all of the contest has been fought on educational, occupational, earnings, and behavioral outcomes, while household wealth, the domain in which cumulative, institutionally mediated disadvantage should be most visible if the downward-assimilation mechanism operates, has been largely absent, and not for theoretical reasons but because no nationally representative U.S. wealth survey identified national origin. The second is inferential: both camps agree that origin groups differ in mediating endowments, and they diverge principally on whether residual origin effects net of those endowments exist and on how mediated effects should be interpreted. A design that estimates both the total and the residual association, and that is explicit about the limits of cross-sectional adjudication, answers to the terms on which the literature has argued.</w:t>
      </w:r>
    </w:p>
    <w:p>
      <w:pPr>
        <w:spacing w:line="480" w:lineRule="auto" w:before="240" w:after="120"/>
      </w:pPr>
      <w:r>
        <w:rPr>
          <w:rFonts w:ascii="Times New Roman" w:hAnsi="Times New Roman"/>
          <w:b/>
          <w:i w:val="0"/>
          <w:color w:val="000000"/>
          <w:sz w:val="26"/>
        </w:rPr>
        <w:t>6. Wealth as a Distinct Outcome: The Immigrant Wealth Literature</w:t>
      </w:r>
    </w:p>
    <w:p>
      <w:pPr>
        <w:spacing w:line="480" w:lineRule="auto" w:after="0"/>
        <w:ind w:firstLine="720"/>
        <w:jc w:val="both"/>
      </w:pPr>
      <w:r>
        <w:rPr>
          <w:rFonts w:ascii="Times New Roman" w:hAnsi="Times New Roman"/>
          <w:b w:val="0"/>
          <w:i w:val="0"/>
          <w:color w:val="000000"/>
          <w:sz w:val="24"/>
        </w:rPr>
        <w:t>The decision to test the assimilation frameworks on wealth rather than earnings requires justification. The foundational argument is owed to Oliver and Shapiro (1995), whose study of Black-white wealth gaps established that wealth is not simply stored income. Because assets accumulate across the life course and across generations, wealth encodes the sedimented history of a group's treatment by credit markets, housing markets, and the state in a way a current-income snapshot cannot, and it is precisely the kind of institutionally mediated, group-specific disadvantage that segmented assimilation's downward pathway posits. Two properties of wealth follow that bear on the design: cross-sectional coefficients conflate cohort, age, and duration effects, since wealth reflects processes operating over long horizons; and asset-ownership margins, whether a household owns a home or a retirement account at all, behave differently from asset-value margins, which justifies the thesis's focus on binary ownership and access outcomes given the size of the SCF foreign-born sample. For the immigrant case, the wealth lens raises the stakes of the debate: if origin-linked disadvantage operates through credit rationing, housing-market discrimination, and exclusion from mainstream finance, origin gradients should appear more strongly in asset ownership and credit access than in earnings and should persist net of income; if wealth outcomes instead track the same human-capital fundamentals as earnings, the convergence framework broadens naturally to the asset domain.</w:t>
      </w:r>
    </w:p>
    <w:p>
      <w:pPr>
        <w:spacing w:line="480" w:lineRule="auto" w:after="0"/>
        <w:ind w:firstLine="720"/>
        <w:jc w:val="both"/>
      </w:pPr>
      <w:r>
        <w:rPr>
          <w:rFonts w:ascii="Times New Roman" w:hAnsi="Times New Roman"/>
          <w:b w:val="0"/>
          <w:i w:val="0"/>
          <w:color w:val="000000"/>
          <w:sz w:val="24"/>
        </w:rPr>
        <w:t>The specialized immigrant-wealth literature worked around the national-origin limitation of U.S. wealth surveys through panel data and specialty samples of new arrivals, and its findings frame the thesis's expectations. The most comprehensive treatment is Hao's (2007) study using two decades of Survey of Income and Program Participation (SIPP) data, which anticipates the thesis's motivating puzzle from both directions. It documents large and growing wealth disparities among immigrants of the same race or ethnicity, with Cuban households outpacing Dominican, Chinese outpacing Vietnamese and Korean, and Jamaican outpacing Haitian, and argues that country of origin increasingly rivals race as a determinant of wealth prospects. Yet, it traces those disparities substantially to differences in educational and institutional endowments and to differential treatment in U.S. immigration policy and labor markets, that is, to channels that controls for education and income would largely absorb. That dual result, large raw origin differences that are largely though not wholly compositional, is the single closest precedent for the pattern this thesis reports.</w:t>
      </w:r>
    </w:p>
    <w:p>
      <w:pPr>
        <w:spacing w:line="480" w:lineRule="auto" w:after="0"/>
        <w:ind w:firstLine="720"/>
        <w:jc w:val="both"/>
      </w:pPr>
      <w:r>
        <w:rPr>
          <w:rFonts w:ascii="Times New Roman" w:hAnsi="Times New Roman"/>
          <w:b w:val="0"/>
          <w:i w:val="0"/>
          <w:color w:val="000000"/>
          <w:sz w:val="24"/>
        </w:rPr>
        <w:t>Cobb-Clark and Hildebrand (2006), also using SIPP, provide the benchmark econometric estimates of the nativity wealth gap. They find the median wealth of U.S.-born couples roughly two and a half times that of foreign-born couples, and that the diversity of net worth within the immigrant population is driven primarily by differences across source regions, with Latino and especially Mexican-origin households among the lowest holders of assets. Entry cohort relates less to total net worth than to portfolio composition, with established immigrants holding relatively less financial wealth and recent immigrants relatively more, and the reverse in real-estate equity. Their decomposition is in effect a SIPP-era analog to this thesis's mediator-adjusted specification, and the source-region heterogeneity they document is exactly what the present analysis re-examines in the SCF two decades later, on ownership margins and within the foreign-born sample rather than against a native benchmark.</w:t>
      </w:r>
    </w:p>
    <w:p>
      <w:pPr>
        <w:spacing w:line="480" w:lineRule="auto" w:after="0"/>
        <w:ind w:firstLine="720"/>
        <w:jc w:val="both"/>
      </w:pPr>
      <w:r>
        <w:rPr>
          <w:rFonts w:ascii="Times New Roman" w:hAnsi="Times New Roman"/>
          <w:b w:val="0"/>
          <w:i w:val="0"/>
          <w:color w:val="000000"/>
          <w:sz w:val="24"/>
        </w:rPr>
        <w:t>Painter and Qian (2016) provide the most direct precedent for the within-immigrant design. Analyzing New Immigrant Survey data, they find consistent racial and ethnic stratification of wealth among recent immigrants that survives controls for human capital and pre-migration resources, and interpret the pattern as evidence that U.S. racial stratification structures immigrant wealth from the outset. Read alongside Hao and Cobb-Clark and Hildebrand, this literature yields a calibrated expectation rather than a sharp prediction: origin-region wealth differences among the foreign-born are real and large in raw terms and substantially, though in several studies not entirely, attributable to human-capital composition, with the residual varying by survey, outcome margin, and statistical power. The 2022 SCF contribution is therefore best understood not as the first evidence on the question but as the first evidence from the survey purpose-built to measure U.S. household finances, with survey-weighted, multiply-imputed wealth measurement of a quality the SIPP and New Immigrant Survey literatures could not match, at the cost of a smaller foreign-born sample. That trade, higher-quality measurement against reduced subgroup power, is the condition within which the thesis's results must be read.</w:t>
      </w:r>
    </w:p>
    <w:p>
      <w:pPr>
        <w:spacing w:line="480" w:lineRule="auto" w:before="240" w:after="120"/>
      </w:pPr>
      <w:r>
        <w:rPr>
          <w:rFonts w:ascii="Times New Roman" w:hAnsi="Times New Roman"/>
          <w:b/>
          <w:i w:val="0"/>
          <w:color w:val="000000"/>
          <w:sz w:val="26"/>
        </w:rPr>
        <w:t>7. Domain-Specific Evidence on the Three Pathway Outcomes</w:t>
      </w:r>
    </w:p>
    <w:p>
      <w:pPr>
        <w:spacing w:line="480" w:lineRule="auto" w:after="0"/>
        <w:ind w:firstLine="720"/>
        <w:jc w:val="both"/>
      </w:pPr>
      <w:r>
        <w:rPr>
          <w:rFonts w:ascii="Times New Roman" w:hAnsi="Times New Roman"/>
          <w:b w:val="0"/>
          <w:i w:val="0"/>
          <w:color w:val="000000"/>
          <w:sz w:val="24"/>
        </w:rPr>
        <w:t>The thesis maps each pathway onto an observable outcome: retirement-account ownership for parallel integration, credit denial for downward assimilation, and homeownership for selective assimilation. Because that mapping is an interpretive claim rather than a mechanical correspondence, it warrants defense. Each pathway should leave a distinctive signature on the household balance sheet. Parallel integration, defined by entry into mainstream middle-class institutions, should register as participation in the tax-advantaged, employer-mediated saving vehicles that define mainstream financial incorporation, which makes retirement-account ownership its proxy. Downward assimilation, defined by structural exclusion from those institutions, should register as blocked or discouraged access to mainstream credit, which makes credit denial its proxy. Selective assimilation is the subtler case: the framework's claim is that selectively assimilating groups build wealth through co-ethnic channels rather than mainstream integration, so its signature is not homeownership as such but homeownership sustained alongside comparatively low mainstream-finance participation. This is why homeownership indexes the selective rather than the parallel pathway, and why the thesis reads the three outcomes jointly rather than singly.</w:t>
      </w:r>
    </w:p>
    <w:p>
      <w:pPr>
        <w:spacing w:line="480" w:lineRule="auto" w:after="0"/>
        <w:ind w:firstLine="720"/>
        <w:jc w:val="both"/>
      </w:pPr>
      <w:r>
        <w:rPr>
          <w:rFonts w:ascii="Times New Roman" w:hAnsi="Times New Roman"/>
          <w:b w:val="0"/>
          <w:i w:val="0"/>
          <w:color w:val="000000"/>
          <w:sz w:val="24"/>
        </w:rPr>
        <w:t>Two qualifications should be stated plainly. Homeownership in isolation is theoretically ambiguous, since a large housing literature treats owning as the canonical marker of mainstream, and therefore parallel, incorporation; the selective reading depends on the joint configuration with low mainstream-finance participation rather than on the ownership margin alone. And the proxies are defensible but not exclusive, since each outcome is shaped by determinants beyond the pathway it represents, which is one reason the thesis reports the outcomes both separately and as a joint pattern matrix. With those qualifications in view, each mapping rests on a distinct literature.</w:t>
      </w:r>
    </w:p>
    <w:p>
      <w:pPr>
        <w:spacing w:line="480" w:lineRule="auto" w:after="0"/>
        <w:ind w:firstLine="720"/>
        <w:jc w:val="both"/>
      </w:pPr>
      <w:r>
        <w:rPr>
          <w:rFonts w:ascii="Times New Roman" w:hAnsi="Times New Roman"/>
          <w:b w:val="0"/>
          <w:i w:val="0"/>
          <w:color w:val="000000"/>
          <w:sz w:val="24"/>
        </w:rPr>
        <w:t>Immigrant participation in mainstream financial institutions is the outcome of parallel integration. Osili and Paulson (2008) show that immigrants from countries with weaker property-rights institutions are markedly less likely to participate in U.S. financial markets, including retirement-asset ownership, that the effect of home-country institutions persists for decades after migration, and that it is amplified where co-ethnic concentrations are dense. The finding is central here because it identifies a route by which origin could affect financial outcomes without operating through U.S.-acquired human capital at all, namely through preferences and institutional trust formed by home-country experience. On the retirement margin specifically, Sevak and Schmidt (2014) find that foreign-born households approach retirement with markedly lower Social Security entitlements than natives yet with higher net worth once demographic characteristics are held constant, and note that immigrants' shorter U.S. earnings histories mechanically depress cumulative participation at any given age, which is why duration must be held constant before origin comparisons are meaningful, the role it plays in Model A. Cast as a prediction, the parallel-integration reading implies that groups theorized to follow that pathway, principally Asian- and European-origin households, should show elevated odds of retirement-account ownership relative to the Latin American reference. In contrast, the convergence account implies odds near one once human capital is controlled.</w:t>
      </w:r>
    </w:p>
    <w:p>
      <w:pPr>
        <w:spacing w:line="480" w:lineRule="auto" w:after="0"/>
        <w:ind w:firstLine="720"/>
        <w:jc w:val="both"/>
      </w:pPr>
      <w:r>
        <w:rPr>
          <w:rFonts w:ascii="Times New Roman" w:hAnsi="Times New Roman"/>
          <w:b w:val="0"/>
          <w:i w:val="0"/>
          <w:color w:val="000000"/>
          <w:sz w:val="24"/>
        </w:rPr>
        <w:t>The credit-denial outcome connects the thesis to the literature on lending discrimination. The canonical study is the Boston Fed analysis of Munnell, Tootell, Browne, and McEneaney (1996), which found Black and Hispanic mortgage applicants substantially more likely to be denied than white applicants of comparable creditworthiness. This finding survived an extensive replication controversy and established that group-linked denial differentials net of observables are a live possibility in U.S. credit markets. The SCF measure captures denial, partial approval, and discouraged non-application in the prior year, so the outcome should be read as an indicator of experienced and anticipated credit rationing rather than of underwriting outcomes alone. Systematic evidence on credit denial by national origin is thin, considerably thinner than for participation or homeownership, which is itself a gap this thesis addresses; the absence of strong prior evidence counsels the interpretive caution the thesis adopts around its widest confidence intervals, notably the elevated but non-significant Caribbean/West Indies estimates, whose imprecision reflects a cell of forty households rather than a precisely estimated null. Cast as a prediction, the downward-assimilation reading implies that groups theorized to follow that pathway, principally Caribbean-origin and residual-category households, should show elevated odds of credit denial relative to the reference, against a convergence expectation of no such elevation net of controls.</w:t>
      </w:r>
    </w:p>
    <w:p>
      <w:pPr>
        <w:spacing w:line="480" w:lineRule="auto" w:after="0"/>
        <w:ind w:firstLine="720"/>
        <w:jc w:val="both"/>
      </w:pPr>
      <w:r>
        <w:rPr>
          <w:rFonts w:ascii="Times New Roman" w:hAnsi="Times New Roman"/>
          <w:b w:val="0"/>
          <w:i w:val="0"/>
          <w:color w:val="000000"/>
          <w:sz w:val="24"/>
        </w:rPr>
        <w:t>Homeownership is the best-developed outcome in the immigrant-finance literature. Alba and Logan (1992) set the framework, testing assimilation against stratification accounts of ownership across twelve racial and ethnic groups and finding both at work: ownership tracks life-cycle and socioeconomic position within every group, yet majority households convert those resources into ownership more readily than most minority groups, and much of the raw gap for immigrant-origin groups closes once composition, income, and location are controlled. That the ethnic and origin gaps in ownership propensity repeatedly shrink toward zero under human-capital controls makes homeownership, on balance, the friendliest terrain in this literature for the convergence account. The literature's persistent finding that duration of residence is among the strongest predictors of immigrant ownership underwrites the thesis's treatment of years in the United States as a core exogenous control in Model A and as the stratifying variable in the duration analysis. Cast as a prediction, the selective-assimilation reading implies not simply elevated homeownership for any one group but the joint signature described above: homeownership sustained alongside comparatively low mainstream-finance participation, a configuration the convergence account does not anticipate.</w:t>
      </w:r>
    </w:p>
    <w:p>
      <w:pPr>
        <w:spacing w:line="480" w:lineRule="auto" w:before="240" w:after="120"/>
      </w:pPr>
      <w:r>
        <w:rPr>
          <w:rFonts w:ascii="Times New Roman" w:hAnsi="Times New Roman"/>
          <w:b/>
          <w:i w:val="0"/>
          <w:color w:val="000000"/>
          <w:sz w:val="26"/>
        </w:rPr>
        <w:t>8. Within-Race Heterogeneity and the Selection Problem</w:t>
      </w:r>
    </w:p>
    <w:p>
      <w:pPr>
        <w:spacing w:line="480" w:lineRule="auto" w:after="0"/>
        <w:ind w:firstLine="720"/>
        <w:jc w:val="both"/>
      </w:pPr>
      <w:r>
        <w:rPr>
          <w:rFonts w:ascii="Times New Roman" w:hAnsi="Times New Roman"/>
          <w:b w:val="0"/>
          <w:i w:val="0"/>
          <w:color w:val="000000"/>
          <w:sz w:val="24"/>
        </w:rPr>
        <w:t>The claim that origin distinctions matter within census race categories, the specific claim the SCF's new variables allow testing, has its richest evidentiary base in the literature on Black immigrants. Model (2008) subjected the West Indian success narrative to systematic test and concluded that the group's advantages over African Americans owe more to the positive selectivity of migration, to who chooses to move, than to cultural difference or favored treatment. Logan (2007) mapped the socioeconomic heterogeneity of African and Caribbean immigrant populations that race-only analyses pool together. For Hispanic-origin groups, Smith (2006) and Telles and Ortiz (2008) document, respectively, the transnational structures shaping Mexican New Yorkers' mobility and the multigenerational persistence of Mexican-American disadvantage that assimilation models understate.</w:t>
      </w:r>
    </w:p>
    <w:p>
      <w:pPr>
        <w:spacing w:line="480" w:lineRule="auto" w:after="0"/>
        <w:ind w:firstLine="720"/>
        <w:jc w:val="both"/>
      </w:pPr>
      <w:r>
        <w:rPr>
          <w:rFonts w:ascii="Times New Roman" w:hAnsi="Times New Roman"/>
          <w:b w:val="0"/>
          <w:i w:val="0"/>
          <w:color w:val="000000"/>
          <w:sz w:val="24"/>
        </w:rPr>
        <w:t>This literature cuts in two directions for the thesis. It motivates the disaggregation exercise, since if within-race heterogeneity is as consequential as this work suggests, wealth surveys that stop at race mismeasure the structure of financial stratification. And it supplies the leading rival explanation for any origin gradient the thesis might find, namely selective migration and selective return migration. The thesis's survivorship-bias discussion draws on precisely this logic: a cross-sectional sample of immigrants present in 2022 conditions on remaining in the United States, and if exit is selective on financial success and differentially so by origin, observed origin coefficients confound incorporation processes with attrition. Sevak and Schmidt's (2014) finding that immigrants hold higher net worth than natives conditional on demographics, despite lower earnings-linked entitlements, is commonly read through the same selection lens.</w:t>
      </w:r>
    </w:p>
    <w:p>
      <w:pPr>
        <w:spacing w:line="480" w:lineRule="auto" w:after="0"/>
        <w:ind w:firstLine="720"/>
        <w:jc w:val="both"/>
      </w:pPr>
      <w:r>
        <w:rPr>
          <w:rFonts w:ascii="Times New Roman" w:hAnsi="Times New Roman"/>
          <w:b w:val="0"/>
          <w:i w:val="0"/>
          <w:color w:val="000000"/>
          <w:sz w:val="24"/>
        </w:rPr>
        <w:t>A final implication concerns measurement. The within-race heterogeneity documented here manifests at the level of national origin and even sending-region cohort, yet the SCF identifies only five broad origin regions, grouping all Sub-Saharan African-origin households in a residual category along with Middle Eastern and Pacific Islander households. If such heterogeneity exists, this coarse regional coding limits the capacity to detect true variation, systematically biasing origin coefficients toward the null by averaging over categories that may encompass divergent trajectories. This methodological limitation in the data constrains the interpretation of findings, and the thesis's recommendation of finer country-of-origin coding follows directly. The analysis accordingly frames its null results as statements about the detection limits imposed by the 2022 SCF's coding scheme, signaling that future research using more granular origin data could yield substantively different conclusions about incorporation processes.</w:t>
      </w:r>
    </w:p>
    <w:p>
      <w:pPr>
        <w:spacing w:line="480" w:lineRule="auto" w:before="240" w:after="120"/>
      </w:pPr>
      <w:r>
        <w:rPr>
          <w:rFonts w:ascii="Times New Roman" w:hAnsi="Times New Roman"/>
          <w:b/>
          <w:i w:val="0"/>
          <w:color w:val="000000"/>
          <w:sz w:val="26"/>
        </w:rPr>
        <w:t>9. Methodological Foundations: Mediation and Post-Treatment Bias</w:t>
      </w:r>
    </w:p>
    <w:p>
      <w:pPr>
        <w:spacing w:line="480" w:lineRule="auto" w:after="0"/>
        <w:ind w:firstLine="720"/>
        <w:jc w:val="both"/>
      </w:pPr>
      <w:r>
        <w:rPr>
          <w:rFonts w:ascii="Times New Roman" w:hAnsi="Times New Roman"/>
          <w:b w:val="0"/>
          <w:i w:val="0"/>
          <w:color w:val="000000"/>
          <w:sz w:val="24"/>
        </w:rPr>
        <w:t>The literatures reviewed above disagree less about facts than about specifications, and a methodological literature governs how such disagreements should be handled. Its basic result is Rosenbaum's (1984) demonstration that adjusting for a variable affected by the treatment, a post-treatment or intermediate variable, generally biases the estimate of the treatment's total effect, even where the unadjusted comparison would have been valid. Applied here, if origin, fixed at birth, shapes education, income, and household formation, then a model that controls for those variables does not estimate origin's effect with confounding removed; it estimates a different quantity, the association net of the theorized mechanisms, and does so consistently only under strong assumptions. Acharya, Blackwell and Sen (2016) provide the modern treatment: they define the controlled direct effect, show that naive mediator adjustment suffers from intermediate-variable bias whenever unobserved factors affect both the mediators and the outcome, and recommend that researchers either estimate total effects using pre-treatment controls only or adopt estimators built for direct effects.</w:t>
      </w:r>
    </w:p>
    <w:p>
      <w:pPr>
        <w:spacing w:line="480" w:lineRule="auto" w:after="0"/>
        <w:ind w:firstLine="720"/>
        <w:jc w:val="both"/>
      </w:pPr>
      <w:r>
        <w:rPr>
          <w:rFonts w:ascii="Times New Roman" w:hAnsi="Times New Roman"/>
          <w:b w:val="0"/>
          <w:i w:val="0"/>
          <w:color w:val="000000"/>
          <w:sz w:val="24"/>
        </w:rPr>
        <w:t>This literature does not counsel against mediator-adjusted models; rather, it underscores the need for transparency regarding their estimands, a principle that this thesis adopts deliberately. Model A, which conditions only on the plausibly pre-treatment covariates of age and duration, estimates origin's total association with each outcome, as required for the central predictions of segmented assimilation. Model B, which additionally adjusts for education, income, and marital status, estimates the residual association beyond the human-capital channel, thereby aligning with the conventional specifications of the convergence tradition and addressing whether origin retains explanatory power when standard covariates are considered. However, these modeling choices entail significant methodological tradeoffs: neither specification directly tests the underlying causal mechanisms posited by the frameworks. Instead, the contrast between the two models exposes the extent to which the observed origin-outcome association operates through measured mediators, but does so only within the inherent limitations of cross-sectional data. This approach inherently confines the analysis to descriptive decomposition, restricting the causal interpretability of findings. The review of the empirical contest in Section 5 highlights why such methodological explicitness is vital. By treating the choice of adjustment as both a theoretical and technical commitment, the thesis reflects critically on how underlying methodological preferences shape the substantive implications that competing camps draw, particularly in a context where disparate estimands have historically been conflated or misunderstood.</w:t>
      </w:r>
    </w:p>
    <w:p>
      <w:pPr>
        <w:spacing w:line="480" w:lineRule="auto" w:after="0"/>
        <w:ind w:firstLine="720"/>
        <w:jc w:val="both"/>
      </w:pPr>
      <w:r>
        <w:rPr>
          <w:rFonts w:ascii="Times New Roman" w:hAnsi="Times New Roman"/>
          <w:b w:val="0"/>
          <w:i w:val="0"/>
          <w:color w:val="000000"/>
          <w:sz w:val="24"/>
        </w:rPr>
        <w:t>Two further points underpin the analysis. With origin-region cells as small as forty households, maximum-likelihood estimates suffer well-documented small-sample bias and separation risk, and Firth's (1993) penalized likelihood is the standard remedy, its use in the duration-stratified models guarding against mistaking small-cell artifacts for pathway effects. And the SCF's design, its oversampling of wealthy households and its five-fold multiple imputation, requires survey-weighted estimation with the standard combining rules for multiply-imputed data, since failure to account for the imputation structure understates standard errors, precisely the error that would manufacture spurious origin effects. The 2022 wave's addition of respondent and spouse national-origin variables and exact years of U.S. residence, documented in the Federal Reserve Board's report on the survey (Aladangady et al. 2023), is the data development that makes the thesis possible. The binary-outcome models employed descend from McFadden's (1973) conditional-logit framework, whose pseudo-R-squared is the fit diagnostic reported.</w:t>
      </w:r>
    </w:p>
    <w:p>
      <w:pPr>
        <w:spacing w:line="480" w:lineRule="auto" w:before="240" w:after="120"/>
      </w:pPr>
      <w:r>
        <w:rPr>
          <w:rFonts w:ascii="Times New Roman" w:hAnsi="Times New Roman"/>
          <w:b/>
          <w:i w:val="0"/>
          <w:color w:val="000000"/>
          <w:sz w:val="26"/>
        </w:rPr>
        <w:t>10. Synthesis: The Gap This Thesis Addresses</w:t>
      </w:r>
    </w:p>
    <w:p>
      <w:pPr>
        <w:spacing w:line="480" w:lineRule="auto" w:after="0"/>
        <w:ind w:firstLine="720"/>
        <w:jc w:val="both"/>
      </w:pPr>
      <w:r>
        <w:rPr>
          <w:rFonts w:ascii="Times New Roman" w:hAnsi="Times New Roman"/>
          <w:b w:val="0"/>
          <w:i w:val="0"/>
          <w:color w:val="000000"/>
          <w:sz w:val="24"/>
        </w:rPr>
        <w:t>Four conclusions emerge from the literature reviewed. First, the two frameworks are the poles of a genuine and open debate. Still, their observable predictions overlap more than their rhetoric suggests: both predict that origin groups differ in mediating endowments, and they diverge principally on whether residual origin effects persist net of those endowments and on how mediated effects should be interpreted. Second, the empirical contest over segmented assimilation has been conducted almost entirely on education, earnings, and behavioral outcomes; wealth, where cumulative institutional disadvantage should register most clearly, has been absent for reasons of data availability alone. Third, the immigrant-wealth literature indicates that origin-region differences in wealth are large in raw terms and substantially, though not always fully, explained by human-capital composition, with the residual varying by dataset, outcome margin, and era. Fourth, the domain literatures supply concrete origin-linked mechanisms, from home-country institutional experience to phenotype-linked lending treatment and enclave credit substitution, that operate partly outside the standard covariate set, so that a null residual finding carries information rather than being trivially expected. Underlying all four is the methodological point that the choice between total-effect and mediator-adjusted specifications is a theoretical commitment that must be made explicit, and that much prior disagreement reflects its neglect.</w:t>
      </w:r>
    </w:p>
    <w:p>
      <w:pPr>
        <w:spacing w:line="480" w:lineRule="auto" w:after="0"/>
        <w:ind w:firstLine="720"/>
        <w:jc w:val="both"/>
      </w:pPr>
      <w:r>
        <w:rPr>
          <w:rFonts w:ascii="Times New Roman" w:hAnsi="Times New Roman"/>
          <w:b w:val="0"/>
          <w:i w:val="0"/>
          <w:color w:val="000000"/>
          <w:sz w:val="24"/>
        </w:rPr>
        <w:t>The gap at the intersection of these literatures is specific. No prior study has tested for origin-region gradients in household financial outcomes using a nationally representative U.S. survey designed to measure household finances, because no such survey identified national origin before the 2022 SCF. The studies closest in spirit, Cobb-Clark and Hildebrand (2006) and Hao (2007) in the SIPP and Painter and Qian (2016) in the New Immigrant Survey, rely on surveys with either coarser wealth measurement or non-representative sampling frames, and none confronts the total-effect and direct-effect distinction explicitly. This thesis fills that gap with deliberately modest ambitions: it characterizes what the first nationally representative U.S. wealth data with origin detail can and cannot show about the two accounts of immigrant financial incorporation, it estimates both of the quantities the prior literature has tended to conflate, and it distinguishes what the data license as a descriptive claim from what they cannot license as a causal one.</w:t>
      </w:r>
    </w:p>
    <w:p>
      <w:pPr>
        <w:spacing w:line="480" w:lineRule="auto" w:after="0"/>
        <w:ind w:firstLine="720"/>
        <w:jc w:val="both"/>
      </w:pPr>
      <w:r>
        <w:rPr>
          <w:rFonts w:ascii="Times New Roman" w:hAnsi="Times New Roman"/>
          <w:b w:val="0"/>
          <w:i w:val="0"/>
          <w:color w:val="000000"/>
          <w:sz w:val="24"/>
        </w:rPr>
        <w:t>The same reading points to the data and design investments that would let future work move from description toward adjudication: oversampling recent immigrants to raise the power available for subgroup analysis, where the analytic sample here is thinnest; replacing broad world-region categories with specific countries of origin to capture the within-category heterogeneity the Black-immigrant literature shows to be substantial; incorporating direct measures of legal status, pre-migration wealth, and visa class to separate the mechanisms underlying any observed origin effect; and longitudinal follow-up to observe wealth trajectories directly and, paired with mediation analysis and explicit checks for selection and attrition, to support interpretations a single cross-section cannot.</w:t>
      </w:r>
    </w:p>
    <w:p>
      <w:pPr>
        <w:spacing w:line="480" w:lineRule="auto" w:after="0"/>
        <w:ind w:firstLine="720"/>
        <w:jc w:val="both"/>
      </w:pPr>
      <w:r>
        <w:rPr>
          <w:rFonts w:ascii="Times New Roman" w:hAnsi="Times New Roman"/>
          <w:b w:val="0"/>
          <w:i w:val="0"/>
          <w:color w:val="000000"/>
          <w:sz w:val="24"/>
        </w:rPr>
        <w:t>Building on the preceding literature, this thesis addresses its central research question: how does national origin, as newly identified in the 2022 SCF, influence the financial outcomes of foreign-born U.S. households once standard human-capital variables are accounted for? These literatures translate into the formal propositions the analysis puts to the 2022 SCF, following the thesis's two-hypothesis structure, with the duration prediction stated as the corollary the stratified analysis addresses.</w:t>
      </w:r>
    </w:p>
    <w:p>
      <w:pPr>
        <w:spacing w:line="480" w:lineRule="auto" w:after="0"/>
        <w:ind w:firstLine="720"/>
        <w:jc w:val="both"/>
      </w:pPr>
      <w:r>
        <w:rPr>
          <w:rFonts w:ascii="Times New Roman" w:hAnsi="Times New Roman"/>
          <w:b/>
          <w:i w:val="0"/>
          <w:color w:val="000000"/>
          <w:sz w:val="24"/>
        </w:rPr>
        <w:t>H1, origin main effects.</w:t>
      </w:r>
      <w:r>
        <w:rPr>
          <w:rFonts w:ascii="Times New Roman" w:hAnsi="Times New Roman"/>
          <w:b w:val="0"/>
          <w:i w:val="0"/>
          <w:color w:val="000000"/>
          <w:sz w:val="24"/>
        </w:rPr>
        <w:t xml:space="preserve"> Segmented assimilation predicts that origin's total effect on each pathway outcome, estimated in Model A with only duration and age held constant, will be non-null and statistically distinguishable from the Latin American reference, providing the first opportunity to test for origin-region gradients with nationally representative data. Human-capital convergence, by contrast, predicts that origin's direct effect, estimated in Model B with education, income, and marital status added, will attenuate toward an odds ratio of one, with confidence intervals straddling the no-effect line. The two predictions are not symmetric tests of the same quantity, and that asymmetry is the analytical crux, since it clarifies how much national-origin measures add beyond standard covariates. A Model A effect that vanishes in Model B is consistent with segmented assimilation, because that framework holds that origin operates precisely through those mediators, and it is equally consistent with convergence, which treats the mediators as the operative variables. A Model B null therefore discriminates between neither framework on its own; what it establishes is the narrower, descriptive claim, previously unavailable in nationally representative wealth data, that origin adds little explanatory power once human capital is held constant. Reporting both specifications keeps that distinction visible.</w:t>
      </w:r>
    </w:p>
    <w:p>
      <w:pPr>
        <w:spacing w:line="480" w:lineRule="auto" w:after="0"/>
        <w:ind w:firstLine="720"/>
        <w:jc w:val="both"/>
      </w:pPr>
      <w:r>
        <w:rPr>
          <w:rFonts w:ascii="Times New Roman" w:hAnsi="Times New Roman"/>
          <w:b/>
          <w:i w:val="0"/>
          <w:color w:val="000000"/>
          <w:sz w:val="24"/>
        </w:rPr>
        <w:t>H2, pathway configuration.</w:t>
      </w:r>
      <w:r>
        <w:rPr>
          <w:rFonts w:ascii="Times New Roman" w:hAnsi="Times New Roman"/>
          <w:b w:val="0"/>
          <w:i w:val="0"/>
          <w:color w:val="000000"/>
          <w:sz w:val="24"/>
        </w:rPr>
        <w:t xml:space="preserve"> Segmented assimilation predicts not simply isolated origin effects but a joint configuration across the three outcomes: parallel-pathway groups (Asian- and European-origin) elevated on retirement-account ownership, downward-pathway groups (Caribbean-origin and the residual category) elevated on credit denial, and a selective-pathway signature of homeownership sustained alongside low mainstream-finance participation. Human-capital convergence predicts none of these configurations, expecting instead odds ratios near one across all three outcomes with confidence intervals that straddle the no-effect line.</w:t>
      </w:r>
    </w:p>
    <w:p>
      <w:pPr>
        <w:spacing w:line="480" w:lineRule="auto" w:after="0"/>
        <w:ind w:firstLine="720"/>
        <w:jc w:val="both"/>
      </w:pPr>
      <w:r>
        <w:rPr>
          <w:rFonts w:ascii="Times New Roman" w:hAnsi="Times New Roman"/>
          <w:b/>
          <w:i w:val="0"/>
          <w:color w:val="000000"/>
          <w:sz w:val="24"/>
        </w:rPr>
        <w:t>Duration corollary.</w:t>
      </w:r>
      <w:r>
        <w:rPr>
          <w:rFonts w:ascii="Times New Roman" w:hAnsi="Times New Roman"/>
          <w:b w:val="0"/>
          <w:i w:val="0"/>
          <w:color w:val="000000"/>
          <w:sz w:val="24"/>
        </w:rPr>
        <w:t xml:space="preserve"> Read as a theory of the incorporation process, segmented assimilation implies that origin effects should be largest in the early-incorporation window and should narrow with time in the destination country. The duration-stratified analysis tests this by re-estimating the H1 models separately for recent arrivals and long-tenured immigrants; a duration-narrowing pattern would show larger origin effects in the recent-arrival stratum, whereas the convergence account and the pooled-null reading predict no such concentration. The corollary is falsifiable in a way the pooled analysis is not, which is why it is stated separately even though the thesis addresses it as an extension of H1 rather than as a distinct numbered hypothesis.</w:t>
      </w:r>
    </w:p>
    <w:p>
      <w:pPr>
        <w:spacing w:line="480" w:lineRule="auto" w:before="240" w:after="120"/>
      </w:pPr>
      <w:r>
        <w:rPr>
          <w:rFonts w:ascii="Times New Roman" w:hAnsi="Times New Roman"/>
          <w:b/>
          <w:i w:val="0"/>
          <w:color w:val="000000"/>
          <w:sz w:val="28"/>
        </w:rPr>
        <w:t>References</w:t>
      </w:r>
    </w:p>
    <w:p>
      <w:pPr>
        <w:spacing w:line="480" w:lineRule="auto" w:after="0"/>
        <w:ind w:left="720" w:hanging="720"/>
        <w:jc w:val="left"/>
      </w:pPr>
      <w:r>
        <w:rPr>
          <w:rFonts w:ascii="Times New Roman" w:hAnsi="Times New Roman"/>
          <w:b w:val="0"/>
          <w:i w:val="0"/>
          <w:color w:val="000000"/>
          <w:sz w:val="24"/>
        </w:rPr>
        <w:t xml:space="preserve">Acharya, Avidit, Matthew Blackwell, and Maya Sen. 2016. "Explaining Causal Findings Without Bias: Detecting and Assessing Direct Effects." </w:t>
      </w:r>
      <w:r>
        <w:rPr>
          <w:rFonts w:ascii="Times New Roman" w:hAnsi="Times New Roman"/>
          <w:b w:val="0"/>
          <w:i/>
          <w:color w:val="000000"/>
          <w:sz w:val="24"/>
        </w:rPr>
        <w:t>American Political Science Review</w:t>
      </w:r>
      <w:r>
        <w:rPr>
          <w:rFonts w:ascii="Times New Roman" w:hAnsi="Times New Roman"/>
          <w:b w:val="0"/>
          <w:i w:val="0"/>
          <w:color w:val="000000"/>
          <w:sz w:val="24"/>
        </w:rPr>
        <w:t xml:space="preserve"> 110(3):512-529.</w:t>
      </w:r>
    </w:p>
    <w:p>
      <w:pPr>
        <w:spacing w:line="480" w:lineRule="auto" w:after="0"/>
        <w:ind w:left="720" w:hanging="720"/>
        <w:jc w:val="left"/>
      </w:pPr>
      <w:r>
        <w:rPr>
          <w:rFonts w:ascii="Times New Roman" w:hAnsi="Times New Roman"/>
          <w:b w:val="0"/>
          <w:i w:val="0"/>
          <w:color w:val="000000"/>
          <w:sz w:val="24"/>
        </w:rPr>
        <w:t xml:space="preserve">Akresh, Ilana Redstone. 2011. "Wealth Accumulation among U.S. Immigrants: A Study of Assimilation and Differentials." </w:t>
      </w:r>
      <w:r>
        <w:rPr>
          <w:rFonts w:ascii="Times New Roman" w:hAnsi="Times New Roman"/>
          <w:b w:val="0"/>
          <w:i/>
          <w:color w:val="000000"/>
          <w:sz w:val="24"/>
        </w:rPr>
        <w:t>Social Science Research</w:t>
      </w:r>
      <w:r>
        <w:rPr>
          <w:rFonts w:ascii="Times New Roman" w:hAnsi="Times New Roman"/>
          <w:b w:val="0"/>
          <w:i w:val="0"/>
          <w:color w:val="000000"/>
          <w:sz w:val="24"/>
        </w:rPr>
        <w:t xml:space="preserve"> 40(5):1390-1401.</w:t>
      </w:r>
    </w:p>
    <w:p>
      <w:pPr>
        <w:spacing w:line="480" w:lineRule="auto" w:after="0"/>
        <w:ind w:left="720" w:hanging="720"/>
        <w:jc w:val="left"/>
      </w:pPr>
      <w:r>
        <w:rPr>
          <w:rFonts w:ascii="Times New Roman" w:hAnsi="Times New Roman"/>
          <w:b w:val="0"/>
          <w:i w:val="0"/>
          <w:color w:val="000000"/>
          <w:sz w:val="24"/>
        </w:rPr>
        <w:t xml:space="preserve">Aladangady, Aditya, Jesse Bricker, Andrew C. Chang, Sarena Goodman, Jacob Krimmel, Kevin B. Moore, Sarah Reber, Alice Henriques Volz, and Richard A. Windle. 2023. </w:t>
      </w:r>
      <w:r>
        <w:rPr>
          <w:rFonts w:ascii="Times New Roman" w:hAnsi="Times New Roman"/>
          <w:b w:val="0"/>
          <w:i/>
          <w:color w:val="000000"/>
          <w:sz w:val="24"/>
        </w:rPr>
        <w:t>Changes in U.S. Family Finances from 2019 to 2022: Evidence from the Survey of Consumer Finances.</w:t>
      </w:r>
      <w:r>
        <w:rPr>
          <w:rFonts w:ascii="Times New Roman" w:hAnsi="Times New Roman"/>
          <w:b w:val="0"/>
          <w:i w:val="0"/>
          <w:color w:val="000000"/>
          <w:sz w:val="24"/>
        </w:rPr>
        <w:t xml:space="preserve"> Washington, DC: Board of Governors of the Federal Reserve System.</w:t>
      </w:r>
    </w:p>
    <w:p>
      <w:pPr>
        <w:spacing w:line="480" w:lineRule="auto" w:after="0"/>
        <w:ind w:left="720" w:hanging="720"/>
        <w:jc w:val="left"/>
      </w:pPr>
      <w:r>
        <w:rPr>
          <w:rFonts w:ascii="Times New Roman" w:hAnsi="Times New Roman"/>
          <w:b w:val="0"/>
          <w:i w:val="0"/>
          <w:color w:val="000000"/>
          <w:sz w:val="24"/>
        </w:rPr>
        <w:t xml:space="preserve">Alba, Richard, Philip Kasinitz, and Mary C. Waters. 2011. "The Kids Are (Mostly) Alright: Second-Generation Assimilation. Comments on Haller, Portes and Lynch." </w:t>
      </w:r>
      <w:r>
        <w:rPr>
          <w:rFonts w:ascii="Times New Roman" w:hAnsi="Times New Roman"/>
          <w:b w:val="0"/>
          <w:i/>
          <w:color w:val="000000"/>
          <w:sz w:val="24"/>
        </w:rPr>
        <w:t>Social Forces</w:t>
      </w:r>
      <w:r>
        <w:rPr>
          <w:rFonts w:ascii="Times New Roman" w:hAnsi="Times New Roman"/>
          <w:b w:val="0"/>
          <w:i w:val="0"/>
          <w:color w:val="000000"/>
          <w:sz w:val="24"/>
        </w:rPr>
        <w:t xml:space="preserve"> 89(3):763-774.</w:t>
      </w:r>
    </w:p>
    <w:p>
      <w:pPr>
        <w:spacing w:line="480" w:lineRule="auto" w:after="0"/>
        <w:ind w:left="720" w:hanging="720"/>
        <w:jc w:val="left"/>
      </w:pPr>
      <w:r>
        <w:rPr>
          <w:rFonts w:ascii="Times New Roman" w:hAnsi="Times New Roman"/>
          <w:b w:val="0"/>
          <w:i w:val="0"/>
          <w:color w:val="000000"/>
          <w:sz w:val="24"/>
        </w:rPr>
        <w:t xml:space="preserve">Alba, Richard D., and John R. Logan. 1992. "Assimilation and Stratification in the Homeownership Patterns of Racial and Ethnic Groups." </w:t>
      </w:r>
      <w:r>
        <w:rPr>
          <w:rFonts w:ascii="Times New Roman" w:hAnsi="Times New Roman"/>
          <w:b w:val="0"/>
          <w:i/>
          <w:color w:val="000000"/>
          <w:sz w:val="24"/>
        </w:rPr>
        <w:t>International Migration Review</w:t>
      </w:r>
      <w:r>
        <w:rPr>
          <w:rFonts w:ascii="Times New Roman" w:hAnsi="Times New Roman"/>
          <w:b w:val="0"/>
          <w:i w:val="0"/>
          <w:color w:val="000000"/>
          <w:sz w:val="24"/>
        </w:rPr>
        <w:t xml:space="preserve"> 26(4):1314-1341.</w:t>
      </w:r>
    </w:p>
    <w:p>
      <w:pPr>
        <w:spacing w:line="480" w:lineRule="auto" w:after="0"/>
        <w:ind w:left="720" w:hanging="720"/>
        <w:jc w:val="left"/>
      </w:pPr>
      <w:r>
        <w:rPr>
          <w:rFonts w:ascii="Times New Roman" w:hAnsi="Times New Roman"/>
          <w:b w:val="0"/>
          <w:i w:val="0"/>
          <w:color w:val="000000"/>
          <w:sz w:val="24"/>
        </w:rPr>
        <w:t xml:space="preserve">Alba, Richard, and Victor Nee. 1997. "Rethinking Assimilation Theory for a New Era of Immigration." </w:t>
      </w:r>
      <w:r>
        <w:rPr>
          <w:rFonts w:ascii="Times New Roman" w:hAnsi="Times New Roman"/>
          <w:b w:val="0"/>
          <w:i/>
          <w:color w:val="000000"/>
          <w:sz w:val="24"/>
        </w:rPr>
        <w:t>International Migration Review</w:t>
      </w:r>
      <w:r>
        <w:rPr>
          <w:rFonts w:ascii="Times New Roman" w:hAnsi="Times New Roman"/>
          <w:b w:val="0"/>
          <w:i w:val="0"/>
          <w:color w:val="000000"/>
          <w:sz w:val="24"/>
        </w:rPr>
        <w:t xml:space="preserve"> 31(4):826-874.</w:t>
      </w:r>
    </w:p>
    <w:p>
      <w:pPr>
        <w:spacing w:line="480" w:lineRule="auto" w:after="0"/>
        <w:ind w:left="720" w:hanging="720"/>
        <w:jc w:val="left"/>
      </w:pPr>
      <w:r>
        <w:rPr>
          <w:rFonts w:ascii="Times New Roman" w:hAnsi="Times New Roman"/>
          <w:b w:val="0"/>
          <w:i w:val="0"/>
          <w:color w:val="000000"/>
          <w:sz w:val="24"/>
        </w:rPr>
        <w:t xml:space="preserve">Blau, Francine D., and John W. Graham. 1990. "Black-White Differences in Wealth and Asset Composition." </w:t>
      </w:r>
      <w:r>
        <w:rPr>
          <w:rFonts w:ascii="Times New Roman" w:hAnsi="Times New Roman"/>
          <w:b w:val="0"/>
          <w:i/>
          <w:color w:val="000000"/>
          <w:sz w:val="24"/>
        </w:rPr>
        <w:t>Quarterly Journal of Economics</w:t>
      </w:r>
      <w:r>
        <w:rPr>
          <w:rFonts w:ascii="Times New Roman" w:hAnsi="Times New Roman"/>
          <w:b w:val="0"/>
          <w:i w:val="0"/>
          <w:color w:val="000000"/>
          <w:sz w:val="24"/>
        </w:rPr>
        <w:t xml:space="preserve"> 105(2):321-339.</w:t>
      </w:r>
    </w:p>
    <w:p>
      <w:pPr>
        <w:spacing w:line="480" w:lineRule="auto" w:after="0"/>
        <w:ind w:left="720" w:hanging="720"/>
        <w:jc w:val="left"/>
      </w:pPr>
      <w:r>
        <w:rPr>
          <w:rFonts w:ascii="Times New Roman" w:hAnsi="Times New Roman"/>
          <w:b w:val="0"/>
          <w:i w:val="0"/>
          <w:color w:val="000000"/>
          <w:sz w:val="24"/>
        </w:rPr>
        <w:t xml:space="preserve">Borjas, George J. 1987. "Self-Selection and the Earnings of Immigrants." </w:t>
      </w:r>
      <w:r>
        <w:rPr>
          <w:rFonts w:ascii="Times New Roman" w:hAnsi="Times New Roman"/>
          <w:b w:val="0"/>
          <w:i/>
          <w:color w:val="000000"/>
          <w:sz w:val="24"/>
        </w:rPr>
        <w:t>American Economic Review</w:t>
      </w:r>
      <w:r>
        <w:rPr>
          <w:rFonts w:ascii="Times New Roman" w:hAnsi="Times New Roman"/>
          <w:b w:val="0"/>
          <w:i w:val="0"/>
          <w:color w:val="000000"/>
          <w:sz w:val="24"/>
        </w:rPr>
        <w:t xml:space="preserve"> 77(4):531-553.</w:t>
      </w:r>
    </w:p>
    <w:p>
      <w:pPr>
        <w:spacing w:line="480" w:lineRule="auto" w:after="0"/>
        <w:ind w:left="720" w:hanging="720"/>
        <w:jc w:val="left"/>
      </w:pPr>
      <w:r>
        <w:rPr>
          <w:rFonts w:ascii="Times New Roman" w:hAnsi="Times New Roman"/>
          <w:b w:val="0"/>
          <w:i w:val="0"/>
          <w:color w:val="000000"/>
          <w:sz w:val="24"/>
        </w:rPr>
        <w:t xml:space="preserve">Borjas, George J. 1999. </w:t>
      </w:r>
      <w:r>
        <w:rPr>
          <w:rFonts w:ascii="Times New Roman" w:hAnsi="Times New Roman"/>
          <w:b w:val="0"/>
          <w:i/>
          <w:color w:val="000000"/>
          <w:sz w:val="24"/>
        </w:rPr>
        <w:t>Heaven's Door: Immigration Policy and the American Economy.</w:t>
      </w:r>
      <w:r>
        <w:rPr>
          <w:rFonts w:ascii="Times New Roman" w:hAnsi="Times New Roman"/>
          <w:b w:val="0"/>
          <w:i w:val="0"/>
          <w:color w:val="000000"/>
          <w:sz w:val="24"/>
        </w:rPr>
        <w:t xml:space="preserve"> Princeton, NJ: Princeton University Press.</w:t>
      </w:r>
    </w:p>
    <w:p>
      <w:pPr>
        <w:spacing w:line="480" w:lineRule="auto" w:after="0"/>
        <w:ind w:left="720" w:hanging="720"/>
        <w:jc w:val="left"/>
      </w:pPr>
      <w:r>
        <w:rPr>
          <w:rFonts w:ascii="Times New Roman" w:hAnsi="Times New Roman"/>
          <w:b w:val="0"/>
          <w:i w:val="0"/>
          <w:color w:val="000000"/>
          <w:sz w:val="24"/>
        </w:rPr>
        <w:t xml:space="preserve">Chiswick, Barry R. 1978. "The Effect of Americanization on the Earnings of Foreign-born Men." </w:t>
      </w:r>
      <w:r>
        <w:rPr>
          <w:rFonts w:ascii="Times New Roman" w:hAnsi="Times New Roman"/>
          <w:b w:val="0"/>
          <w:i/>
          <w:color w:val="000000"/>
          <w:sz w:val="24"/>
        </w:rPr>
        <w:t>Journal of Political Economy</w:t>
      </w:r>
      <w:r>
        <w:rPr>
          <w:rFonts w:ascii="Times New Roman" w:hAnsi="Times New Roman"/>
          <w:b w:val="0"/>
          <w:i w:val="0"/>
          <w:color w:val="000000"/>
          <w:sz w:val="24"/>
        </w:rPr>
        <w:t xml:space="preserve"> 86(5):897-921.</w:t>
      </w:r>
    </w:p>
    <w:p>
      <w:pPr>
        <w:spacing w:line="480" w:lineRule="auto" w:after="0"/>
        <w:ind w:left="720" w:hanging="720"/>
        <w:jc w:val="left"/>
      </w:pPr>
      <w:r>
        <w:rPr>
          <w:rFonts w:ascii="Times New Roman" w:hAnsi="Times New Roman"/>
          <w:b w:val="0"/>
          <w:i w:val="0"/>
          <w:color w:val="000000"/>
          <w:sz w:val="24"/>
        </w:rPr>
        <w:t xml:space="preserve">Cobb-Clark, Deborah A., and Vincent A. Hildebrand. 2006. "The Wealth and Asset Holdings of U.S.-Born and Foreign-Born Households: Evidence from SIPP Data." </w:t>
      </w:r>
      <w:r>
        <w:rPr>
          <w:rFonts w:ascii="Times New Roman" w:hAnsi="Times New Roman"/>
          <w:b w:val="0"/>
          <w:i/>
          <w:color w:val="000000"/>
          <w:sz w:val="24"/>
        </w:rPr>
        <w:t>Review of Income and Wealth</w:t>
      </w:r>
      <w:r>
        <w:rPr>
          <w:rFonts w:ascii="Times New Roman" w:hAnsi="Times New Roman"/>
          <w:b w:val="0"/>
          <w:i w:val="0"/>
          <w:color w:val="000000"/>
          <w:sz w:val="24"/>
        </w:rPr>
        <w:t xml:space="preserve"> 52(1):17-42.</w:t>
      </w:r>
    </w:p>
    <w:p>
      <w:pPr>
        <w:spacing w:line="480" w:lineRule="auto" w:after="0"/>
        <w:ind w:left="720" w:hanging="720"/>
        <w:jc w:val="left"/>
      </w:pPr>
      <w:r>
        <w:rPr>
          <w:rFonts w:ascii="Times New Roman" w:hAnsi="Times New Roman"/>
          <w:b w:val="0"/>
          <w:i w:val="0"/>
          <w:color w:val="000000"/>
          <w:sz w:val="24"/>
        </w:rPr>
        <w:t xml:space="preserve">Firth, David. 1993. "Bias Reduction of Maximum Likelihood Estimates." </w:t>
      </w:r>
      <w:r>
        <w:rPr>
          <w:rFonts w:ascii="Times New Roman" w:hAnsi="Times New Roman"/>
          <w:b w:val="0"/>
          <w:i/>
          <w:color w:val="000000"/>
          <w:sz w:val="24"/>
        </w:rPr>
        <w:t>Biometrika</w:t>
      </w:r>
      <w:r>
        <w:rPr>
          <w:rFonts w:ascii="Times New Roman" w:hAnsi="Times New Roman"/>
          <w:b w:val="0"/>
          <w:i w:val="0"/>
          <w:color w:val="000000"/>
          <w:sz w:val="24"/>
        </w:rPr>
        <w:t xml:space="preserve"> 80(1):27-38.</w:t>
      </w:r>
    </w:p>
    <w:p>
      <w:pPr>
        <w:spacing w:line="480" w:lineRule="auto" w:after="0"/>
        <w:ind w:left="720" w:hanging="720"/>
        <w:jc w:val="left"/>
      </w:pPr>
      <w:r>
        <w:rPr>
          <w:rFonts w:ascii="Times New Roman" w:hAnsi="Times New Roman"/>
          <w:b w:val="0"/>
          <w:i w:val="0"/>
          <w:color w:val="000000"/>
          <w:sz w:val="24"/>
        </w:rPr>
        <w:t xml:space="preserve">Greenman, Emily, and Yu Xie. 2008. "Is Assimilation Theory Dead? The Effect of Assimilation on Adolescent Well-Being." </w:t>
      </w:r>
      <w:r>
        <w:rPr>
          <w:rFonts w:ascii="Times New Roman" w:hAnsi="Times New Roman"/>
          <w:b w:val="0"/>
          <w:i/>
          <w:color w:val="000000"/>
          <w:sz w:val="24"/>
        </w:rPr>
        <w:t>Social Science Research</w:t>
      </w:r>
      <w:r>
        <w:rPr>
          <w:rFonts w:ascii="Times New Roman" w:hAnsi="Times New Roman"/>
          <w:b w:val="0"/>
          <w:i w:val="0"/>
          <w:color w:val="000000"/>
          <w:sz w:val="24"/>
        </w:rPr>
        <w:t xml:space="preserve"> 37(1):109-137.</w:t>
      </w:r>
    </w:p>
    <w:p>
      <w:pPr>
        <w:spacing w:line="480" w:lineRule="auto" w:after="0"/>
        <w:ind w:left="720" w:hanging="720"/>
        <w:jc w:val="left"/>
      </w:pPr>
      <w:r>
        <w:rPr>
          <w:rFonts w:ascii="Times New Roman" w:hAnsi="Times New Roman"/>
          <w:b w:val="0"/>
          <w:i w:val="0"/>
          <w:color w:val="000000"/>
          <w:sz w:val="24"/>
        </w:rPr>
        <w:t xml:space="preserve">Haller, William, Alejandro Portes, and Scott M. Lynch. 2011. "Dreams Fulfilled, Dreams Shattered: Determinants of Segmented Assimilation in the Second Generation." </w:t>
      </w:r>
      <w:r>
        <w:rPr>
          <w:rFonts w:ascii="Times New Roman" w:hAnsi="Times New Roman"/>
          <w:b w:val="0"/>
          <w:i/>
          <w:color w:val="000000"/>
          <w:sz w:val="24"/>
        </w:rPr>
        <w:t>Social Forces</w:t>
      </w:r>
      <w:r>
        <w:rPr>
          <w:rFonts w:ascii="Times New Roman" w:hAnsi="Times New Roman"/>
          <w:b w:val="0"/>
          <w:i w:val="0"/>
          <w:color w:val="000000"/>
          <w:sz w:val="24"/>
        </w:rPr>
        <w:t xml:space="preserve"> 89(3):733-762.</w:t>
      </w:r>
    </w:p>
    <w:p>
      <w:pPr>
        <w:spacing w:line="480" w:lineRule="auto" w:after="0"/>
        <w:ind w:left="720" w:hanging="720"/>
        <w:jc w:val="left"/>
      </w:pPr>
      <w:r>
        <w:rPr>
          <w:rFonts w:ascii="Times New Roman" w:hAnsi="Times New Roman"/>
          <w:b w:val="0"/>
          <w:i w:val="0"/>
          <w:color w:val="000000"/>
          <w:sz w:val="24"/>
        </w:rPr>
        <w:t xml:space="preserve">Hao, Lingxin. 2007. </w:t>
      </w:r>
      <w:r>
        <w:rPr>
          <w:rFonts w:ascii="Times New Roman" w:hAnsi="Times New Roman"/>
          <w:b w:val="0"/>
          <w:i/>
          <w:color w:val="000000"/>
          <w:sz w:val="24"/>
        </w:rPr>
        <w:t>Color Lines, Country Lines: Race, Immigration, and Wealth Stratification in America.</w:t>
      </w:r>
      <w:r>
        <w:rPr>
          <w:rFonts w:ascii="Times New Roman" w:hAnsi="Times New Roman"/>
          <w:b w:val="0"/>
          <w:i w:val="0"/>
          <w:color w:val="000000"/>
          <w:sz w:val="24"/>
        </w:rPr>
        <w:t xml:space="preserve"> New York: Russell Sage Foundation.</w:t>
      </w:r>
    </w:p>
    <w:p>
      <w:pPr>
        <w:spacing w:line="480" w:lineRule="auto" w:after="0"/>
        <w:ind w:left="720" w:hanging="720"/>
        <w:jc w:val="left"/>
      </w:pPr>
      <w:r>
        <w:rPr>
          <w:rFonts w:ascii="Times New Roman" w:hAnsi="Times New Roman"/>
          <w:b w:val="0"/>
          <w:i w:val="0"/>
          <w:color w:val="000000"/>
          <w:sz w:val="24"/>
        </w:rPr>
        <w:t xml:space="preserve">Logan, John R. 2007. "Who Are the Other African Americans? Contemporary African and Caribbean Immigrants in the United States." Pp. 49-67 in </w:t>
      </w:r>
      <w:r>
        <w:rPr>
          <w:rFonts w:ascii="Times New Roman" w:hAnsi="Times New Roman"/>
          <w:b w:val="0"/>
          <w:i/>
          <w:color w:val="000000"/>
          <w:sz w:val="24"/>
        </w:rPr>
        <w:t>The Other African Americans: Contemporary African and Caribbean Families in the United States</w:t>
      </w:r>
      <w:r>
        <w:rPr>
          <w:rFonts w:ascii="Times New Roman" w:hAnsi="Times New Roman"/>
          <w:b w:val="0"/>
          <w:i w:val="0"/>
          <w:color w:val="000000"/>
          <w:sz w:val="24"/>
        </w:rPr>
        <w:t>, edited by Y. Shaw-Taylor and S. A. Tuch. Lanham, MD: Rowman and Littlefield.</w:t>
      </w:r>
    </w:p>
    <w:p>
      <w:pPr>
        <w:spacing w:line="480" w:lineRule="auto" w:after="0"/>
        <w:ind w:left="720" w:hanging="720"/>
        <w:jc w:val="left"/>
      </w:pPr>
      <w:r>
        <w:rPr>
          <w:rFonts w:ascii="Times New Roman" w:hAnsi="Times New Roman"/>
          <w:b w:val="0"/>
          <w:i w:val="0"/>
          <w:color w:val="000000"/>
          <w:sz w:val="24"/>
        </w:rPr>
        <w:t xml:space="preserve">McFadden, Daniel. 1973. "Conditional Logit Analysis of Qualitative Choice Behavior." Pp. 105-142 in </w:t>
      </w:r>
      <w:r>
        <w:rPr>
          <w:rFonts w:ascii="Times New Roman" w:hAnsi="Times New Roman"/>
          <w:b w:val="0"/>
          <w:i/>
          <w:color w:val="000000"/>
          <w:sz w:val="24"/>
        </w:rPr>
        <w:t>Frontiers in Econometrics</w:t>
      </w:r>
      <w:r>
        <w:rPr>
          <w:rFonts w:ascii="Times New Roman" w:hAnsi="Times New Roman"/>
          <w:b w:val="0"/>
          <w:i w:val="0"/>
          <w:color w:val="000000"/>
          <w:sz w:val="24"/>
        </w:rPr>
        <w:t>, edited by P. Zarembka. New York: Academic Press.</w:t>
      </w:r>
    </w:p>
    <w:p>
      <w:pPr>
        <w:spacing w:line="480" w:lineRule="auto" w:after="0"/>
        <w:ind w:left="720" w:hanging="720"/>
        <w:jc w:val="left"/>
      </w:pPr>
      <w:r>
        <w:rPr>
          <w:rFonts w:ascii="Times New Roman" w:hAnsi="Times New Roman"/>
          <w:b w:val="0"/>
          <w:i w:val="0"/>
          <w:color w:val="000000"/>
          <w:sz w:val="24"/>
        </w:rPr>
        <w:t xml:space="preserve">Model, Suzanne. 2008. </w:t>
      </w:r>
      <w:r>
        <w:rPr>
          <w:rFonts w:ascii="Times New Roman" w:hAnsi="Times New Roman"/>
          <w:b w:val="0"/>
          <w:i/>
          <w:color w:val="000000"/>
          <w:sz w:val="24"/>
        </w:rPr>
        <w:t>West Indian Immigrants: A Black Success Story?</w:t>
      </w:r>
      <w:r>
        <w:rPr>
          <w:rFonts w:ascii="Times New Roman" w:hAnsi="Times New Roman"/>
          <w:b w:val="0"/>
          <w:i w:val="0"/>
          <w:color w:val="000000"/>
          <w:sz w:val="24"/>
        </w:rPr>
        <w:t xml:space="preserve"> New York: Russell Sage Foundation.</w:t>
      </w:r>
    </w:p>
    <w:p>
      <w:pPr>
        <w:spacing w:line="480" w:lineRule="auto" w:after="0"/>
        <w:ind w:left="720" w:hanging="720"/>
        <w:jc w:val="left"/>
      </w:pPr>
      <w:r>
        <w:rPr>
          <w:rFonts w:ascii="Times New Roman" w:hAnsi="Times New Roman"/>
          <w:b w:val="0"/>
          <w:i w:val="0"/>
          <w:color w:val="000000"/>
          <w:sz w:val="24"/>
        </w:rPr>
        <w:t xml:space="preserve">Munnell, Alicia H., Geoffrey M. B. Tootell, Lynn E. Browne, and James McEneaney. 1996. "Mortgage Lending in Boston: Interpreting HMDA Data." </w:t>
      </w:r>
      <w:r>
        <w:rPr>
          <w:rFonts w:ascii="Times New Roman" w:hAnsi="Times New Roman"/>
          <w:b w:val="0"/>
          <w:i/>
          <w:color w:val="000000"/>
          <w:sz w:val="24"/>
        </w:rPr>
        <w:t>American Economic Review</w:t>
      </w:r>
      <w:r>
        <w:rPr>
          <w:rFonts w:ascii="Times New Roman" w:hAnsi="Times New Roman"/>
          <w:b w:val="0"/>
          <w:i w:val="0"/>
          <w:color w:val="000000"/>
          <w:sz w:val="24"/>
        </w:rPr>
        <w:t xml:space="preserve"> 86(1):25-53.</w:t>
      </w:r>
    </w:p>
    <w:p>
      <w:pPr>
        <w:spacing w:line="480" w:lineRule="auto" w:after="0"/>
        <w:ind w:left="720" w:hanging="720"/>
        <w:jc w:val="left"/>
      </w:pPr>
      <w:r>
        <w:rPr>
          <w:rFonts w:ascii="Times New Roman" w:hAnsi="Times New Roman"/>
          <w:b w:val="0"/>
          <w:i w:val="0"/>
          <w:color w:val="000000"/>
          <w:sz w:val="24"/>
        </w:rPr>
        <w:t xml:space="preserve">Oliver, Melvin L., and Thomas M. Shapiro. 1995. </w:t>
      </w:r>
      <w:r>
        <w:rPr>
          <w:rFonts w:ascii="Times New Roman" w:hAnsi="Times New Roman"/>
          <w:b w:val="0"/>
          <w:i/>
          <w:color w:val="000000"/>
          <w:sz w:val="24"/>
        </w:rPr>
        <w:t>Black Wealth/White Wealth: A New Perspective on Racial Inequality.</w:t>
      </w:r>
      <w:r>
        <w:rPr>
          <w:rFonts w:ascii="Times New Roman" w:hAnsi="Times New Roman"/>
          <w:b w:val="0"/>
          <w:i w:val="0"/>
          <w:color w:val="000000"/>
          <w:sz w:val="24"/>
        </w:rPr>
        <w:t xml:space="preserve"> New York: Routledge.</w:t>
      </w:r>
    </w:p>
    <w:p>
      <w:pPr>
        <w:spacing w:line="480" w:lineRule="auto" w:after="0"/>
        <w:ind w:left="720" w:hanging="720"/>
        <w:jc w:val="left"/>
      </w:pPr>
      <w:r>
        <w:rPr>
          <w:rFonts w:ascii="Times New Roman" w:hAnsi="Times New Roman"/>
          <w:b w:val="0"/>
          <w:i w:val="0"/>
          <w:color w:val="000000"/>
          <w:sz w:val="24"/>
        </w:rPr>
        <w:t xml:space="preserve">Osili, Una Okonkwo, and Anna L. Paulson. 2008. "Institutions and Financial Development: Evidence from International Migrants in the United States." </w:t>
      </w:r>
      <w:r>
        <w:rPr>
          <w:rFonts w:ascii="Times New Roman" w:hAnsi="Times New Roman"/>
          <w:b w:val="0"/>
          <w:i/>
          <w:color w:val="000000"/>
          <w:sz w:val="24"/>
        </w:rPr>
        <w:t>Review of Economics and Statistics</w:t>
      </w:r>
      <w:r>
        <w:rPr>
          <w:rFonts w:ascii="Times New Roman" w:hAnsi="Times New Roman"/>
          <w:b w:val="0"/>
          <w:i w:val="0"/>
          <w:color w:val="000000"/>
          <w:sz w:val="24"/>
        </w:rPr>
        <w:t xml:space="preserve"> 90(3):498-517.</w:t>
      </w:r>
    </w:p>
    <w:p>
      <w:pPr>
        <w:spacing w:line="480" w:lineRule="auto" w:after="0"/>
        <w:ind w:left="720" w:hanging="720"/>
        <w:jc w:val="left"/>
      </w:pPr>
      <w:r>
        <w:rPr>
          <w:rFonts w:ascii="Times New Roman" w:hAnsi="Times New Roman"/>
          <w:b w:val="0"/>
          <w:i w:val="0"/>
          <w:color w:val="000000"/>
          <w:sz w:val="24"/>
        </w:rPr>
        <w:t xml:space="preserve">Painter, Matthew A., II, and Zhenchao Qian. 2016. "Wealth Inequality Among Immigrants: Consistent Racial/Ethnic Inequality in the United States." </w:t>
      </w:r>
      <w:r>
        <w:rPr>
          <w:rFonts w:ascii="Times New Roman" w:hAnsi="Times New Roman"/>
          <w:b w:val="0"/>
          <w:i/>
          <w:color w:val="000000"/>
          <w:sz w:val="24"/>
        </w:rPr>
        <w:t>Population Research and Policy Review</w:t>
      </w:r>
      <w:r>
        <w:rPr>
          <w:rFonts w:ascii="Times New Roman" w:hAnsi="Times New Roman"/>
          <w:b w:val="0"/>
          <w:i w:val="0"/>
          <w:color w:val="000000"/>
          <w:sz w:val="24"/>
        </w:rPr>
        <w:t xml:space="preserve"> 35(2):147-175.</w:t>
      </w:r>
    </w:p>
    <w:p>
      <w:pPr>
        <w:spacing w:line="480" w:lineRule="auto" w:after="0"/>
        <w:ind w:left="720" w:hanging="720"/>
        <w:jc w:val="left"/>
      </w:pPr>
      <w:r>
        <w:rPr>
          <w:rFonts w:ascii="Times New Roman" w:hAnsi="Times New Roman"/>
          <w:b w:val="0"/>
          <w:i w:val="0"/>
          <w:color w:val="000000"/>
          <w:sz w:val="24"/>
        </w:rPr>
        <w:t xml:space="preserve">Portes, Alejandro, and Rubén G. Rumbaut. 2001. </w:t>
      </w:r>
      <w:r>
        <w:rPr>
          <w:rFonts w:ascii="Times New Roman" w:hAnsi="Times New Roman"/>
          <w:b w:val="0"/>
          <w:i/>
          <w:color w:val="000000"/>
          <w:sz w:val="24"/>
        </w:rPr>
        <w:t>Legacies: The Story of the Immigrant Second Generation.</w:t>
      </w:r>
      <w:r>
        <w:rPr>
          <w:rFonts w:ascii="Times New Roman" w:hAnsi="Times New Roman"/>
          <w:b w:val="0"/>
          <w:i w:val="0"/>
          <w:color w:val="000000"/>
          <w:sz w:val="24"/>
        </w:rPr>
        <w:t xml:space="preserve"> Berkeley, CA: University of California Press.</w:t>
      </w:r>
    </w:p>
    <w:p>
      <w:pPr>
        <w:spacing w:line="480" w:lineRule="auto" w:after="0"/>
        <w:ind w:left="720" w:hanging="720"/>
        <w:jc w:val="left"/>
      </w:pPr>
      <w:r>
        <w:rPr>
          <w:rFonts w:ascii="Times New Roman" w:hAnsi="Times New Roman"/>
          <w:b w:val="0"/>
          <w:i w:val="0"/>
          <w:color w:val="000000"/>
          <w:sz w:val="24"/>
        </w:rPr>
        <w:t xml:space="preserve">Portes, Alejandro, and Min Zhou. 1993. "The New Second Generation: Segmented Assimilation and Its Variants." </w:t>
      </w:r>
      <w:r>
        <w:rPr>
          <w:rFonts w:ascii="Times New Roman" w:hAnsi="Times New Roman"/>
          <w:b w:val="0"/>
          <w:i/>
          <w:color w:val="000000"/>
          <w:sz w:val="24"/>
        </w:rPr>
        <w:t>Annals of the American Academy of Political and Social Science</w:t>
      </w:r>
      <w:r>
        <w:rPr>
          <w:rFonts w:ascii="Times New Roman" w:hAnsi="Times New Roman"/>
          <w:b w:val="0"/>
          <w:i w:val="0"/>
          <w:color w:val="000000"/>
          <w:sz w:val="24"/>
        </w:rPr>
        <w:t xml:space="preserve"> 530(1):74-96.</w:t>
      </w:r>
    </w:p>
    <w:p>
      <w:pPr>
        <w:spacing w:line="480" w:lineRule="auto" w:after="0"/>
        <w:ind w:left="720" w:hanging="720"/>
        <w:jc w:val="left"/>
      </w:pPr>
      <w:r>
        <w:rPr>
          <w:rFonts w:ascii="Times New Roman" w:hAnsi="Times New Roman"/>
          <w:b w:val="0"/>
          <w:i w:val="0"/>
          <w:color w:val="000000"/>
          <w:sz w:val="24"/>
        </w:rPr>
        <w:t xml:space="preserve">Rosenbaum, Paul R. 1984. "The Consequences of Adjustment for a Concomitant Variable That Has Been Affected by the Treatment." </w:t>
      </w:r>
      <w:r>
        <w:rPr>
          <w:rFonts w:ascii="Times New Roman" w:hAnsi="Times New Roman"/>
          <w:b w:val="0"/>
          <w:i/>
          <w:color w:val="000000"/>
          <w:sz w:val="24"/>
        </w:rPr>
        <w:t>Journal of the Royal Statistical Society Series A</w:t>
      </w:r>
      <w:r>
        <w:rPr>
          <w:rFonts w:ascii="Times New Roman" w:hAnsi="Times New Roman"/>
          <w:b w:val="0"/>
          <w:i w:val="0"/>
          <w:color w:val="000000"/>
          <w:sz w:val="24"/>
        </w:rPr>
        <w:t xml:space="preserve"> 147(5):656-666.</w:t>
      </w:r>
    </w:p>
    <w:p>
      <w:pPr>
        <w:spacing w:line="480" w:lineRule="auto" w:after="0"/>
        <w:ind w:left="720" w:hanging="720"/>
        <w:jc w:val="left"/>
      </w:pPr>
      <w:r>
        <w:rPr>
          <w:rFonts w:ascii="Times New Roman" w:hAnsi="Times New Roman"/>
          <w:b w:val="0"/>
          <w:i w:val="0"/>
          <w:color w:val="000000"/>
          <w:sz w:val="24"/>
        </w:rPr>
        <w:t xml:space="preserve">Sanders, Jimy M., and Victor Nee. 1987. "Limits of Ethnic Solidarity in the Enclave Economy." </w:t>
      </w:r>
      <w:r>
        <w:rPr>
          <w:rFonts w:ascii="Times New Roman" w:hAnsi="Times New Roman"/>
          <w:b w:val="0"/>
          <w:i/>
          <w:color w:val="000000"/>
          <w:sz w:val="24"/>
        </w:rPr>
        <w:t>American Sociological Review</w:t>
      </w:r>
      <w:r>
        <w:rPr>
          <w:rFonts w:ascii="Times New Roman" w:hAnsi="Times New Roman"/>
          <w:b w:val="0"/>
          <w:i w:val="0"/>
          <w:color w:val="000000"/>
          <w:sz w:val="24"/>
        </w:rPr>
        <w:t xml:space="preserve"> 52(6):745-773.</w:t>
      </w:r>
    </w:p>
    <w:p>
      <w:pPr>
        <w:spacing w:line="480" w:lineRule="auto" w:after="0"/>
        <w:ind w:left="720" w:hanging="720"/>
        <w:jc w:val="left"/>
      </w:pPr>
      <w:r>
        <w:rPr>
          <w:rFonts w:ascii="Times New Roman" w:hAnsi="Times New Roman"/>
          <w:b w:val="0"/>
          <w:i w:val="0"/>
          <w:color w:val="000000"/>
          <w:sz w:val="24"/>
        </w:rPr>
        <w:t xml:space="preserve">Sevak, Purvi, and Lucie Schmidt. 2014. "Immigrants and Retirement Resources." </w:t>
      </w:r>
      <w:r>
        <w:rPr>
          <w:rFonts w:ascii="Times New Roman" w:hAnsi="Times New Roman"/>
          <w:b w:val="0"/>
          <w:i/>
          <w:color w:val="000000"/>
          <w:sz w:val="24"/>
        </w:rPr>
        <w:t>Social Security Bulletin</w:t>
      </w:r>
      <w:r>
        <w:rPr>
          <w:rFonts w:ascii="Times New Roman" w:hAnsi="Times New Roman"/>
          <w:b w:val="0"/>
          <w:i w:val="0"/>
          <w:color w:val="000000"/>
          <w:sz w:val="24"/>
        </w:rPr>
        <w:t xml:space="preserve"> 74(1):27-45.</w:t>
      </w:r>
    </w:p>
    <w:p>
      <w:pPr>
        <w:spacing w:line="480" w:lineRule="auto" w:after="0"/>
        <w:ind w:left="720" w:hanging="720"/>
        <w:jc w:val="left"/>
      </w:pPr>
      <w:r>
        <w:rPr>
          <w:rFonts w:ascii="Times New Roman" w:hAnsi="Times New Roman"/>
          <w:b w:val="0"/>
          <w:i w:val="0"/>
          <w:color w:val="000000"/>
          <w:sz w:val="24"/>
        </w:rPr>
        <w:t xml:space="preserve">Smith, Robert C. 2006. </w:t>
      </w:r>
      <w:r>
        <w:rPr>
          <w:rFonts w:ascii="Times New Roman" w:hAnsi="Times New Roman"/>
          <w:b w:val="0"/>
          <w:i/>
          <w:color w:val="000000"/>
          <w:sz w:val="24"/>
        </w:rPr>
        <w:t>Mexican New York: Transnational Lives of New Immigrants.</w:t>
      </w:r>
      <w:r>
        <w:rPr>
          <w:rFonts w:ascii="Times New Roman" w:hAnsi="Times New Roman"/>
          <w:b w:val="0"/>
          <w:i w:val="0"/>
          <w:color w:val="000000"/>
          <w:sz w:val="24"/>
        </w:rPr>
        <w:t xml:space="preserve"> Berkeley, CA: University of California Press.</w:t>
      </w:r>
    </w:p>
    <w:p>
      <w:pPr>
        <w:spacing w:line="480" w:lineRule="auto" w:after="0"/>
        <w:ind w:left="720" w:hanging="720"/>
        <w:jc w:val="left"/>
      </w:pPr>
      <w:r>
        <w:rPr>
          <w:rFonts w:ascii="Times New Roman" w:hAnsi="Times New Roman"/>
          <w:b w:val="0"/>
          <w:i w:val="0"/>
          <w:color w:val="000000"/>
          <w:sz w:val="24"/>
        </w:rPr>
        <w:t xml:space="preserve">Telles, Edward E., and Vilma Ortiz. 2008. </w:t>
      </w:r>
      <w:r>
        <w:rPr>
          <w:rFonts w:ascii="Times New Roman" w:hAnsi="Times New Roman"/>
          <w:b w:val="0"/>
          <w:i/>
          <w:color w:val="000000"/>
          <w:sz w:val="24"/>
        </w:rPr>
        <w:t>Generations of Exclusion: Mexican Americans, Assimilation, and Race.</w:t>
      </w:r>
      <w:r>
        <w:rPr>
          <w:rFonts w:ascii="Times New Roman" w:hAnsi="Times New Roman"/>
          <w:b w:val="0"/>
          <w:i w:val="0"/>
          <w:color w:val="000000"/>
          <w:sz w:val="24"/>
        </w:rPr>
        <w:t xml:space="preserve"> New York: Russell Sage Foundation.</w:t>
      </w:r>
    </w:p>
    <w:p>
      <w:pPr>
        <w:spacing w:line="480" w:lineRule="auto" w:after="0"/>
        <w:ind w:left="720" w:hanging="720"/>
        <w:jc w:val="left"/>
      </w:pPr>
      <w:r>
        <w:rPr>
          <w:rFonts w:ascii="Times New Roman" w:hAnsi="Times New Roman"/>
          <w:b w:val="0"/>
          <w:i w:val="0"/>
          <w:color w:val="000000"/>
          <w:sz w:val="24"/>
        </w:rPr>
        <w:t xml:space="preserve">Zhou, Min. 1997. "Segmented Assimilation: Issues, Controversies, and Recent Research on the New Second Generation." </w:t>
      </w:r>
      <w:r>
        <w:rPr>
          <w:rFonts w:ascii="Times New Roman" w:hAnsi="Times New Roman"/>
          <w:b w:val="0"/>
          <w:i/>
          <w:color w:val="000000"/>
          <w:sz w:val="24"/>
        </w:rPr>
        <w:t>International Migration Review</w:t>
      </w:r>
      <w:r>
        <w:rPr>
          <w:rFonts w:ascii="Times New Roman" w:hAnsi="Times New Roman"/>
          <w:b w:val="0"/>
          <w:i w:val="0"/>
          <w:color w:val="000000"/>
          <w:sz w:val="24"/>
        </w:rPr>
        <w:t xml:space="preserve"> 31(4):975-1008.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