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Times New Roman" w:cs="Times New Roman" w:eastAsia="Times New Roman" w:hAnsi="Times New Roman"/>
          <w:b/>
          <w:bCs/>
          <w:sz w:val="40"/>
          <w:szCs w:val="40"/>
        </w:rPr>
        <w:t xml:space="preserve">The Nativity Gradient in American Fertility:</w:t>
      </w:r>
    </w:p>
    <w:p>
      <w:pPr>
        <w:spacing w:after="480" w:before="0"/>
        <w:jc w:val="center"/>
      </w:pPr>
      <w:r>
        <w:rPr>
          <w:rFonts w:ascii="Times New Roman" w:cs="Times New Roman" w:eastAsia="Times New Roman" w:hAnsi="Times New Roman"/>
          <w:i/>
          <w:iCs/>
          <w:sz w:val="32"/>
          <w:szCs w:val="32"/>
        </w:rPr>
        <w:t xml:space="preserve">Immigration, Assimilation, and the Unequal Distribution of Childlessness</w:t>
      </w:r>
    </w:p>
    <w:p>
      <w:pPr>
        <w:spacing w:after="200" w:before="0" w:line="360" w:lineRule="auto"/>
        <w:jc w:val="center"/>
      </w:pPr>
      <w:r>
        <w:rPr>
          <w:rFonts w:ascii="Times New Roman" w:cs="Times New Roman" w:eastAsia="Times New Roman" w:hAnsi="Times New Roman"/>
          <w:sz w:val="28"/>
          <w:szCs w:val="28"/>
        </w:rPr>
        <w:t xml:space="preserve">Delroy Nichols</w:t>
      </w:r>
    </w:p>
    <w:p>
      <w:pPr>
        <w:spacing w:after="200" w:before="0" w:line="360" w:lineRule="auto"/>
        <w:jc w:val="center"/>
      </w:pPr>
      <w:r>
        <w:rPr>
          <w:rFonts w:ascii="Times New Roman" w:cs="Times New Roman" w:eastAsia="Times New Roman" w:hAnsi="Times New Roman"/>
          <w:sz w:val="24"/>
          <w:szCs w:val="24"/>
        </w:rPr>
        <w:t xml:space="preserve">A Dissertation Submitted in Partial Fulfillment of the Requirements for the Degree of Doctor of Philosophy</w:t>
      </w:r>
    </w:p>
    <w:p>
      <w:pPr>
        <w:pageBreakBefore/>
      </w:pPr>
    </w:p>
    <w:p>
      <w:pPr>
        <w:pStyle w:val="Heading1"/>
        <w:spacing w:after="240" w:before="480"/>
      </w:pPr>
      <w:r>
        <w:rPr>
          <w:rFonts w:ascii="Times New Roman" w:cs="Times New Roman" w:eastAsia="Times New Roman" w:hAnsi="Times New Roman"/>
          <w:b/>
          <w:bCs/>
          <w:color w:val="000000"/>
          <w:sz w:val="32"/>
          <w:szCs w:val="32"/>
        </w:rPr>
        <w:t xml:space="preserve">Abstract</w:t>
      </w:r>
    </w:p>
    <w:p>
      <w:pPr>
        <w:spacing w:after="200" w:before="0" w:line="360" w:lineRule="auto"/>
        <w:ind/>
        <w:jc w:val="left"/>
      </w:pPr>
      <w:r>
        <w:rPr>
          <w:rFonts w:ascii="Times New Roman" w:cs="Times New Roman" w:eastAsia="Times New Roman" w:hAnsi="Times New Roman"/>
          <w:sz w:val="24"/>
          <w:szCs w:val="24"/>
        </w:rPr>
        <w:t xml:space="preserve">This dissertation investigates the unequal distribution of childlessness in the United States, arguing that the phenomenon is shaped by two powerful, intersecting forces that are typically studied in isolation: the financial structure of households and the nativity composition of racial and ethnic populations. While aggregate childlessness is rising, the trend is profoundly stratified. This project moves beyond standard demographic accounts of education and income to argue that much of the observed racial gradient in fertility is an artifact of immigrant incorporation, while the economic story of childlessness is best understood through the granular details of household balance sheets rather than aggregate wealth.</w:t>
      </w:r>
    </w:p>
    <w:p>
      <w:pPr>
        <w:spacing w:after="200" w:before="0" w:line="360" w:lineRule="auto"/>
        <w:ind/>
        <w:jc w:val="left"/>
      </w:pPr>
      <w:r>
        <w:rPr>
          <w:rFonts w:ascii="Times New Roman" w:cs="Times New Roman" w:eastAsia="Times New Roman" w:hAnsi="Times New Roman"/>
          <w:sz w:val="24"/>
          <w:szCs w:val="24"/>
        </w:rPr>
        <w:t xml:space="preserve">Leveraging a novel, multi-dataset approach, this dissertation triangulates findings from the 2022 Survey of Consumer Finances (SCF) and the 2022–2023 National Survey of Family Growth (NSFG). Methodologically, it employs two-part models to analyze credit card indebtedness, and sequential logistic regression models to decompose the effects of race and nativity on completed childlessness.</w:t>
      </w:r>
    </w:p>
    <w:p>
      <w:pPr>
        <w:spacing w:after="200" w:before="0" w:line="360" w:lineRule="auto"/>
        <w:ind/>
        <w:jc w:val="left"/>
      </w:pPr>
      <w:r>
        <w:rPr>
          <w:rFonts w:ascii="Times New Roman" w:cs="Times New Roman" w:eastAsia="Times New Roman" w:hAnsi="Times New Roman"/>
          <w:sz w:val="24"/>
          <w:szCs w:val="24"/>
        </w:rPr>
        <w:t xml:space="preserve">The dissertation is structured as three empirical papers, yielding three core findings. First, the transition to parenthood is the single strongest demographic predictor of entering credit card debt, demonstrating the intense liquidity strain modern parents face. Second, childlessness among prime-age households is not predicted by income but by the composition of the balance sheet, specifically the accumulation of retirement assets (an opportunity cost mechanism) and experiences of credit denial (a material constraint mechanism). Third, a direct test of the nativity hypothesis reveals that generational status accounts for 59% of the Hispanic-White childlessness gap among women at the end of their reproductive careers. This nativity effect is itself largely mediated by differences in marriage patterns and religious affiliation.</w:t>
      </w:r>
    </w:p>
    <w:p>
      <w:pPr>
        <w:spacing w:after="200" w:before="0" w:line="360" w:lineRule="auto"/>
        <w:ind/>
        <w:jc w:val="left"/>
      </w:pPr>
      <w:r>
        <w:rPr>
          <w:rFonts w:ascii="Times New Roman" w:cs="Times New Roman" w:eastAsia="Times New Roman" w:hAnsi="Times New Roman"/>
          <w:sz w:val="24"/>
          <w:szCs w:val="24"/>
        </w:rPr>
        <w:t xml:space="preserve">Ultimately, this dissertation makes both a theoretical and a methodological contribution. It demonstrates that no single dataset can capture the complex reality of American fertility. By bridging the literatures on immigrant assimilation and the sociology of household finance, it provides a more complete, structurally grounded account of who becomes a parent in 21st-century America, and why.</w:t>
      </w:r>
    </w:p>
    <w:p>
      <w:pPr>
        <w:pageBreakBefore/>
      </w:pPr>
    </w:p>
    <w:p>
      <w:pPr>
        <w:pStyle w:val="Heading1"/>
        <w:spacing w:after="240" w:before="480"/>
      </w:pPr>
      <w:r>
        <w:rPr>
          <w:rFonts w:ascii="Times New Roman" w:cs="Times New Roman" w:eastAsia="Times New Roman" w:hAnsi="Times New Roman"/>
          <w:b/>
          <w:bCs/>
          <w:color w:val="000000"/>
          <w:sz w:val="32"/>
          <w:szCs w:val="32"/>
        </w:rPr>
        <w:t xml:space="preserve">Chapter 1: Introduction — The Puzzle of Unequal Childlessness</w:t>
      </w:r>
    </w:p>
    <w:p>
      <w:pPr>
        <w:pStyle w:val="Heading2"/>
        <w:spacing w:after="180" w:before="360"/>
      </w:pPr>
      <w:r>
        <w:rPr>
          <w:rFonts w:ascii="Times New Roman" w:cs="Times New Roman" w:eastAsia="Times New Roman" w:hAnsi="Times New Roman"/>
          <w:b/>
          <w:bCs/>
          <w:color w:val="000000"/>
          <w:sz w:val="28"/>
          <w:szCs w:val="28"/>
        </w:rPr>
        <w:t xml:space="preserve">1.1 The Rise of Childlessness as a Stratified Phenomenon</w:t>
      </w:r>
    </w:p>
    <w:p>
      <w:pPr>
        <w:spacing w:after="200" w:before="0" w:line="360" w:lineRule="auto"/>
        <w:ind/>
        <w:jc w:val="left"/>
      </w:pPr>
      <w:r>
        <w:rPr>
          <w:rFonts w:ascii="Times New Roman" w:cs="Times New Roman" w:eastAsia="Times New Roman" w:hAnsi="Times New Roman"/>
          <w:sz w:val="24"/>
          <w:szCs w:val="24"/>
        </w:rPr>
        <w:t xml:space="preserve">The decline of childbearing is a defining feature of 21st-century American life. Yet, to speak of a single, monolithic rise in childlessness is to miss the story entirely. The reality is one of profound and growing inequality. The aggregate trend masks a series of divergent paths, where the likelihood of a woman reaching the end of her reproductive years without having a child is inextricably linked to her social position. Among American women aged 40–49, the rate of completed childlessness ranges from a mere 5.5% for those without a high school diploma to a staggering 27.4% for those holding a graduate or professional degree.</w:t>
      </w:r>
    </w:p>
    <w:p>
      <w:pPr>
        <w:spacing w:after="200" w:before="0" w:line="360" w:lineRule="auto"/>
        <w:ind/>
        <w:jc w:val="left"/>
      </w:pPr>
      <w:r>
        <w:rPr>
          <w:rFonts w:ascii="Times New Roman" w:cs="Times New Roman" w:eastAsia="Times New Roman" w:hAnsi="Times New Roman"/>
          <w:sz w:val="24"/>
          <w:szCs w:val="24"/>
        </w:rPr>
        <w:t xml:space="preserve">It is important to note that while this cross-sectional gradient is striking, longitudinal evidence suggests the association between high education and childlessness may be weakening. As of 2014, approximately 82% of women with bachelor's degrees who had reached the end of their childbearing years were mothers, up from 76% in 1994, and motherhood has similarly increased among women with graduate and doctoral degrees. The fertility decline, viewed longitudinally, has been driven more by mothers having fewer children than by a surge in permanent childlessness among the highly educated. These cross-sectional rates thus capture a real stratification at a given point in time, but they should not be read as evidence that higher education invariably forecloses parenthood.</w:t>
      </w:r>
    </w:p>
    <w:p>
      <w:pPr>
        <w:spacing w:after="200" w:before="0" w:line="360" w:lineRule="auto"/>
        <w:ind/>
        <w:jc w:val="left"/>
      </w:pPr>
      <w:r>
        <w:rPr>
          <w:rFonts w:ascii="Times New Roman" w:cs="Times New Roman" w:eastAsia="Times New Roman" w:hAnsi="Times New Roman"/>
          <w:sz w:val="24"/>
          <w:szCs w:val="24"/>
        </w:rPr>
        <w:t xml:space="preserve">This stratification is not only educational but also deeply racialized and, as this dissertation will argue, generational. While 17.6% of native-born White women aged 40–49 are childless, that figure is 22.6% for native-born Hispanic women—a rate nearly identical to their White counterparts. For foreign-born Hispanic women, however, the rate is only 12.0%. A similar chasm exists among the diverse "Other" racial category, where childlessness stands at 25.8% for the native-born but just 11.8% for the foreign-born. These are not minor variations; they are distinct social facts. This is not one story of childlessness; it is many stories running simultaneously, shaped by the intersecting forces of education, race, and the invisible but powerful dynamics of immigration.</w:t>
      </w:r>
    </w:p>
    <w:p>
      <w:pPr>
        <w:pStyle w:val="Heading2"/>
        <w:spacing w:after="180" w:before="360"/>
      </w:pPr>
      <w:r>
        <w:rPr>
          <w:rFonts w:ascii="Times New Roman" w:cs="Times New Roman" w:eastAsia="Times New Roman" w:hAnsi="Times New Roman"/>
          <w:b/>
          <w:bCs/>
          <w:color w:val="000000"/>
          <w:sz w:val="28"/>
          <w:szCs w:val="28"/>
        </w:rPr>
        <w:t xml:space="preserve">1.2 The Immigration Blind Spot in Fertility Research</w:t>
      </w:r>
    </w:p>
    <w:p>
      <w:pPr>
        <w:spacing w:after="200" w:before="0" w:line="360" w:lineRule="auto"/>
        <w:ind/>
        <w:jc w:val="left"/>
      </w:pPr>
      <w:r>
        <w:rPr>
          <w:rFonts w:ascii="Times New Roman" w:cs="Times New Roman" w:eastAsia="Times New Roman" w:hAnsi="Times New Roman"/>
          <w:sz w:val="24"/>
          <w:szCs w:val="24"/>
        </w:rPr>
        <w:t xml:space="preserve">How have mainstream demographic accounts explained the rise of childlessness? The literature has overwhelmingly focused on a core set of predictors: the postponement of marriage, rising educational attainment (and its associated opportunity costs), and shifts in cultural norms regarding family and career. These explanations are powerful and partially correct, yet they operate with a crucial blind spot: the compositional role of immigration.</w:t>
      </w:r>
    </w:p>
    <w:p>
      <w:pPr>
        <w:spacing w:after="200" w:before="0" w:line="360" w:lineRule="auto"/>
        <w:ind/>
        <w:jc w:val="left"/>
      </w:pPr>
      <w:r>
        <w:rPr>
          <w:rFonts w:ascii="Times New Roman" w:cs="Times New Roman" w:eastAsia="Times New Roman" w:hAnsi="Times New Roman"/>
          <w:sz w:val="24"/>
          <w:szCs w:val="24"/>
        </w:rPr>
        <w:t xml:space="preserve">When roughly 39% of Hispanic women of reproductive age in the United States are foreign-born, any aggregate measure of "Hispanic fertility" is a statistical composite—a weighted average of two populations with often starkly different fertility norms, family structures, and economic circumstances. To analyze this composite group without disaggregation is to risk profound misunderstanding.</w:t>
      </w:r>
    </w:p>
    <w:p>
      <w:pPr>
        <w:spacing w:after="200" w:before="0" w:line="360" w:lineRule="auto"/>
        <w:ind/>
        <w:jc w:val="left"/>
      </w:pPr>
      <w:r>
        <w:rPr>
          <w:rFonts w:ascii="Times New Roman" w:cs="Times New Roman" w:eastAsia="Times New Roman" w:hAnsi="Times New Roman"/>
          <w:sz w:val="24"/>
          <w:szCs w:val="24"/>
        </w:rPr>
        <w:t xml:space="preserve">This misunderstanding may run deeper than mere compositional averaging. Foreign-born populations are historically harder to survey: language barriers, non-traditional housing situations, and higher residential mobility systematically reduce the probability that these individuals appear in major surveys. If foreign-born women with distinct fertility behaviors are underrepresented due to these access barriers, the aggregate racial statistics that demographers rely upon may be even more distorted than compositional arithmetic alone suggests—not just conflating two groups, but systematically undersampling the very subgroup that drives the differential. A methodologically rigorous account of racial fertility differentials must acknowledge both of these mechanisms of distortion.</w:t>
      </w:r>
    </w:p>
    <w:p>
      <w:pPr>
        <w:spacing w:after="200" w:before="0" w:line="360" w:lineRule="auto"/>
        <w:ind/>
        <w:jc w:val="left"/>
      </w:pPr>
      <w:r>
        <w:rPr>
          <w:rFonts w:ascii="Times New Roman" w:cs="Times New Roman" w:eastAsia="Times New Roman" w:hAnsi="Times New Roman"/>
          <w:sz w:val="24"/>
          <w:szCs w:val="24"/>
        </w:rPr>
        <w:t xml:space="preserve">The failure of much of the literature to systematically account for nativity has led to an incomplete, and at times misleading, picture of racial fertility differentials in the United States.</w:t>
      </w:r>
    </w:p>
    <w:p>
      <w:pPr>
        <w:pStyle w:val="Heading2"/>
        <w:spacing w:after="180" w:before="360"/>
      </w:pPr>
      <w:r>
        <w:rPr>
          <w:rFonts w:ascii="Times New Roman" w:cs="Times New Roman" w:eastAsia="Times New Roman" w:hAnsi="Times New Roman"/>
          <w:b/>
          <w:bCs/>
          <w:color w:val="000000"/>
          <w:sz w:val="28"/>
          <w:szCs w:val="28"/>
        </w:rPr>
        <w:t xml:space="preserve">1.3 The Argument in Brief</w:t>
      </w:r>
    </w:p>
    <w:p>
      <w:pPr>
        <w:spacing w:after="200" w:before="0" w:line="360" w:lineRule="auto"/>
        <w:ind/>
        <w:jc w:val="left"/>
      </w:pPr>
      <w:r>
        <w:rPr>
          <w:rFonts w:ascii="Times New Roman" w:cs="Times New Roman" w:eastAsia="Times New Roman" w:hAnsi="Times New Roman"/>
          <w:sz w:val="24"/>
          <w:szCs w:val="24"/>
        </w:rPr>
        <w:t xml:space="preserve">This dissertation confronts this puzzle directly. I argue that the observed racial gradient in completed childlessness is substantially, though not entirely, an artifact of nativity composition. This compositional effect, I contend, is not an unexplainable cultural residual but operates through two primary, observable pathways: marriage patterns and religious affiliation, which differ systematically by generational status.</w:t>
      </w:r>
    </w:p>
    <w:p>
      <w:pPr>
        <w:spacing w:after="200" w:before="0" w:line="360" w:lineRule="auto"/>
        <w:ind/>
        <w:jc w:val="left"/>
      </w:pPr>
      <w:r>
        <w:rPr>
          <w:rFonts w:ascii="Times New Roman" w:cs="Times New Roman" w:eastAsia="Times New Roman" w:hAnsi="Times New Roman"/>
          <w:sz w:val="24"/>
          <w:szCs w:val="24"/>
        </w:rPr>
        <w:t xml:space="preserve">Furthermore, I argue that the financial dimensions of childlessness and the nativity dimensions are complementary, not competing, explanations. Where the immigration story explains the compositional sources of fertility differentials between groups, the financial story explains the structural conditions under which individuals within those groups make fertility decisions. To understand the economics of modern parenthood, I show that we must look beyond income to the granular details of the household balance sheet: what a family owns (its assets), what it owes (its debts), and whether it can access credit in times of need. By examining these two stories in tandem—one using data with unparalleled financial depth, the other with unparalleled demographic depth—this dissertation provides a more robust and complete account of who does, and does not, have children in America today.</w:t>
      </w:r>
    </w:p>
    <w:p>
      <w:pPr>
        <w:pStyle w:val="Heading2"/>
        <w:spacing w:after="180" w:before="360"/>
      </w:pPr>
      <w:r>
        <w:rPr>
          <w:rFonts w:ascii="Times New Roman" w:cs="Times New Roman" w:eastAsia="Times New Roman" w:hAnsi="Times New Roman"/>
          <w:b/>
          <w:bCs/>
          <w:color w:val="000000"/>
          <w:sz w:val="28"/>
          <w:szCs w:val="28"/>
        </w:rPr>
        <w:t xml:space="preserve">1.4 Theoretical Contributions</w:t>
      </w:r>
    </w:p>
    <w:p>
      <w:pPr>
        <w:spacing w:after="200" w:before="0" w:line="360" w:lineRule="auto"/>
        <w:ind/>
        <w:jc w:val="left"/>
      </w:pPr>
      <w:r>
        <w:rPr>
          <w:rFonts w:ascii="Times New Roman" w:cs="Times New Roman" w:eastAsia="Times New Roman" w:hAnsi="Times New Roman"/>
          <w:sz w:val="24"/>
          <w:szCs w:val="24"/>
        </w:rPr>
        <w:t xml:space="preserve">This project is situated at the intersection of several fields and aims to make three distinct theoretical contributions.</w:t>
      </w:r>
    </w:p>
    <w:p>
      <w:pPr>
        <w:spacing w:after="200" w:before="0" w:line="360" w:lineRule="auto"/>
        <w:ind/>
        <w:jc w:val="left"/>
      </w:pPr>
      <w:r>
        <w:rPr>
          <w:rFonts w:ascii="Times New Roman" w:cs="Times New Roman" w:eastAsia="Times New Roman" w:hAnsi="Times New Roman"/>
          <w:sz w:val="24"/>
          <w:szCs w:val="24"/>
        </w:rPr>
        <w:t xml:space="preserve">First, it bridges the sociology of fertility with the literature on immigrant incorporation, using fertility outcomes as a lens to observe assimilation processes in action.</w:t>
      </w:r>
    </w:p>
    <w:p>
      <w:pPr>
        <w:spacing w:after="200" w:before="0" w:line="360" w:lineRule="auto"/>
        <w:ind/>
        <w:jc w:val="left"/>
      </w:pPr>
      <w:r>
        <w:rPr>
          <w:rFonts w:ascii="Times New Roman" w:cs="Times New Roman" w:eastAsia="Times New Roman" w:hAnsi="Times New Roman"/>
          <w:sz w:val="24"/>
          <w:szCs w:val="24"/>
        </w:rPr>
        <w:t xml:space="preserve">Second, it stages a direct empirical test of classic assimilation theory against its more nuanced successor, segmented assimilation theory, by examining whether the path to fertility convergence is linear and uniform.</w:t>
      </w:r>
    </w:p>
    <w:p>
      <w:pPr>
        <w:spacing w:after="200" w:before="0" w:line="360" w:lineRule="auto"/>
        <w:ind/>
        <w:jc w:val="left"/>
      </w:pPr>
      <w:r>
        <w:rPr>
          <w:rFonts w:ascii="Times New Roman" w:cs="Times New Roman" w:eastAsia="Times New Roman" w:hAnsi="Times New Roman"/>
          <w:sz w:val="24"/>
          <w:szCs w:val="24"/>
        </w:rPr>
        <w:t xml:space="preserve">Third, it introduces and tests a formal mediation framework for the nativity-fertility relationship, moving beyond simple description to explain the specific social mechanisms (marriage and religion) that channel the effect of generational status on childbearing.</w:t>
      </w:r>
    </w:p>
    <w:p>
      <w:pPr>
        <w:pStyle w:val="Heading2"/>
        <w:spacing w:after="180" w:before="360"/>
      </w:pPr>
      <w:r>
        <w:rPr>
          <w:rFonts w:ascii="Times New Roman" w:cs="Times New Roman" w:eastAsia="Times New Roman" w:hAnsi="Times New Roman"/>
          <w:b/>
          <w:bCs/>
          <w:color w:val="000000"/>
          <w:sz w:val="28"/>
          <w:szCs w:val="28"/>
        </w:rPr>
        <w:t xml:space="preserve">1.5 Dissertation Roadmap</w:t>
      </w:r>
    </w:p>
    <w:p>
      <w:pPr>
        <w:spacing w:after="200" w:before="0" w:line="360" w:lineRule="auto"/>
        <w:ind/>
        <w:jc w:val="left"/>
      </w:pPr>
      <w:r>
        <w:rPr>
          <w:rFonts w:ascii="Times New Roman" w:cs="Times New Roman" w:eastAsia="Times New Roman" w:hAnsi="Times New Roman"/>
          <w:sz w:val="24"/>
          <w:szCs w:val="24"/>
        </w:rPr>
        <w:t xml:space="preserve">The argument unfolds across three distinct but interconnected empirical papers, each forming a chapter of this dissertation.</w:t>
      </w:r>
    </w:p>
    <w:p>
      <w:pPr>
        <w:spacing w:after="200" w:before="0" w:line="360" w:lineRule="auto"/>
        <w:ind/>
        <w:jc w:val="left"/>
      </w:pPr>
      <w:r>
        <w:rPr>
          <w:rFonts w:ascii="Times New Roman" w:cs="Times New Roman" w:eastAsia="Times New Roman" w:hAnsi="Times New Roman"/>
          <w:sz w:val="24"/>
          <w:szCs w:val="24"/>
        </w:rPr>
        <w:t xml:space="preserve">Chapter 2 lays the theoretical groundwork, reviewing the literatures on fertility, immigration, and the sociology of debt to derive a set of testable hypotheses.</w:t>
      </w:r>
    </w:p>
    <w:p>
      <w:pPr>
        <w:spacing w:after="200" w:before="0" w:line="360" w:lineRule="auto"/>
        <w:ind/>
        <w:jc w:val="left"/>
      </w:pPr>
      <w:r>
        <w:rPr>
          <w:rFonts w:ascii="Times New Roman" w:cs="Times New Roman" w:eastAsia="Times New Roman" w:hAnsi="Times New Roman"/>
          <w:sz w:val="24"/>
          <w:szCs w:val="24"/>
        </w:rPr>
        <w:t xml:space="preserve">Chapter 3, the first empirical paper, uses the Survey of Consumer Finances (SCF) to investigate the financial consequences of parenthood, arguing that credit card debt functions as a key indicator of the liquidity strain faced by new parents.</w:t>
      </w:r>
    </w:p>
    <w:p>
      <w:pPr>
        <w:spacing w:after="200" w:before="0" w:line="360" w:lineRule="auto"/>
        <w:ind/>
        <w:jc w:val="left"/>
      </w:pPr>
      <w:r>
        <w:rPr>
          <w:rFonts w:ascii="Times New Roman" w:cs="Times New Roman" w:eastAsia="Times New Roman" w:hAnsi="Times New Roman"/>
          <w:sz w:val="24"/>
          <w:szCs w:val="24"/>
        </w:rPr>
        <w:t xml:space="preserve">Chapter 4 also uses the SCF to analyze the other side of the coin: the financial profile of the childless. It demonstrates that the composition of the household balance sheet, particularly retirement assets and credit constraints, predicts childlessness more effectively than aggregate income. This chapter's finding that racial gaps are fully mediated by financial and demographic controls motivates the subsequent turn to nativity.</w:t>
      </w:r>
    </w:p>
    <w:p>
      <w:pPr>
        <w:spacing w:after="200" w:before="0" w:line="360" w:lineRule="auto"/>
        <w:ind/>
        <w:jc w:val="left"/>
      </w:pPr>
      <w:r>
        <w:rPr>
          <w:rFonts w:ascii="Times New Roman" w:cs="Times New Roman" w:eastAsia="Times New Roman" w:hAnsi="Times New Roman"/>
          <w:sz w:val="24"/>
          <w:szCs w:val="24"/>
        </w:rPr>
        <w:t xml:space="preserve">Chapter 5, the third empirical paper, shifts to the National Survey of Family Growth (NSFG) to directly test the nativity hypothesis. Using a sequential modeling strategy, it quantifies the extent to which nativity composition explains racial fertility gaps and identifies the mediating roles of marriage and religion.</w:t>
      </w:r>
    </w:p>
    <w:p>
      <w:pPr>
        <w:spacing w:after="200" w:before="0" w:line="360" w:lineRule="auto"/>
        <w:ind/>
        <w:jc w:val="left"/>
      </w:pPr>
      <w:r>
        <w:rPr>
          <w:rFonts w:ascii="Times New Roman" w:cs="Times New Roman" w:eastAsia="Times New Roman" w:hAnsi="Times New Roman"/>
          <w:sz w:val="24"/>
          <w:szCs w:val="24"/>
        </w:rPr>
        <w:t xml:space="preserve">Finally, Chapter 6 concludes by synthesizing the findings from all three papers. It articulates the dissertation's overarching theoretical and methodological contributions and discusses the policy implications for a society grappling with the complex realities of demographic change.</w:t>
      </w:r>
    </w:p>
    <w:p>
      <w:pPr>
        <w:pageBreakBefore/>
      </w:pPr>
    </w:p>
    <w:p>
      <w:pPr>
        <w:pStyle w:val="Heading1"/>
        <w:spacing w:after="240" w:before="480"/>
      </w:pPr>
      <w:r>
        <w:rPr>
          <w:rFonts w:ascii="Times New Roman" w:cs="Times New Roman" w:eastAsia="Times New Roman" w:hAnsi="Times New Roman"/>
          <w:b/>
          <w:bCs/>
          <w:color w:val="000000"/>
          <w:sz w:val="32"/>
          <w:szCs w:val="32"/>
        </w:rPr>
        <w:t xml:space="preserve">Chapter 2: Literature Review and Theoretical Framework</w:t>
      </w:r>
    </w:p>
    <w:p>
      <w:pPr>
        <w:spacing w:after="200" w:before="0" w:line="360" w:lineRule="auto"/>
        <w:ind/>
        <w:jc w:val="left"/>
      </w:pPr>
      <w:r>
        <w:rPr>
          <w:rFonts w:ascii="Times New Roman" w:cs="Times New Roman" w:eastAsia="Times New Roman" w:hAnsi="Times New Roman"/>
          <w:sz w:val="24"/>
          <w:szCs w:val="24"/>
        </w:rPr>
        <w:t xml:space="preserve">This dissertation is built upon the premise that a complete understanding of childlessness in the contemporary United States requires a theoretical and empirical synthesis of three distinct, yet intersecting, bodies of scholarship: the demography of fertility and family formation; the sociology of immigration and assimilation; and the sociology of household finance, debt, and consumption. Historically, these literatures have largely operated in separate spheres. Fertility demographers have focused on education and marriage, assimilation scholars have focused on language and socioeconomic mobility, and economic sociologists have focused on wealth and debt. This chapter weaves them together. By reviewing the core tenets and identifying the limitations of each, it constructs an integrated theoretical framework from which a series of novel, testable hypotheses are derived. The argument is that the gaps in one literature are often best filled by the insights of another, and only by bridging them can we solve the puzzle of unequal childlessness.</w:t>
      </w:r>
    </w:p>
    <w:p>
      <w:pPr>
        <w:pStyle w:val="Heading2"/>
        <w:spacing w:after="180" w:before="360"/>
      </w:pPr>
      <w:r>
        <w:rPr>
          <w:rFonts w:ascii="Times New Roman" w:cs="Times New Roman" w:eastAsia="Times New Roman" w:hAnsi="Times New Roman"/>
          <w:b/>
          <w:bCs/>
          <w:color w:val="000000"/>
          <w:sz w:val="28"/>
          <w:szCs w:val="28"/>
        </w:rPr>
        <w:t xml:space="preserve">2.1 Fertility Decline and the Rise of Childlessness in the United States</w:t>
      </w:r>
    </w:p>
    <w:p>
      <w:pPr>
        <w:spacing w:after="200" w:before="0" w:line="360" w:lineRule="auto"/>
        <w:ind/>
        <w:jc w:val="left"/>
      </w:pPr>
      <w:r>
        <w:rPr>
          <w:rFonts w:ascii="Times New Roman" w:cs="Times New Roman" w:eastAsia="Times New Roman" w:hAnsi="Times New Roman"/>
          <w:sz w:val="24"/>
          <w:szCs w:val="24"/>
        </w:rPr>
        <w:t xml:space="preserve">The study of childlessness is nested within the broader context of the "Second Demographic Transition," a term describing the shift in post-industrial societies toward sustained sub-replacement fertility, a plurality of living arrangements, and a decoupling of marriage and procreation (Lesthaeghe, 2010). In the United States, the Total Fertility Rate (TFR) has remained below the replacement level of 2.1 since the early 1970s. Demographers distinguish between tempo effects (changes in the timing of births) and quantum effects (changes in the total number of children a cohort has). While much of the fertility decline has been driven by the postponement of first births, there is mounting evidence of a true quantum effect: cohorts are not just delaying parenthood, they are increasingly forgoing it altogether (Sobotka, 2017).</w:t>
      </w:r>
    </w:p>
    <w:p>
      <w:pPr>
        <w:spacing w:after="200" w:before="0" w:line="360" w:lineRule="auto"/>
        <w:ind/>
        <w:jc w:val="left"/>
      </w:pPr>
      <w:r>
        <w:rPr>
          <w:rFonts w:ascii="Times New Roman" w:cs="Times New Roman" w:eastAsia="Times New Roman" w:hAnsi="Times New Roman"/>
          <w:sz w:val="24"/>
          <w:szCs w:val="24"/>
        </w:rPr>
        <w:t xml:space="preserve">This rise in "completed childlessness"—typically measured among women aged 40–49—is the central outcome of this study. The literature makes a crucial, though often difficult to measure, distinction between voluntary childlessness (a conscious choice not to have children) and involuntary childlessness (an unfulfilled desire for children due to biological, social, or economic constraints). While this dissertation cannot perfectly distinguish between the two, it acknowledges that both pathways contribute to the aggregate trend.</w:t>
      </w:r>
    </w:p>
    <w:p>
      <w:pPr>
        <w:spacing w:after="200" w:before="0" w:line="360" w:lineRule="auto"/>
        <w:ind/>
        <w:jc w:val="left"/>
      </w:pPr>
      <w:r>
        <w:rPr>
          <w:rFonts w:ascii="Times New Roman" w:cs="Times New Roman" w:eastAsia="Times New Roman" w:hAnsi="Times New Roman"/>
          <w:sz w:val="24"/>
          <w:szCs w:val="24"/>
        </w:rPr>
        <w:t xml:space="preserve">A critical methodological point must be raised at the outset: identifying "involuntary" childlessness relies almost entirely on subjective survey measures—specifically, respondents' reports of fertility intentions and desires. Unlike the biological fact of parity or the financial fact of asset holdings, there is no objective external reality against which to validate these subjective states. Their validity can only be inferred through patterns of association—for example, whether reported fertility desires correlate predictably with other demographic or behavioral variables. Intentions are also subject to measurement error and retrospective rationalization, as individuals may revise their reported preferences in light of their actual outcomes. This dissertation acknowledges this limitation, treating the fertility intentions finding as suggestive rather than definitive, and relies primarily on the objective measure of biological parity as its outcome.</w:t>
      </w:r>
    </w:p>
    <w:p>
      <w:pPr>
        <w:spacing w:after="200" w:before="0" w:line="360" w:lineRule="auto"/>
        <w:ind/>
        <w:jc w:val="left"/>
      </w:pPr>
      <w:r>
        <w:rPr>
          <w:rFonts w:ascii="Times New Roman" w:cs="Times New Roman" w:eastAsia="Times New Roman" w:hAnsi="Times New Roman"/>
          <w:sz w:val="24"/>
          <w:szCs w:val="24"/>
        </w:rPr>
        <w:t xml:space="preserve">A further complexity worth acknowledging is that a portion of what appears as "involuntary" childlessness in the data is driven by mechanisms that are neither financial nor compositional, but biological and circumstantial. Delayed family formation frequently collides with the biological reality that female fecundity declines sharply after age 35. A widely documented "age-fertility knowledge gap"—where individuals systematically overestimate their ability to conceive at advanced ages—means that many women who postpone childbearing believing they have time eventually find themselves past their biological window. By ages 40–44, roughly one in four couples faces infertility. These biological and circumstantial pathways to childlessness operate alongside, but distinct from, the structural financial and compositional forces that are this dissertation's primary focus.</w:t>
      </w:r>
    </w:p>
    <w:p>
      <w:pPr>
        <w:spacing w:after="200" w:before="0" w:line="360" w:lineRule="auto"/>
        <w:ind/>
        <w:jc w:val="left"/>
      </w:pPr>
      <w:r>
        <w:rPr>
          <w:rFonts w:ascii="Times New Roman" w:cs="Times New Roman" w:eastAsia="Times New Roman" w:hAnsi="Times New Roman"/>
          <w:sz w:val="24"/>
          <w:szCs w:val="24"/>
        </w:rPr>
        <w:t xml:space="preserve">The most powerful and consistent explanation for rising childlessness in the demographic literature is the expansion of higher education, particularly for women. The opportunity cost theory, rooted in Becker's (1981) economic framework of the family, posits that the time and earnings forgone to raise children are a primary cost of parenthood. As women's educational attainment and potential wages rise, so too does the opportunity cost of exiting or scaling back participation in the labor force, making childlessness a more economically rational choice for some.</w:t>
      </w:r>
    </w:p>
    <w:p>
      <w:pPr>
        <w:spacing w:after="200" w:before="0" w:line="360" w:lineRule="auto"/>
        <w:ind/>
        <w:jc w:val="left"/>
      </w:pPr>
      <w:r>
        <w:rPr>
          <w:rFonts w:ascii="Times New Roman" w:cs="Times New Roman" w:eastAsia="Times New Roman" w:hAnsi="Times New Roman"/>
          <w:sz w:val="24"/>
          <w:szCs w:val="24"/>
        </w:rPr>
        <w:t xml:space="preserve">This economic logic is reinforced by institutional context. Despite a rise in non-marital childbearing, marriage remains a primary institution for child-rearing in the U.S. (Cherlin, 2004). The postponement of marriage to later ages, itself linked to educational and career pursuits, directly shortens the period available for childbearing and increases the likelihood that a partnership will remain childless. The median age at first marriage has risen substantially over the past fifty years, narrowing the biological window available for childbearing and frequently converting "postponed" fertility into permanently "forgone" fertility.</w:t>
      </w:r>
    </w:p>
    <w:p>
      <w:pPr>
        <w:spacing w:after="200" w:before="0" w:line="360" w:lineRule="auto"/>
        <w:ind/>
        <w:jc w:val="left"/>
      </w:pPr>
      <w:r>
        <w:rPr>
          <w:rFonts w:ascii="Times New Roman" w:cs="Times New Roman" w:eastAsia="Times New Roman" w:hAnsi="Times New Roman"/>
          <w:sz w:val="24"/>
          <w:szCs w:val="24"/>
        </w:rPr>
        <w:t xml:space="preserve">Finally, the literature recognizes religion as a powerful pronatalist institution. Religious affiliation often provides a normative framework that encourages and values childbearing, offers social support networks for parents, and may foster a worldview less focused on the materialist or individualist logic that underpins opportunity cost theory (Hayford &amp; Morgan, 2008). Consequently, higher levels of religiosity are consistently associated with lower rates of childlessness.</w:t>
      </w:r>
    </w:p>
    <w:p>
      <w:pPr>
        <w:spacing w:after="200" w:before="0" w:line="360" w:lineRule="auto"/>
        <w:ind/>
        <w:jc w:val="left"/>
      </w:pPr>
      <w:r>
        <w:rPr>
          <w:rFonts w:ascii="Times New Roman" w:cs="Times New Roman" w:eastAsia="Times New Roman" w:hAnsi="Times New Roman"/>
          <w:sz w:val="24"/>
          <w:szCs w:val="24"/>
        </w:rPr>
        <w:t xml:space="preserve">While powerful, these mainstream accounts often treat the U.S. population as a relatively homogenous entity, obscuring the profound compositional effects of immigration.</w:t>
      </w:r>
    </w:p>
    <w:p>
      <w:pPr>
        <w:pStyle w:val="Heading2"/>
        <w:spacing w:after="180" w:before="360"/>
      </w:pPr>
      <w:r>
        <w:rPr>
          <w:rFonts w:ascii="Times New Roman" w:cs="Times New Roman" w:eastAsia="Times New Roman" w:hAnsi="Times New Roman"/>
          <w:b/>
          <w:bCs/>
          <w:color w:val="000000"/>
          <w:sz w:val="28"/>
          <w:szCs w:val="28"/>
        </w:rPr>
        <w:t xml:space="preserve">2.2 Immigration, Nativity, and Fertility</w:t>
      </w:r>
    </w:p>
    <w:p>
      <w:pPr>
        <w:spacing w:after="200" w:before="0" w:line="360" w:lineRule="auto"/>
        <w:ind/>
        <w:jc w:val="left"/>
      </w:pPr>
      <w:r>
        <w:rPr>
          <w:rFonts w:ascii="Times New Roman" w:cs="Times New Roman" w:eastAsia="Times New Roman" w:hAnsi="Times New Roman"/>
          <w:sz w:val="24"/>
          <w:szCs w:val="24"/>
        </w:rPr>
        <w:t xml:space="preserve">The story of American fertility cannot be told without accounting for the four decades of historically high immigration that have reshaped the nation's demographic landscape. Immigrants often arrive from countries with different fertility norms and behaviors than those prevalent in the U.S., creating a "fertility differential" that has significant implications for aggregate statistics. Immigration has recently become the primary driver of U.S. population growth, accounting for approximately 84% of total growth between 2023 and 2024, which underscores the demographic weight of the nativity question.</w:t>
      </w:r>
    </w:p>
    <w:p>
      <w:pPr>
        <w:spacing w:after="200" w:before="0" w:line="360" w:lineRule="auto"/>
        <w:ind/>
        <w:jc w:val="left"/>
      </w:pPr>
      <w:r>
        <w:rPr>
          <w:rFonts w:ascii="Times New Roman" w:cs="Times New Roman" w:eastAsia="Times New Roman" w:hAnsi="Times New Roman"/>
          <w:sz w:val="24"/>
          <w:szCs w:val="24"/>
        </w:rPr>
        <w:t xml:space="preserve">The foundational theory for understanding how these differentials evolve is classic assimilation theory (Gordon, 1964; Alba &amp; Nee, 2003). This perspective posits a process of intergenerational convergence whereby immigrant groups, over time, adopt the social, economic, and cultural norms of the host society. In this model, we expect the fertility patterns of the first generation (the foreign-born) to most closely resemble those of their countries of origin, while the second generation (U.S.-born children of immigrants) and subsequent generations will converge toward the native-born average. This process is driven by exposure to the host country's educational systems, labor markets, and cultural milieu. Evidence for this generational convergence in fertility is well-documented (Parrado, 2011; Hill &amp; Johnson, 2004).</w:t>
      </w:r>
    </w:p>
    <w:p>
      <w:pPr>
        <w:spacing w:after="200" w:before="80"/>
        <w:ind w:left="720" w:right="720"/>
      </w:pPr>
      <w:r>
        <w:rPr>
          <w:rFonts w:ascii="Times New Roman" w:cs="Times New Roman" w:eastAsia="Times New Roman" w:hAnsi="Times New Roman"/>
          <w:i/>
          <w:iCs/>
          <w:color w:val="444444"/>
          <w:sz w:val="22"/>
          <w:szCs w:val="22"/>
        </w:rPr>
        <w:t xml:space="preserve">Note on theoretical sources: The specific mechanisms of intergenerational fertility convergence — including the frameworks of classic assimilation theory (Alba &amp; Nee, 2003; Gordon, 1964) and segmented assimilation theory (Portes &amp; Zhou, 1993) — are drawn from the broader sociological literature and are not directly documented in the empirical sources reviewed for this chapter, which confirm the immigrant fertility differential but do not theorize its generational evolution. These frameworks serve as theoretical scaffolding that motivates and structures the empirical tests in Chapter 5.</w:t>
      </w:r>
    </w:p>
    <w:p>
      <w:pPr>
        <w:spacing w:after="200" w:before="0" w:line="360" w:lineRule="auto"/>
        <w:ind/>
        <w:jc w:val="left"/>
      </w:pPr>
      <w:r>
        <w:rPr>
          <w:rFonts w:ascii="Times New Roman" w:cs="Times New Roman" w:eastAsia="Times New Roman" w:hAnsi="Times New Roman"/>
          <w:sz w:val="24"/>
          <w:szCs w:val="24"/>
        </w:rPr>
        <w:t xml:space="preserve">However, the path of assimilation is not always linear. Segmented assimilation theory (Portes &amp; Zhou, 1993) offers a critical corrective, arguing that immigrant groups face different contexts of reception and possess varying levels of human capital, leading to divergent paths. Some may experience upward mobility and assimilate into the middle class, others may experience "downward assimilation" into a racialized underclass, while still others may achieve economic success while maintaining strong co-ethnic ties. This framework suggests that fertility convergence may not be uniform across all national-origin groups, complicating the classic linear model.</w:t>
      </w:r>
    </w:p>
    <w:p>
      <w:pPr>
        <w:spacing w:after="200" w:before="0" w:line="360" w:lineRule="auto"/>
        <w:ind/>
        <w:jc w:val="left"/>
      </w:pPr>
      <w:r>
        <w:rPr>
          <w:rFonts w:ascii="Times New Roman" w:cs="Times New Roman" w:eastAsia="Times New Roman" w:hAnsi="Times New Roman"/>
          <w:sz w:val="24"/>
          <w:szCs w:val="24"/>
        </w:rPr>
        <w:t xml:space="preserve">This dissertation operationalizes these theories by focusing on nativity and generational status as key predictors. It argues that much of the observed racial and ethnic variation in childlessness is a compositional mechanism: aggregate statistics for groups like Hispanic Americans are artifacts that blend the lower childlessness of the foreign-born first generation with the higher, converged childlessness of the native-born third-plus generation.</w:t>
      </w:r>
    </w:p>
    <w:p>
      <w:pPr>
        <w:pStyle w:val="Heading2"/>
        <w:spacing w:after="180" w:before="360"/>
      </w:pPr>
      <w:r>
        <w:rPr>
          <w:rFonts w:ascii="Times New Roman" w:cs="Times New Roman" w:eastAsia="Times New Roman" w:hAnsi="Times New Roman"/>
          <w:b/>
          <w:bCs/>
          <w:color w:val="000000"/>
          <w:sz w:val="28"/>
          <w:szCs w:val="28"/>
        </w:rPr>
        <w:t xml:space="preserve">2.3 Race, Wealth, and Financial Barriers to Family Formation</w:t>
      </w:r>
    </w:p>
    <w:p>
      <w:pPr>
        <w:spacing w:after="200" w:before="0" w:line="360" w:lineRule="auto"/>
        <w:ind/>
        <w:jc w:val="left"/>
      </w:pPr>
      <w:r>
        <w:rPr>
          <w:rFonts w:ascii="Times New Roman" w:cs="Times New Roman" w:eastAsia="Times New Roman" w:hAnsi="Times New Roman"/>
          <w:sz w:val="24"/>
          <w:szCs w:val="24"/>
        </w:rPr>
        <w:t xml:space="preserve">The third stream of literature moves from demography to the sociology of household finance, arguing that the decision to have a child is shaped not just by income flows but by the entire household balance sheet. In an era of wage stagnation and rising costs, the financial barriers to family formation are significant and unequally distributed.</w:t>
      </w:r>
    </w:p>
    <w:p>
      <w:pPr>
        <w:spacing w:after="200" w:before="0" w:line="360" w:lineRule="auto"/>
        <w:ind/>
        <w:jc w:val="left"/>
      </w:pPr>
      <w:r>
        <w:rPr>
          <w:rFonts w:ascii="Times New Roman" w:cs="Times New Roman" w:eastAsia="Times New Roman" w:hAnsi="Times New Roman"/>
          <w:sz w:val="24"/>
          <w:szCs w:val="24"/>
        </w:rPr>
        <w:t xml:space="preserve">The vast racial wealth gap provides a crucial structural context. With the median White household holding many times the net worth of the median Black or Hispanic household, families of color have far fewer resources to buffer themselves against financial shocks or to invest in the high costs of child-rearing (Oliver &amp; Shapiro, 2006). This dissertation argues that one way this structural inequality manifests is through a higher reliance on expensive, unsecured debt to manage household cash flow.</w:t>
      </w:r>
    </w:p>
    <w:p>
      <w:pPr>
        <w:spacing w:after="200" w:before="0" w:line="360" w:lineRule="auto"/>
        <w:ind/>
        <w:jc w:val="left"/>
      </w:pPr>
      <w:r>
        <w:rPr>
          <w:rFonts w:ascii="Times New Roman" w:cs="Times New Roman" w:eastAsia="Times New Roman" w:hAnsi="Times New Roman"/>
          <w:sz w:val="24"/>
          <w:szCs w:val="24"/>
        </w:rPr>
        <w:t xml:space="preserve">The relationship between aggregate wealth and fertility deserves careful specification. Emerging evidence suggests that certain forms of aggregate wealth — particularly housing wealth — do have a meaningful causal impact on fertility. Research documents that a $100,000 increase in housing wealth among homeowners increases the probability of having a child by 16–18%. High-income families appear to leverage asset wealth to finance family formation, while low-wealth households and renters more often remain in a state of reproductive postponement. This evidence complicates a simple "income doesn't matter" story and requires a nuanced framing: it is not that aggregate wealth is irrelevant, but that its effect on fertility operates heterogeneously, with some components of wealth (housing, liquid savings) functioning as family formation enablers and others (retirement assets, investment portfolios) functioning as opportunity cost accumulators that discourage childbearing. This dissertation's Chapter 4 tests specifically the composition-of-wealth hypothesis, and its retirement asset finding should be understood within this broader context of differential asset effects.</w:t>
      </w:r>
    </w:p>
    <w:p>
      <w:pPr>
        <w:spacing w:after="200" w:before="0" w:line="360" w:lineRule="auto"/>
        <w:ind/>
        <w:jc w:val="left"/>
      </w:pPr>
      <w:r>
        <w:rPr>
          <w:rFonts w:ascii="Times New Roman" w:cs="Times New Roman" w:eastAsia="Times New Roman" w:hAnsi="Times New Roman"/>
          <w:sz w:val="24"/>
          <w:szCs w:val="24"/>
        </w:rPr>
        <w:t xml:space="preserve">The specific role of credit constraints as a separate mechanism is particularly important for understanding the Black-White family gap. Sociologist William Julius Wilson's influential "marriageable men" framework provides structural grounding for this disparity: decades of disproportionate unemployment and mass incarceration among Black men have reduced the pool of economically viable partners, lowering the "value proposition" of marriage and pushing more Black women toward independent household formation. This dynamic, operating largely through labor market exclusion and the criminal justice system, explains why the Black-White childlessness differential in this dissertation's analysis is not a nativity story — it is a marriage market and institutional story rooted in economic disinvestment with deep historical roots.</w:t>
      </w:r>
    </w:p>
    <w:p>
      <w:pPr>
        <w:spacing w:after="200" w:before="0" w:line="360" w:lineRule="auto"/>
        <w:ind/>
        <w:jc w:val="left"/>
      </w:pPr>
      <w:r>
        <w:rPr>
          <w:rFonts w:ascii="Times New Roman" w:cs="Times New Roman" w:eastAsia="Times New Roman" w:hAnsi="Times New Roman"/>
          <w:sz w:val="24"/>
          <w:szCs w:val="24"/>
        </w:rPr>
        <w:t xml:space="preserve">Sociological research on consumption frames debt not as a personal failing, but as a structural feature of the modern economy—a necessary tool for households to maintain a middle-class standard of living, particularly in the face of unexpected expenses (Sullivan, 2006). This perspective aligns with the cultural theory of "intensive parenting" (Hays, 1996), which documents the immense normative pressure on parents to invest unprecedented amounts of time, energy, and, crucially, money into their children. The material demands of modern parenthood—from childcare to enrichment activities—create intense liquidity strains that income alone often cannot satisfy. This dissertation posits that credit card debt serves as a primary, measurable indicator of this liquidity strain.</w:t>
      </w:r>
    </w:p>
    <w:p>
      <w:pPr>
        <w:spacing w:after="200" w:before="0" w:line="360" w:lineRule="auto"/>
        <w:ind/>
        <w:jc w:val="left"/>
      </w:pPr>
      <w:r>
        <w:rPr>
          <w:rFonts w:ascii="Times New Roman" w:cs="Times New Roman" w:eastAsia="Times New Roman" w:hAnsi="Times New Roman"/>
          <w:sz w:val="24"/>
          <w:szCs w:val="24"/>
        </w:rPr>
        <w:t xml:space="preserve">One methodological consideration bears mention at the outset: self-reported credit card debt, like all self-reported financial data, is subject to social desirability bias. Behaviors and situations that carry social stigma — including severe indebtedness, near-bankruptcy, and extreme financial distress — are systematically underreported in household surveys. The empirical estimates presented in Chapter 3 and Chapter 4 should therefore be understood as conservative lower bounds. If households experiencing the most severe liquidity strain are also least likely to disclose it — or least likely to participate in the Survey of Consumer Finances at all — then the true financial strain of the parenthood transition is likely larger than the coefficients in this dissertation capture. This limitation does not undermine the directional conclusions, but it does suggest that the "parenthood debt penalty" documented here represents a floor, not a ceiling.</w:t>
      </w:r>
    </w:p>
    <w:p>
      <w:pPr>
        <w:spacing w:after="200" w:before="0" w:line="360" w:lineRule="auto"/>
        <w:ind/>
        <w:jc w:val="left"/>
      </w:pPr>
      <w:r>
        <w:rPr>
          <w:rFonts w:ascii="Times New Roman" w:cs="Times New Roman" w:eastAsia="Times New Roman" w:hAnsi="Times New Roman"/>
          <w:sz w:val="24"/>
          <w:szCs w:val="24"/>
        </w:rPr>
        <w:t xml:space="preserve">A further theoretical complexity must be acknowledged regarding the causal direction of the debt-parenthood relationship. While this dissertation argues that parenthood drives credit card indebtedness — that the arrival of a first child is a financial shock that pushes households into revolving debt — an alternative reading of the literature runs the causal arrow in the opposite direction. Some research suggests that credit card access may facilitate the transition to parenthood by providing immediate purchasing power that allows young adults to smooth the upfront expenses of family formation. Under this interpretation, credit cards are not a sign of parental financial distress but a tool that makes parenthood seem financially feasible in the near term. This dissertation's empirical strategy — specifically, the two-part model's demonstration that the first child predicts entering debt even after controlling for income, savings, and financial characteristics — provides evidence for the liquidity strain interpretation. But the reader should be aware that the causal relationship between debt and fertility is bidirectional, and the findings are best understood as documenting an association that is consistent with, though not exclusively determined by, the liquidity strain theory.</w:t>
      </w:r>
    </w:p>
    <w:p>
      <w:pPr>
        <w:pStyle w:val="Heading2"/>
        <w:spacing w:after="180" w:before="360"/>
      </w:pPr>
      <w:r>
        <w:rPr>
          <w:rFonts w:ascii="Times New Roman" w:cs="Times New Roman" w:eastAsia="Times New Roman" w:hAnsi="Times New Roman"/>
          <w:b/>
          <w:bCs/>
          <w:color w:val="000000"/>
          <w:sz w:val="28"/>
          <w:szCs w:val="28"/>
        </w:rPr>
        <w:t xml:space="preserve">2.4 Hypotheses</w:t>
      </w:r>
    </w:p>
    <w:p>
      <w:pPr>
        <w:spacing w:after="200" w:before="0" w:line="360" w:lineRule="auto"/>
        <w:ind/>
        <w:jc w:val="left"/>
      </w:pPr>
      <w:r>
        <w:rPr>
          <w:rFonts w:ascii="Times New Roman" w:cs="Times New Roman" w:eastAsia="Times New Roman" w:hAnsi="Times New Roman"/>
          <w:sz w:val="24"/>
          <w:szCs w:val="24"/>
        </w:rPr>
        <w:t xml:space="preserve">By integrating these three literatures, this dissertation derives five core hypotheses that will be tested in the subsequent empirical chapters:</w:t>
      </w:r>
    </w:p>
    <w:p>
      <w:pPr>
        <w:pStyle w:val="ListParagraph"/>
        <w:numPr>
          <w:ilvl w:val="0"/>
          <w:numId w:val="2"/>
        </w:numPr>
        <w:spacing w:after="60" w:before="60"/>
      </w:pPr>
      <w:r>
        <w:rPr>
          <w:rFonts w:ascii="Times New Roman" w:cs="Times New Roman" w:eastAsia="Times New Roman" w:hAnsi="Times New Roman"/>
          <w:sz w:val="24"/>
          <w:szCs w:val="24"/>
        </w:rPr>
        <w:t xml:space="preserve">H1 (Compositional): A substantial portion of the Hispanic-White childlessness gap is attributable to nativity composition. Specifically, first-generation Hispanic women will exhibit significantly lower rates of completed childlessness than both native-born Hispanic and native-born White women.</w:t>
      </w:r>
    </w:p>
    <w:p>
      <w:pPr>
        <w:pStyle w:val="ListParagraph"/>
        <w:numPr>
          <w:ilvl w:val="0"/>
          <w:numId w:val="2"/>
        </w:numPr>
        <w:spacing w:after="60" w:before="60"/>
      </w:pPr>
      <w:r>
        <w:rPr>
          <w:rFonts w:ascii="Times New Roman" w:cs="Times New Roman" w:eastAsia="Times New Roman" w:hAnsi="Times New Roman"/>
          <w:sz w:val="24"/>
          <w:szCs w:val="24"/>
        </w:rPr>
        <w:t xml:space="preserve">H2 (Null for Black): In contrast, the Black-White childlessness gap is not significantly explained by nativity composition, reflecting the predominantly native-born status of the U.S. Black population.</w:t>
      </w:r>
    </w:p>
    <w:p>
      <w:pPr>
        <w:pStyle w:val="ListParagraph"/>
        <w:numPr>
          <w:ilvl w:val="0"/>
          <w:numId w:val="2"/>
        </w:numPr>
        <w:spacing w:after="60" w:before="60"/>
      </w:pPr>
      <w:r>
        <w:rPr>
          <w:rFonts w:ascii="Times New Roman" w:cs="Times New Roman" w:eastAsia="Times New Roman" w:hAnsi="Times New Roman"/>
          <w:sz w:val="24"/>
          <w:szCs w:val="24"/>
        </w:rPr>
        <w:t xml:space="preserve">H3 (Mediation): The observed effect of nativity on fertility is not an unmeasured cultural phenomenon but is mediated through observable social institutions. The lower childlessness of the foreign-born will be significantly explained by their higher rates of marriage and religious affiliation compared to the native-born.</w:t>
      </w:r>
    </w:p>
    <w:p>
      <w:pPr>
        <w:pStyle w:val="ListParagraph"/>
        <w:numPr>
          <w:ilvl w:val="0"/>
          <w:numId w:val="2"/>
        </w:numPr>
        <w:spacing w:after="60" w:before="60"/>
      </w:pPr>
      <w:r>
        <w:rPr>
          <w:rFonts w:ascii="Times New Roman" w:cs="Times New Roman" w:eastAsia="Times New Roman" w:hAnsi="Times New Roman"/>
          <w:sz w:val="24"/>
          <w:szCs w:val="24"/>
        </w:rPr>
        <w:t xml:space="preserve">H4 (Financial): Childlessness is more strongly associated with the composition of a household's balance sheet than with its aggregate income or net worth. Specifically, the accumulation of retirement assets (proxying opportunity cost) will positively predict childlessness, while facing credit constraints (proxying material barriers) will also be positively associated with childlessness. This hypothesis is advanced with the caveat that aggregate housing wealth has been shown to have independent effects on fertility probability, and the present analysis tests balance sheet composition specifically rather than claiming that aggregate wealth is wholly irrelevant.</w:t>
      </w:r>
    </w:p>
    <w:p>
      <w:pPr>
        <w:pStyle w:val="ListParagraph"/>
        <w:numPr>
          <w:ilvl w:val="0"/>
          <w:numId w:val="2"/>
        </w:numPr>
        <w:spacing w:after="60" w:before="60"/>
      </w:pPr>
      <w:r>
        <w:rPr>
          <w:rFonts w:ascii="Times New Roman" w:cs="Times New Roman" w:eastAsia="Times New Roman" w:hAnsi="Times New Roman"/>
          <w:sz w:val="24"/>
          <w:szCs w:val="24"/>
        </w:rPr>
        <w:t xml:space="preserve">H5 (Parenthood and Debt): The transition to parenthood is a primary driver of household liquidity strain. The presence of a first child in the household will be the single strongest demographic predictor of carrying a credit card balance, even after controlling for income, wealth, and other factors. This hypothesis is advanced alongside the acknowledgment that credit access may also facilitate the transition to parenthood; the two interpretations are not mutually exclusive, and Chapter 3 presents evidence bearing on both.</w:t>
      </w:r>
    </w:p>
    <w:p>
      <w:pPr>
        <w:pageBreakBefore/>
      </w:pPr>
    </w:p>
    <w:p>
      <w:pPr>
        <w:pStyle w:val="Heading1"/>
        <w:spacing w:after="240" w:before="480"/>
      </w:pPr>
      <w:r>
        <w:rPr>
          <w:rFonts w:ascii="Times New Roman" w:cs="Times New Roman" w:eastAsia="Times New Roman" w:hAnsi="Times New Roman"/>
          <w:b/>
          <w:bCs/>
          <w:color w:val="000000"/>
          <w:sz w:val="32"/>
          <w:szCs w:val="32"/>
        </w:rPr>
        <w:t xml:space="preserve">Chapter 3: The Cost of Becoming a Parent — Credit Card Debt and the Transition to Parenthood</w:t>
      </w:r>
    </w:p>
    <w:p>
      <w:pPr>
        <w:pStyle w:val="Heading2"/>
        <w:spacing w:after="180" w:before="360"/>
      </w:pPr>
      <w:r>
        <w:rPr>
          <w:rFonts w:ascii="Times New Roman" w:cs="Times New Roman" w:eastAsia="Times New Roman" w:hAnsi="Times New Roman"/>
          <w:b/>
          <w:bCs/>
          <w:color w:val="000000"/>
          <w:sz w:val="28"/>
          <w:szCs w:val="28"/>
        </w:rPr>
        <w:t xml:space="preserve">3.1 Introduction: Why Debt?</w:t>
      </w:r>
    </w:p>
    <w:p>
      <w:pPr>
        <w:spacing w:after="200" w:before="0" w:line="360" w:lineRule="auto"/>
        <w:ind/>
        <w:jc w:val="left"/>
      </w:pPr>
      <w:r>
        <w:rPr>
          <w:rFonts w:ascii="Times New Roman" w:cs="Times New Roman" w:eastAsia="Times New Roman" w:hAnsi="Times New Roman"/>
          <w:sz w:val="24"/>
          <w:szCs w:val="24"/>
        </w:rPr>
        <w:t xml:space="preserve">The decision to become a parent is among the most profound a person can make, and in the 21st century, it is also one of the most consequential economic choices. While a vast literature has examined the opportunity costs of parenthood—measured in foregone wages and career advancement—less attention has been paid to the more immediate, material pressures that children exert on a household's finances. The cultural demands of "intensive parenting" (Hays, 1996) have transformed child-rearing into a capital-intensive project, requiring significant expenditures on everything from childcare to enrichment activities. In an era of stagnant real wages for many, how do families manage these costs?</w:t>
      </w:r>
    </w:p>
    <w:p>
      <w:pPr>
        <w:spacing w:after="200" w:before="0" w:line="360" w:lineRule="auto"/>
        <w:ind/>
        <w:jc w:val="left"/>
      </w:pPr>
      <w:r>
        <w:rPr>
          <w:rFonts w:ascii="Times New Roman" w:cs="Times New Roman" w:eastAsia="Times New Roman" w:hAnsi="Times New Roman"/>
          <w:sz w:val="24"/>
          <w:szCs w:val="24"/>
        </w:rPr>
        <w:t xml:space="preserve">This chapter argues that income alone is an insufficient measure of a household's ability to cope. Instead, we must look to the balance sheet for indicators of liquidity strain—the gap between a household's regular cash flow and its short-term financial obligations. I propose that revolving credit card debt is a primary, measurable indicator of this strain. Far from being a simple story of consumer profligacy, the turn to high-interest, unsecured debt is often a structural necessity for households managing the financial shock of a new child.</w:t>
      </w:r>
    </w:p>
    <w:p>
      <w:pPr>
        <w:spacing w:after="200" w:before="0" w:line="360" w:lineRule="auto"/>
        <w:ind/>
        <w:jc w:val="left"/>
      </w:pPr>
      <w:r>
        <w:rPr>
          <w:rFonts w:ascii="Times New Roman" w:cs="Times New Roman" w:eastAsia="Times New Roman" w:hAnsi="Times New Roman"/>
          <w:sz w:val="24"/>
          <w:szCs w:val="24"/>
        </w:rPr>
        <w:t xml:space="preserve">Understanding the relationship between parenthood and debt requires acknowledging a critical behavioral distinction. The financial decision-making process can be conceptualized in two parts: first, the decision of whether to carry a balance at all, and second, conditional on carrying a balance, the decision of how much debt to hold. These two choices are likely driven by different factors. The first may reflect a household's inability to clear its monthly expenses, a direct signal of liquidity strain. The second may relate more to a household's perceived ability to service that debt over the long term, implicating factors like income stability and asset holdings.</w:t>
      </w:r>
    </w:p>
    <w:p>
      <w:pPr>
        <w:spacing w:after="200" w:before="0" w:line="360" w:lineRule="auto"/>
        <w:ind/>
        <w:jc w:val="left"/>
      </w:pPr>
      <w:r>
        <w:rPr>
          <w:rFonts w:ascii="Times New Roman" w:cs="Times New Roman" w:eastAsia="Times New Roman" w:hAnsi="Times New Roman"/>
          <w:sz w:val="24"/>
          <w:szCs w:val="24"/>
        </w:rPr>
        <w:t xml:space="preserve">This chapter, therefore, employs a two-part modeling strategy to analyze data from the 2022 Survey of Consumer Finances (SCF). It seeks to answer two questions: First, what are the primary demographic and economic predictors that push a household over the threshold into carrying credit card debt? Second, among households that are already in debt, what factors determine the magnitude of the balance they hold?</w:t>
      </w:r>
    </w:p>
    <w:p>
      <w:pPr>
        <w:pStyle w:val="Heading2"/>
        <w:spacing w:after="180" w:before="360"/>
      </w:pPr>
      <w:r>
        <w:rPr>
          <w:rFonts w:ascii="Times New Roman" w:cs="Times New Roman" w:eastAsia="Times New Roman" w:hAnsi="Times New Roman"/>
          <w:b/>
          <w:bCs/>
          <w:color w:val="000000"/>
          <w:sz w:val="28"/>
          <w:szCs w:val="28"/>
        </w:rPr>
        <w:t xml:space="preserve">3.2 Data and Methods</w:t>
      </w:r>
    </w:p>
    <w:p>
      <w:pPr>
        <w:spacing w:after="200" w:before="0" w:line="360" w:lineRule="auto"/>
        <w:ind/>
        <w:jc w:val="left"/>
      </w:pPr>
      <w:r>
        <w:rPr>
          <w:rFonts w:ascii="Times New Roman" w:cs="Times New Roman" w:eastAsia="Times New Roman" w:hAnsi="Times New Roman"/>
          <w:sz w:val="24"/>
          <w:szCs w:val="24"/>
        </w:rPr>
        <w:t xml:space="preserve">The analysis relies on the 2022 Survey of Consumer Finances (SCF), the gold-standard dataset for household-level financial information in the United States. The SCF's unique strength is its granular detail on assets, liabilities, income, and credit market experiences. The survey's complex design, which oversamples wealthy households, requires the use of survey weights to produce nationally representative estimates. All analyses properly account for the SCF's complex sample design — including stratification, clustering, and unequal selection probabilities — using the survey's provided balanced repeated replication (BRR) replicate weights to calculate correct standard errors. Failing to account for these design features would underestimate standard errors and inflate the statistical significance of findings. To account for missing data, the SCF provides five "implicates" created through multiple imputation; all analyses properly combine results across these five datasets using Rubin's Rules to generate correct point estimates and standard errors.</w:t>
      </w:r>
    </w:p>
    <w:p>
      <w:pPr>
        <w:spacing w:after="200" w:before="0" w:line="360" w:lineRule="auto"/>
        <w:ind/>
        <w:jc w:val="left"/>
      </w:pPr>
      <w:r>
        <w:rPr>
          <w:rFonts w:ascii="Times New Roman" w:cs="Times New Roman" w:eastAsia="Times New Roman" w:hAnsi="Times New Roman"/>
          <w:sz w:val="24"/>
          <w:szCs w:val="24"/>
        </w:rPr>
        <w:t xml:space="preserve">A note on measurement is warranted. Self-reported credit card balances, like all self-reported financial data, are subject to social desirability bias: households experiencing severe financial distress or stigmatized debt situations are less likely to accurately report their situation, and the most financially precarious households may be less likely to participate in the SCF at all. The empirical estimates in this chapter should therefore be interpreted as conservative lower bounds on the true prevalence and severity of the parenthood debt penalty.</w:t>
      </w:r>
    </w:p>
    <w:p>
      <w:pPr>
        <w:spacing w:after="200" w:before="0" w:line="360" w:lineRule="auto"/>
        <w:ind/>
        <w:jc w:val="left"/>
      </w:pPr>
      <w:r>
        <w:rPr>
          <w:rFonts w:ascii="Times New Roman" w:cs="Times New Roman" w:eastAsia="Times New Roman" w:hAnsi="Times New Roman"/>
          <w:sz w:val="24"/>
          <w:szCs w:val="24"/>
        </w:rPr>
        <w:t xml:space="preserve">The primary outcome of interest is credit card balance (ccbal). Given that a substantial portion of households (approximately 50%) report a zero balance, a two-part model is employed. Part 1 uses logistic regression to model the probability of having a non-zero balance. Part 2 uses OLS regression on log(ccbal) for the subset of households with positive balances. Predictor variables were selected using Lasso regularization run across all five implicates, with a variable retained only if selected in a majority (at least 3 of 5) of implicates.</w:t>
      </w:r>
    </w:p>
    <w:p>
      <w:pPr>
        <w:pStyle w:val="Heading2"/>
        <w:spacing w:after="180" w:before="360"/>
      </w:pPr>
      <w:r>
        <w:rPr>
          <w:rFonts w:ascii="Times New Roman" w:cs="Times New Roman" w:eastAsia="Times New Roman" w:hAnsi="Times New Roman"/>
          <w:b/>
          <w:bCs/>
          <w:color w:val="000000"/>
          <w:sz w:val="28"/>
          <w:szCs w:val="28"/>
        </w:rPr>
        <w:t xml:space="preserve">3.3 Results</w:t>
      </w:r>
    </w:p>
    <w:p>
      <w:pPr>
        <w:pStyle w:val="Heading3"/>
        <w:spacing w:after="120" w:before="240"/>
      </w:pPr>
      <w:r>
        <w:rPr>
          <w:rFonts w:ascii="Times New Roman" w:cs="Times New Roman" w:eastAsia="Times New Roman" w:hAnsi="Times New Roman"/>
          <w:b/>
          <w:bCs/>
          <w:color w:val="000000"/>
          <w:sz w:val="26"/>
          <w:szCs w:val="26"/>
        </w:rPr>
        <w:t xml:space="preserve">3.3.1 Descriptive Landscape: The Fault Lines of Debt</w:t>
      </w:r>
    </w:p>
    <w:p>
      <w:pPr>
        <w:spacing w:after="200" w:before="0" w:line="360" w:lineRule="auto"/>
        <w:ind/>
        <w:jc w:val="left"/>
      </w:pPr>
      <w:r>
        <w:rPr>
          <w:rFonts w:ascii="Times New Roman" w:cs="Times New Roman" w:eastAsia="Times New Roman" w:hAnsi="Times New Roman"/>
          <w:sz w:val="24"/>
          <w:szCs w:val="24"/>
        </w:rPr>
        <w:t xml:space="preserve">A descriptive analysis of the 2022 SCF data reveals the key fault lines of credit card indebtedness. Households with children are significantly more likely to carry a balance than childless households. Similarly, those who report being denied credit in the past year — a clear marker of financial vulnerability — are far more likely to be in credit card debt. Conversely, households with higher levels of liquid savings are less likely to carry a balance, confirming that accessible cash serves as a protective buffer against the need for high-interest debt.</w:t>
      </w:r>
    </w:p>
    <w:p>
      <w:pPr>
        <w:pStyle w:val="Heading3"/>
        <w:spacing w:after="120" w:before="240"/>
      </w:pPr>
      <w:r>
        <w:rPr>
          <w:rFonts w:ascii="Times New Roman" w:cs="Times New Roman" w:eastAsia="Times New Roman" w:hAnsi="Times New Roman"/>
          <w:b/>
          <w:bCs/>
          <w:color w:val="000000"/>
          <w:sz w:val="26"/>
          <w:szCs w:val="26"/>
        </w:rPr>
        <w:t xml:space="preserve">3.3.2 Model Results: Who Enters Debt?</w:t>
      </w:r>
    </w:p>
    <w:p>
      <w:pPr>
        <w:spacing w:after="200" w:before="0" w:line="360" w:lineRule="auto"/>
        <w:ind/>
        <w:jc w:val="left"/>
      </w:pPr>
      <w:r>
        <w:rPr>
          <w:rFonts w:ascii="Times New Roman" w:cs="Times New Roman" w:eastAsia="Times New Roman" w:hAnsi="Times New Roman"/>
          <w:sz w:val="24"/>
          <w:szCs w:val="24"/>
        </w:rPr>
        <w:t xml:space="preserve">The results of the logistic regression (Part 1) identify the factors that predict whether a household carries a credit card balance. The most powerful demographic predictor is the presence of children.</w:t>
      </w:r>
    </w:p>
    <w:p>
      <w:pPr>
        <w:spacing w:after="200" w:before="0" w:line="360" w:lineRule="auto"/>
        <w:ind/>
        <w:jc w:val="left"/>
      </w:pPr>
      <w:r>
        <w:rPr>
          <w:rFonts w:ascii="Times New Roman" w:cs="Times New Roman" w:eastAsia="Times New Roman" w:hAnsi="Times New Roman"/>
          <w:b/>
          <w:bCs/>
          <w:sz w:val="24"/>
          <w:szCs w:val="24"/>
        </w:rPr>
        <w:t xml:space="preserve">The Parenthood Tipping Point: </w:t>
      </w:r>
      <w:r>
        <w:rPr>
          <w:rFonts w:ascii="Times New Roman" w:cs="Times New Roman" w:eastAsia="Times New Roman" w:hAnsi="Times New Roman"/>
          <w:sz w:val="24"/>
          <w:szCs w:val="24"/>
        </w:rPr>
        <w:t xml:space="preserve">The transition from zero children to one child is the single largest shock. Holding all else constant, a household with a child is 1.54 times more likely to carry a credit card balance than a household without children. This provides direct support for H5.</w:t>
      </w:r>
    </w:p>
    <w:p>
      <w:pPr>
        <w:spacing w:after="200" w:before="0" w:line="360" w:lineRule="auto"/>
        <w:ind/>
        <w:jc w:val="left"/>
      </w:pPr>
      <w:r>
        <w:rPr>
          <w:rFonts w:ascii="Times New Roman" w:cs="Times New Roman" w:eastAsia="Times New Roman" w:hAnsi="Times New Roman"/>
          <w:b/>
          <w:bCs/>
          <w:sz w:val="24"/>
          <w:szCs w:val="24"/>
        </w:rPr>
        <w:t xml:space="preserve">The Suppression Effect: </w:t>
      </w:r>
      <w:r>
        <w:rPr>
          <w:rFonts w:ascii="Times New Roman" w:cs="Times New Roman" w:eastAsia="Times New Roman" w:hAnsi="Times New Roman"/>
          <w:sz w:val="24"/>
          <w:szCs w:val="24"/>
        </w:rPr>
        <w:t xml:space="preserve">The effect is non-linear. The presence of additional children does not further increase the odds of being in debt and, in some specifications, slightly reduces it. The financial shock is concentrated at the extensive margin — the first child — rather than the intensive margin.</w:t>
      </w:r>
    </w:p>
    <w:p>
      <w:pPr>
        <w:spacing w:after="200" w:before="0" w:line="360" w:lineRule="auto"/>
        <w:ind/>
        <w:jc w:val="left"/>
      </w:pPr>
      <w:r>
        <w:rPr>
          <w:rFonts w:ascii="Times New Roman" w:cs="Times New Roman" w:eastAsia="Times New Roman" w:hAnsi="Times New Roman"/>
          <w:b/>
          <w:bCs/>
          <w:sz w:val="24"/>
          <w:szCs w:val="24"/>
        </w:rPr>
        <w:t xml:space="preserve">Credit as a Vulnerability Marker: </w:t>
      </w:r>
      <w:r>
        <w:rPr>
          <w:rFonts w:ascii="Times New Roman" w:cs="Times New Roman" w:eastAsia="Times New Roman" w:hAnsi="Times New Roman"/>
          <w:sz w:val="24"/>
          <w:szCs w:val="24"/>
        </w:rPr>
        <w:t xml:space="preserve">The strongest predictor overall is having been denied credit. A household that was turned down for credit in the past year is 1.97 times more likely to carry a balance, indicating that credit card debt functions as a financing source of last resort for the credit-constrained.</w:t>
      </w:r>
    </w:p>
    <w:p>
      <w:pPr>
        <w:spacing w:after="200" w:before="0" w:line="360" w:lineRule="auto"/>
        <w:ind/>
        <w:jc w:val="left"/>
      </w:pPr>
      <w:r>
        <w:rPr>
          <w:rFonts w:ascii="Times New Roman" w:cs="Times New Roman" w:eastAsia="Times New Roman" w:hAnsi="Times New Roman"/>
          <w:b/>
          <w:bCs/>
          <w:sz w:val="24"/>
          <w:szCs w:val="24"/>
        </w:rPr>
        <w:t xml:space="preserve">Marriage: </w:t>
      </w:r>
      <w:r>
        <w:rPr>
          <w:rFonts w:ascii="Times New Roman" w:cs="Times New Roman" w:eastAsia="Times New Roman" w:hAnsi="Times New Roman"/>
          <w:sz w:val="24"/>
          <w:szCs w:val="24"/>
        </w:rPr>
        <w:t xml:space="preserve">Marital status has no statistically significant effect on the likelihood of carrying a balance once other factors like income and homeownership are controlled.</w:t>
      </w:r>
    </w:p>
    <w:p>
      <w:pPr>
        <w:pStyle w:val="Heading3"/>
        <w:spacing w:after="120" w:before="240"/>
      </w:pPr>
      <w:r>
        <w:rPr>
          <w:rFonts w:ascii="Times New Roman" w:cs="Times New Roman" w:eastAsia="Times New Roman" w:hAnsi="Times New Roman"/>
          <w:b/>
          <w:bCs/>
          <w:color w:val="000000"/>
          <w:sz w:val="26"/>
          <w:szCs w:val="26"/>
        </w:rPr>
        <w:t xml:space="preserve">3.3.3 Model Results: How Much Do Debtors Owe?</w:t>
      </w:r>
    </w:p>
    <w:p>
      <w:pPr>
        <w:spacing w:after="200" w:before="0" w:line="360" w:lineRule="auto"/>
        <w:ind/>
        <w:jc w:val="left"/>
      </w:pPr>
      <w:r>
        <w:rPr>
          <w:rFonts w:ascii="Times New Roman" w:cs="Times New Roman" w:eastAsia="Times New Roman" w:hAnsi="Times New Roman"/>
          <w:b/>
          <w:bCs/>
          <w:sz w:val="24"/>
          <w:szCs w:val="24"/>
        </w:rPr>
        <w:t xml:space="preserve">Wages as the Repayment Mechanism: </w:t>
      </w:r>
      <w:r>
        <w:rPr>
          <w:rFonts w:ascii="Times New Roman" w:cs="Times New Roman" w:eastAsia="Times New Roman" w:hAnsi="Times New Roman"/>
          <w:sz w:val="24"/>
          <w:szCs w:val="24"/>
        </w:rPr>
        <w:t xml:space="preserve">For every 1% increase in household wages, the credit card balance decreases by approximately 0.2%. Higher wages are actively used to pay down balances, underscoring the role of earned income as the primary repayment mechanism.</w:t>
      </w:r>
    </w:p>
    <w:p>
      <w:pPr>
        <w:spacing w:after="200" w:before="0" w:line="360" w:lineRule="auto"/>
        <w:ind/>
        <w:jc w:val="left"/>
      </w:pPr>
      <w:r>
        <w:rPr>
          <w:rFonts w:ascii="Times New Roman" w:cs="Times New Roman" w:eastAsia="Times New Roman" w:hAnsi="Times New Roman"/>
          <w:b/>
          <w:bCs/>
          <w:sz w:val="24"/>
          <w:szCs w:val="24"/>
        </w:rPr>
        <w:t xml:space="preserve">Liquid Savings as a Protective Threshold: </w:t>
      </w:r>
      <w:r>
        <w:rPr>
          <w:rFonts w:ascii="Times New Roman" w:cs="Times New Roman" w:eastAsia="Times New Roman" w:hAnsi="Times New Roman"/>
          <w:sz w:val="24"/>
          <w:szCs w:val="24"/>
        </w:rPr>
        <w:t xml:space="preserve">Liquid assets also have a significant negative effect on the amount of debt held, suggesting that households with more savings keep their balances lower.</w:t>
      </w:r>
    </w:p>
    <w:p>
      <w:pPr>
        <w:spacing w:after="200" w:before="0" w:line="360" w:lineRule="auto"/>
        <w:ind/>
        <w:jc w:val="left"/>
      </w:pPr>
      <w:r>
        <w:rPr>
          <w:rFonts w:ascii="Times New Roman" w:cs="Times New Roman" w:eastAsia="Times New Roman" w:hAnsi="Times New Roman"/>
          <w:b/>
          <w:bCs/>
          <w:sz w:val="24"/>
          <w:szCs w:val="24"/>
        </w:rPr>
        <w:t xml:space="preserve">Asymmetry of Predictors: </w:t>
      </w:r>
      <w:r>
        <w:rPr>
          <w:rFonts w:ascii="Times New Roman" w:cs="Times New Roman" w:eastAsia="Times New Roman" w:hAnsi="Times New Roman"/>
          <w:sz w:val="24"/>
          <w:szCs w:val="24"/>
        </w:rPr>
        <w:t xml:space="preserve">Parenthood, the most important demographic predictor in Part 1, is not a significant predictor of the amount of debt in Part 2. The arrival of a child pushes a family into debt, but once there, the amount is determined more by financial capacity than by parenthood status.</w:t>
      </w:r>
    </w:p>
    <w:p>
      <w:pPr>
        <w:pStyle w:val="Heading3"/>
        <w:spacing w:after="120" w:before="240"/>
      </w:pPr>
      <w:r>
        <w:rPr>
          <w:rFonts w:ascii="Times New Roman" w:cs="Times New Roman" w:eastAsia="Times New Roman" w:hAnsi="Times New Roman"/>
          <w:b/>
          <w:bCs/>
          <w:color w:val="000000"/>
          <w:sz w:val="26"/>
          <w:szCs w:val="26"/>
        </w:rPr>
        <w:t xml:space="preserve">3.3.4 Interaction Effects</w:t>
      </w:r>
    </w:p>
    <w:p>
      <w:pPr>
        <w:spacing w:after="200" w:before="0" w:line="360" w:lineRule="auto"/>
        <w:ind/>
        <w:jc w:val="left"/>
      </w:pPr>
      <w:r>
        <w:rPr>
          <w:rFonts w:ascii="Times New Roman" w:cs="Times New Roman" w:eastAsia="Times New Roman" w:hAnsi="Times New Roman"/>
          <w:sz w:val="24"/>
          <w:szCs w:val="24"/>
        </w:rPr>
        <w:t xml:space="preserve">Interaction effects reveal that the parenthood debt penalty is not uniform. The effect of having a child on the likelihood of carrying a balance is significantly larger for unmarried individuals and for those without a college degree, indicating that the financial strain of parenthood falls most heavily on those with fewer economic and social resources.</w:t>
      </w:r>
    </w:p>
    <w:p>
      <w:pPr>
        <w:pStyle w:val="Heading2"/>
        <w:spacing w:after="180" w:before="360"/>
      </w:pPr>
      <w:r>
        <w:rPr>
          <w:rFonts w:ascii="Times New Roman" w:cs="Times New Roman" w:eastAsia="Times New Roman" w:hAnsi="Times New Roman"/>
          <w:b/>
          <w:bCs/>
          <w:color w:val="000000"/>
          <w:sz w:val="28"/>
          <w:szCs w:val="28"/>
        </w:rPr>
        <w:t xml:space="preserve">3.4 Discussion</w:t>
      </w:r>
    </w:p>
    <w:p>
      <w:pPr>
        <w:spacing w:after="200" w:before="0" w:line="360" w:lineRule="auto"/>
        <w:ind/>
        <w:jc w:val="left"/>
      </w:pPr>
      <w:r>
        <w:rPr>
          <w:rFonts w:ascii="Times New Roman" w:cs="Times New Roman" w:eastAsia="Times New Roman" w:hAnsi="Times New Roman"/>
          <w:sz w:val="24"/>
          <w:szCs w:val="24"/>
        </w:rPr>
        <w:t xml:space="preserve">The central conclusion is that the arrival of the first child acts as a powerful financial shock, frequently pushing households over a threshold into reliance on high-interest credit card debt. This is not a story about parental irresponsibility, but a story of structural pressure. These results give financial weight to the sociological theory of intensive parenting.</w:t>
      </w:r>
    </w:p>
    <w:p>
      <w:pPr>
        <w:spacing w:after="200" w:before="0" w:line="360" w:lineRule="auto"/>
        <w:ind/>
        <w:jc w:val="left"/>
      </w:pPr>
      <w:r>
        <w:rPr>
          <w:rFonts w:ascii="Times New Roman" w:cs="Times New Roman" w:eastAsia="Times New Roman" w:hAnsi="Times New Roman"/>
          <w:sz w:val="24"/>
          <w:szCs w:val="24"/>
        </w:rPr>
        <w:t xml:space="preserve">The clear distinction between the model's two parts is theoretically crucial. Parenthood predicts the entry into debt, while wages predict the exit from it. Policies aimed at expanding credit access may help families smooth consumption in the short term but do little to address the severity of their debt burden. In contrast, policies that boost household income are more likely to empower families to manage and pay down the debt they accrue.</w:t>
      </w:r>
    </w:p>
    <w:p>
      <w:pPr>
        <w:spacing w:after="200" w:before="0" w:line="360" w:lineRule="auto"/>
        <w:ind/>
        <w:jc w:val="left"/>
      </w:pPr>
      <w:r>
        <w:rPr>
          <w:rFonts w:ascii="Times New Roman" w:cs="Times New Roman" w:eastAsia="Times New Roman" w:hAnsi="Times New Roman"/>
          <w:sz w:val="24"/>
          <w:szCs w:val="24"/>
        </w:rPr>
        <w:t xml:space="preserve">This chapter establishes the powerful role of family structure in shaping household finance and introduces credit constraints as a key mechanism of financial precarity. The next chapter turns the question around: if becoming a parent drives debt, how does a household's financial structure shape the likelihood of forgoing parenthood altogether?</w:t>
      </w:r>
    </w:p>
    <w:p>
      <w:pPr>
        <w:pageBreakBefore/>
      </w:pPr>
    </w:p>
    <w:p>
      <w:pPr>
        <w:pStyle w:val="Heading1"/>
        <w:spacing w:after="240" w:before="480"/>
      </w:pPr>
      <w:r>
        <w:rPr>
          <w:rFonts w:ascii="Times New Roman" w:cs="Times New Roman" w:eastAsia="Times New Roman" w:hAnsi="Times New Roman"/>
          <w:b/>
          <w:bCs/>
          <w:color w:val="000000"/>
          <w:sz w:val="32"/>
          <w:szCs w:val="32"/>
        </w:rPr>
        <w:t xml:space="preserve">Chapter 4: The Balance Sheet of Childlessness — Financial Structure and Family Formation</w:t>
      </w:r>
    </w:p>
    <w:p>
      <w:pPr>
        <w:pStyle w:val="Heading2"/>
        <w:spacing w:after="180" w:before="360"/>
      </w:pPr>
      <w:r>
        <w:rPr>
          <w:rFonts w:ascii="Times New Roman" w:cs="Times New Roman" w:eastAsia="Times New Roman" w:hAnsi="Times New Roman"/>
          <w:b/>
          <w:bCs/>
          <w:color w:val="000000"/>
          <w:sz w:val="28"/>
          <w:szCs w:val="28"/>
        </w:rPr>
        <w:t xml:space="preserve">4.1 Introduction: Beyond Income</w:t>
      </w:r>
    </w:p>
    <w:p>
      <w:pPr>
        <w:spacing w:after="200" w:before="0" w:line="360" w:lineRule="auto"/>
        <w:ind/>
        <w:jc w:val="left"/>
      </w:pPr>
      <w:r>
        <w:rPr>
          <w:rFonts w:ascii="Times New Roman" w:cs="Times New Roman" w:eastAsia="Times New Roman" w:hAnsi="Times New Roman"/>
          <w:sz w:val="24"/>
          <w:szCs w:val="24"/>
        </w:rPr>
        <w:t xml:space="preserve">The preceding chapter established that the transition to parenthood imposes significant financial strain. This chapter turns the analytical lens around to ask the antecedent question: How does a household's financial structure shape the likelihood of becoming a parent in the first place?</w:t>
      </w:r>
    </w:p>
    <w:p>
      <w:pPr>
        <w:spacing w:after="200" w:before="0" w:line="360" w:lineRule="auto"/>
        <w:ind/>
        <w:jc w:val="left"/>
      </w:pPr>
      <w:r>
        <w:rPr>
          <w:rFonts w:ascii="Times New Roman" w:cs="Times New Roman" w:eastAsia="Times New Roman" w:hAnsi="Times New Roman"/>
          <w:sz w:val="24"/>
          <w:szCs w:val="24"/>
        </w:rPr>
        <w:t xml:space="preserve">The conventional economic account of childlessness, rooted in opportunity cost theory, has long focused on income and wages. This chapter argues for a more granular, sociologically informed perspective. A household's financial reality is not just about its annual income or aggregate net worth; it is about the composition of its entire balance sheet. What a household owns, what it owes, and whether it can access credit when needed are distinct dimensions of economic life that can independently enable or constrain family formation.</w:t>
      </w:r>
    </w:p>
    <w:p>
      <w:pPr>
        <w:spacing w:after="200" w:before="0" w:line="360" w:lineRule="auto"/>
        <w:ind/>
        <w:jc w:val="left"/>
      </w:pPr>
      <w:r>
        <w:rPr>
          <w:rFonts w:ascii="Times New Roman" w:cs="Times New Roman" w:eastAsia="Times New Roman" w:hAnsi="Times New Roman"/>
          <w:sz w:val="24"/>
          <w:szCs w:val="24"/>
        </w:rPr>
        <w:t xml:space="preserve">This chapter posits that the likelihood of a household being childless is shaped by two distinct and countervailing financial mechanisms. The first is an opportunity cost mechanism, represented by the accumulation of long-term investment assets. The second is a material constraint mechanism, represented by a household's inability to access credit. Importantly, this argument does not claim that aggregate wealth is irrelevant to fertility. As noted in Chapter 2, housing wealth in particular has been shown to have meaningful positive effects on the probability of childbearing. Rather, the specific claim tested here is that retirement asset accumulation and credit denial predict childlessness independently of aggregate income, capturing mechanisms that aggregate wealth measures do not fully capture.</w:t>
      </w:r>
    </w:p>
    <w:p>
      <w:pPr>
        <w:pStyle w:val="Heading2"/>
        <w:spacing w:after="180" w:before="360"/>
      </w:pPr>
      <w:r>
        <w:rPr>
          <w:rFonts w:ascii="Times New Roman" w:cs="Times New Roman" w:eastAsia="Times New Roman" w:hAnsi="Times New Roman"/>
          <w:b/>
          <w:bCs/>
          <w:color w:val="000000"/>
          <w:sz w:val="28"/>
          <w:szCs w:val="28"/>
        </w:rPr>
        <w:t xml:space="preserve">4.2 Data and Methods</w:t>
      </w:r>
    </w:p>
    <w:p>
      <w:pPr>
        <w:spacing w:after="200" w:before="0" w:line="360" w:lineRule="auto"/>
        <w:ind/>
        <w:jc w:val="left"/>
      </w:pPr>
      <w:r>
        <w:rPr>
          <w:rFonts w:ascii="Times New Roman" w:cs="Times New Roman" w:eastAsia="Times New Roman" w:hAnsi="Times New Roman"/>
          <w:sz w:val="24"/>
          <w:szCs w:val="24"/>
        </w:rPr>
        <w:t xml:space="preserve">This analysis draws upon the 2022 Survey of Consumer Finances (SCF). All results are derived from properly weighted models that correctly account for the survey's complex design — including stratification, clustering, and replicate weights — and that combine estimates across the five multiple imputation datasets using Rubin's Rules.</w:t>
      </w:r>
    </w:p>
    <w:p>
      <w:pPr>
        <w:spacing w:after="200" w:before="0" w:line="360" w:lineRule="auto"/>
        <w:ind/>
        <w:jc w:val="left"/>
      </w:pPr>
      <w:r>
        <w:rPr>
          <w:rFonts w:ascii="Times New Roman" w:cs="Times New Roman" w:eastAsia="Times New Roman" w:hAnsi="Times New Roman"/>
          <w:sz w:val="24"/>
          <w:szCs w:val="24"/>
        </w:rPr>
        <w:t xml:space="preserve">The primary outcome variable is co-resident childlessness: a binary indicator coded '1' for household heads between ages 31 and 44 who report zero co-resident children. This measurement limitation — that it captures co-resident status, not biological fertility — is a necessary compromise to leverage the SCF's financial detail. It will misclassify non-custodial parents as childless and is a central motivation for the turn to the NSFG in Chapter 5.</w:t>
      </w:r>
    </w:p>
    <w:p>
      <w:pPr>
        <w:pStyle w:val="Heading2"/>
        <w:spacing w:after="180" w:before="360"/>
      </w:pPr>
      <w:r>
        <w:rPr>
          <w:rFonts w:ascii="Times New Roman" w:cs="Times New Roman" w:eastAsia="Times New Roman" w:hAnsi="Times New Roman"/>
          <w:b/>
          <w:bCs/>
          <w:color w:val="000000"/>
          <w:sz w:val="28"/>
          <w:szCs w:val="28"/>
        </w:rPr>
        <w:t xml:space="preserve">4.3 Results</w:t>
      </w:r>
    </w:p>
    <w:p>
      <w:pPr>
        <w:pStyle w:val="Heading3"/>
        <w:spacing w:after="120" w:before="240"/>
      </w:pPr>
      <w:r>
        <w:rPr>
          <w:rFonts w:ascii="Times New Roman" w:cs="Times New Roman" w:eastAsia="Times New Roman" w:hAnsi="Times New Roman"/>
          <w:b/>
          <w:bCs/>
          <w:color w:val="000000"/>
          <w:sz w:val="26"/>
          <w:szCs w:val="26"/>
        </w:rPr>
        <w:t xml:space="preserve">4.3.1 The Retirement Asset Finding: The Opportunity Cost Mechanism</w:t>
      </w:r>
    </w:p>
    <w:p>
      <w:pPr>
        <w:spacing w:after="200" w:before="0" w:line="360" w:lineRule="auto"/>
        <w:ind/>
        <w:jc w:val="left"/>
      </w:pPr>
      <w:r>
        <w:rPr>
          <w:rFonts w:ascii="Times New Roman" w:cs="Times New Roman" w:eastAsia="Times New Roman" w:hAnsi="Times New Roman"/>
          <w:sz w:val="24"/>
          <w:szCs w:val="24"/>
        </w:rPr>
        <w:t xml:space="preserve">The model identifies a strong, statistically significant positive relationship between retirement assets and the likelihood of being childless (OR = 1.05 per scaled unit). Households that prioritize long-term financial asset accumulation are significantly more likely to be childless, suggesting a direct trade-off between investing in financial markets and investing in children.</w:t>
      </w:r>
    </w:p>
    <w:p>
      <w:pPr>
        <w:pStyle w:val="Heading3"/>
        <w:spacing w:after="120" w:before="240"/>
      </w:pPr>
      <w:r>
        <w:rPr>
          <w:rFonts w:ascii="Times New Roman" w:cs="Times New Roman" w:eastAsia="Times New Roman" w:hAnsi="Times New Roman"/>
          <w:b/>
          <w:bCs/>
          <w:color w:val="000000"/>
          <w:sz w:val="26"/>
          <w:szCs w:val="26"/>
        </w:rPr>
        <w:t xml:space="preserve">4.3.2 Credit Denial as a Barrier: The Material Constraint Mechanism</w:t>
      </w:r>
    </w:p>
    <w:p>
      <w:pPr>
        <w:spacing w:after="200" w:before="0" w:line="360" w:lineRule="auto"/>
        <w:ind/>
        <w:jc w:val="left"/>
      </w:pPr>
      <w:r>
        <w:rPr>
          <w:rFonts w:ascii="Times New Roman" w:cs="Times New Roman" w:eastAsia="Times New Roman" w:hAnsi="Times New Roman"/>
          <w:sz w:val="24"/>
          <w:szCs w:val="24"/>
        </w:rPr>
        <w:t xml:space="preserve">Households denied credit in the past year were 2.01 times more likely to be childless, holding all else constant. This material constraint mechanism operates independently of asset accumulation: while the retirement finding points to the high opportunity cost of children among the financially successful, this finding points to the prohibitive direct costs of children among the financially vulnerable.</w:t>
      </w:r>
    </w:p>
    <w:p>
      <w:pPr>
        <w:pStyle w:val="Heading3"/>
        <w:spacing w:after="120" w:before="240"/>
      </w:pPr>
      <w:r>
        <w:rPr>
          <w:rFonts w:ascii="Times New Roman" w:cs="Times New Roman" w:eastAsia="Times New Roman" w:hAnsi="Times New Roman"/>
          <w:b/>
          <w:bCs/>
          <w:color w:val="000000"/>
          <w:sz w:val="26"/>
          <w:szCs w:val="26"/>
        </w:rPr>
        <w:t xml:space="preserve">4.3.3 The Income Null: Composition over Aggregation</w:t>
      </w:r>
    </w:p>
    <w:p>
      <w:pPr>
        <w:spacing w:after="200" w:before="0" w:line="360" w:lineRule="auto"/>
        <w:ind/>
        <w:jc w:val="left"/>
      </w:pPr>
      <w:r>
        <w:rPr>
          <w:rFonts w:ascii="Times New Roman" w:cs="Times New Roman" w:eastAsia="Times New Roman" w:hAnsi="Times New Roman"/>
          <w:sz w:val="24"/>
          <w:szCs w:val="24"/>
        </w:rPr>
        <w:t xml:space="preserve">Once the model accounts for specific balance sheet components and demographic characteristics, aggregate measures like total household income and net worth lose statistical significance. Only earned wages retain a modest predictive effect. This provides support for the chapter's central thesis: balance sheet composition, not aggregate size, is most consequential for family formation. This finding should be read as complementary to, not contradicting, evidence on housing wealth: retirement assets and credit denial capture mechanisms that housing wealth does not, and the two sets of findings together build a more complete picture of the financial architecture of childlessness.</w:t>
      </w:r>
    </w:p>
    <w:p>
      <w:pPr>
        <w:pStyle w:val="Heading3"/>
        <w:spacing w:after="120" w:before="240"/>
      </w:pPr>
      <w:r>
        <w:rPr>
          <w:rFonts w:ascii="Times New Roman" w:cs="Times New Roman" w:eastAsia="Times New Roman" w:hAnsi="Times New Roman"/>
          <w:b/>
          <w:bCs/>
          <w:color w:val="000000"/>
          <w:sz w:val="26"/>
          <w:szCs w:val="26"/>
        </w:rPr>
        <w:t xml:space="preserve">4.3.4 The Race Mediation: The Bridge to Chapter 5</w:t>
      </w:r>
    </w:p>
    <w:p>
      <w:pPr>
        <w:spacing w:after="200" w:before="0" w:line="360" w:lineRule="auto"/>
        <w:ind/>
        <w:jc w:val="left"/>
      </w:pPr>
      <w:r>
        <w:rPr>
          <w:rFonts w:ascii="Times New Roman" w:cs="Times New Roman" w:eastAsia="Times New Roman" w:hAnsi="Times New Roman"/>
          <w:sz w:val="24"/>
          <w:szCs w:val="24"/>
        </w:rPr>
        <w:t xml:space="preserve">In a simple model controlling only for age, Black and Hispanic households appear significantly less likely to be childless than White households. In the full model, these racial differences become statistically insignificant — absorbed by educational attainment, marital status, and financial variables. This result motivates the dissertation's final empirical test: if the explanatory power of race is fully mediated by the variables available in the SCF, nativity — unavailable in the SCF — may be the underlying, unobserved driver.</w:t>
      </w:r>
    </w:p>
    <w:p>
      <w:pPr>
        <w:pStyle w:val="Heading2"/>
        <w:spacing w:after="180" w:before="360"/>
      </w:pPr>
      <w:r>
        <w:rPr>
          <w:rFonts w:ascii="Times New Roman" w:cs="Times New Roman" w:eastAsia="Times New Roman" w:hAnsi="Times New Roman"/>
          <w:b/>
          <w:bCs/>
          <w:color w:val="000000"/>
          <w:sz w:val="28"/>
          <w:szCs w:val="28"/>
        </w:rPr>
        <w:t xml:space="preserve">4.4 Discussion</w:t>
      </w:r>
    </w:p>
    <w:p>
      <w:pPr>
        <w:spacing w:after="200" w:before="0" w:line="360" w:lineRule="auto"/>
        <w:ind/>
        <w:jc w:val="left"/>
      </w:pPr>
      <w:r>
        <w:rPr>
          <w:rFonts w:ascii="Times New Roman" w:cs="Times New Roman" w:eastAsia="Times New Roman" w:hAnsi="Times New Roman"/>
          <w:sz w:val="24"/>
          <w:szCs w:val="24"/>
        </w:rPr>
        <w:t xml:space="preserve">The evidence strongly suggests that a household's balance sheet tells two different stories about childlessness. The first is one of opportunity cost: households accumulating retirement assets are trading financial security for children. The second is one of material constraint: households locked out of credit face barriers to entry into parenthood that make the financial shock of a child seem insurmountable.</w:t>
      </w:r>
    </w:p>
    <w:p>
      <w:pPr>
        <w:spacing w:after="200" w:before="0" w:line="360" w:lineRule="auto"/>
        <w:ind/>
        <w:jc w:val="left"/>
      </w:pPr>
      <w:r>
        <w:rPr>
          <w:rFonts w:ascii="Times New Roman" w:cs="Times New Roman" w:eastAsia="Times New Roman" w:hAnsi="Times New Roman"/>
          <w:sz w:val="24"/>
          <w:szCs w:val="24"/>
        </w:rPr>
        <w:t xml:space="preserve">Together, these findings suggest that childlessness is concentrated at two distinct poles of the financial spectrum: among the "planners" successfully accumulating wealth for their futures, and among the "precarious" locked out of the financial tools needed to start a family. This chapter takes the analysis as far as the SCF can go, and hands off the remaining question — why does race cease to matter once financial and demographic controls are applied? — to the NSFG and Chapter 5.</w:t>
      </w:r>
    </w:p>
    <w:p>
      <w:pPr>
        <w:pageBreakBefore/>
      </w:pPr>
    </w:p>
    <w:p>
      <w:pPr>
        <w:pStyle w:val="Heading1"/>
        <w:spacing w:after="240" w:before="480"/>
      </w:pPr>
      <w:r>
        <w:rPr>
          <w:rFonts w:ascii="Times New Roman" w:cs="Times New Roman" w:eastAsia="Times New Roman" w:hAnsi="Times New Roman"/>
          <w:b/>
          <w:bCs/>
          <w:color w:val="000000"/>
          <w:sz w:val="32"/>
          <w:szCs w:val="32"/>
        </w:rPr>
        <w:t xml:space="preserve">Chapter 5: Born Here or There — Nativity, Immigration, and Completed Childlessness</w:t>
      </w:r>
    </w:p>
    <w:p>
      <w:pPr>
        <w:pStyle w:val="Heading2"/>
        <w:spacing w:after="180" w:before="360"/>
      </w:pPr>
      <w:r>
        <w:rPr>
          <w:rFonts w:ascii="Times New Roman" w:cs="Times New Roman" w:eastAsia="Times New Roman" w:hAnsi="Times New Roman"/>
          <w:b/>
          <w:bCs/>
          <w:color w:val="000000"/>
          <w:sz w:val="28"/>
          <w:szCs w:val="28"/>
        </w:rPr>
        <w:t xml:space="preserve">5.1 Introduction: The Nativity Hypothesis</w:t>
      </w:r>
    </w:p>
    <w:p>
      <w:pPr>
        <w:spacing w:after="200" w:before="0" w:line="360" w:lineRule="auto"/>
        <w:ind/>
        <w:jc w:val="left"/>
      </w:pPr>
      <w:r>
        <w:rPr>
          <w:rFonts w:ascii="Times New Roman" w:cs="Times New Roman" w:eastAsia="Times New Roman" w:hAnsi="Times New Roman"/>
          <w:sz w:val="24"/>
          <w:szCs w:val="24"/>
        </w:rPr>
        <w:t xml:space="preserve">The preceding chapters have established two critical findings using the Survey of Consumer Finances: first, that parenthood imposes a significant liquidity strain on households, and second, that a household's financial structure is a powerful predictor of childlessness. Yet, that analysis ended with a profound and unanswered question. We saw that once a rich set of financial and demographic controls were applied, the independent predictive power of race on co-resident childlessness was rendered statistically insignificant. This chapter argues that the primary unobserved condition is nativity.</w:t>
      </w:r>
    </w:p>
    <w:p>
      <w:pPr>
        <w:spacing w:after="200" w:before="0" w:line="360" w:lineRule="auto"/>
        <w:ind/>
        <w:jc w:val="left"/>
      </w:pPr>
      <w:r>
        <w:rPr>
          <w:rFonts w:ascii="Times New Roman" w:cs="Times New Roman" w:eastAsia="Times New Roman" w:hAnsi="Times New Roman"/>
          <w:sz w:val="24"/>
          <w:szCs w:val="24"/>
        </w:rPr>
        <w:t xml:space="preserve">This chapter puts the Nativity Hypothesis to a direct empirical test. It moves to the National Survey of Family Growth (NSFG), which provides two crucial advantages: it measures true biological fertility — the number of children a woman has ever born — eliminating the measurement error present in Chapter 4; and it contains detailed information on country of birth, enabling a foreign-born/native-born distinction.</w:t>
      </w:r>
    </w:p>
    <w:p>
      <w:pPr>
        <w:spacing w:after="200" w:before="0" w:line="360" w:lineRule="auto"/>
        <w:ind/>
        <w:jc w:val="left"/>
      </w:pPr>
      <w:r>
        <w:rPr>
          <w:rFonts w:ascii="Times New Roman" w:cs="Times New Roman" w:eastAsia="Times New Roman" w:hAnsi="Times New Roman"/>
          <w:sz w:val="24"/>
          <w:szCs w:val="24"/>
        </w:rPr>
        <w:t xml:space="preserve">The theoretical stakes are high. If the hypothesis holds, a substantial portion of the observed racial differentials in American fertility are not enduring features of racial groups themselves, but compositional artifacts of immigration and assimilation processes. As the descendants of immigrants converge with the native-born population across generations, their fertility patterns converge as well.</w:t>
      </w:r>
    </w:p>
    <w:p>
      <w:pPr>
        <w:pStyle w:val="Heading2"/>
        <w:spacing w:after="180" w:before="360"/>
      </w:pPr>
      <w:r>
        <w:rPr>
          <w:rFonts w:ascii="Times New Roman" w:cs="Times New Roman" w:eastAsia="Times New Roman" w:hAnsi="Times New Roman"/>
          <w:b/>
          <w:bCs/>
          <w:color w:val="000000"/>
          <w:sz w:val="28"/>
          <w:szCs w:val="28"/>
        </w:rPr>
        <w:t xml:space="preserve">5.2 Data and Methods</w:t>
      </w:r>
    </w:p>
    <w:p>
      <w:pPr>
        <w:spacing w:after="200" w:before="0" w:line="360" w:lineRule="auto"/>
        <w:ind/>
        <w:jc w:val="left"/>
      </w:pPr>
      <w:r>
        <w:rPr>
          <w:rFonts w:ascii="Times New Roman" w:cs="Times New Roman" w:eastAsia="Times New Roman" w:hAnsi="Times New Roman"/>
          <w:sz w:val="24"/>
          <w:szCs w:val="24"/>
        </w:rPr>
        <w:t xml:space="preserve">This analysis utilizes the 2022–2023 public use file from the National Survey of Family Growth (NSFG), focusing on the female respondent questionnaire. The sample is restricted to women aged 40–49 (N = 1,490), the standard age range for measuring completed fertility. The outcome is a binary indicator for biological childlessness: PARITY equals zero.</w:t>
      </w:r>
    </w:p>
    <w:p>
      <w:pPr>
        <w:spacing w:after="200" w:before="0" w:line="360" w:lineRule="auto"/>
        <w:ind/>
        <w:jc w:val="left"/>
      </w:pPr>
      <w:r>
        <w:rPr>
          <w:rFonts w:ascii="Times New Roman" w:cs="Times New Roman" w:eastAsia="Times New Roman" w:hAnsi="Times New Roman"/>
          <w:sz w:val="24"/>
          <w:szCs w:val="24"/>
        </w:rPr>
        <w:t xml:space="preserve">All models properly apply the NSFG's complex survey design — using VEST (stratum), VECL (cluster), and WGT2022_2023 (weight) — to calculate correct standard errors. The survey design contains a small number of primary sampling units in the analytic sample (4 clusters), which may produce unstable variance estimates for subgroup analyses; standard errors should be interpreted with appropriate caution, particularly for the race-by-nativity cross-tabulations.</w:t>
      </w:r>
    </w:p>
    <w:p>
      <w:pPr>
        <w:spacing w:after="200" w:before="0" w:line="360" w:lineRule="auto"/>
        <w:ind/>
        <w:jc w:val="left"/>
      </w:pPr>
      <w:r>
        <w:rPr>
          <w:rFonts w:ascii="Times New Roman" w:cs="Times New Roman" w:eastAsia="Times New Roman" w:hAnsi="Times New Roman"/>
          <w:sz w:val="24"/>
          <w:szCs w:val="24"/>
        </w:rPr>
        <w:t xml:space="preserve">One sample size consideration warrants explicit attention: subgroup analyses by race and nativity involve very small cells in some cases (e.g., only 14 foreign-born Black women in the analytic sample). Because the complex design reduces effective sample sizes below raw counts, these subgroup estimates lack the statistical power to support strong causal inferences. The race-by-nativity findings should be treated as descriptively informative rather than confirmatory for the smaller subgroups.</w:t>
      </w:r>
    </w:p>
    <w:p>
      <w:pPr>
        <w:spacing w:after="200" w:before="0" w:line="360" w:lineRule="auto"/>
        <w:ind/>
        <w:jc w:val="left"/>
      </w:pPr>
      <w:r>
        <w:rPr>
          <w:rFonts w:ascii="Times New Roman" w:cs="Times New Roman" w:eastAsia="Times New Roman" w:hAnsi="Times New Roman"/>
          <w:sz w:val="24"/>
          <w:szCs w:val="24"/>
        </w:rPr>
        <w:t xml:space="preserve">The core analytical strategy is a sequential logistic regression: Model 1 (race/ethnicity alone), Model 2 (adding nativity), and Model 3 (adding marriage, religion, education, employment, poverty, and age). A post-treatment bias analysis distinguishes total from direct nativity effects. Education is coded into five levels using the 2022–2023 HIEDUC coding scheme, which differs from earlier NSFG waves. All models use the quasibinomial family to handle survey-weighted logistic regression correctly.</w:t>
      </w:r>
    </w:p>
    <w:p>
      <w:pPr>
        <w:pStyle w:val="Heading2"/>
        <w:spacing w:after="180" w:before="360"/>
      </w:pPr>
      <w:r>
        <w:rPr>
          <w:rFonts w:ascii="Times New Roman" w:cs="Times New Roman" w:eastAsia="Times New Roman" w:hAnsi="Times New Roman"/>
          <w:b/>
          <w:bCs/>
          <w:color w:val="000000"/>
          <w:sz w:val="28"/>
          <w:szCs w:val="28"/>
        </w:rPr>
        <w:t xml:space="preserve">5.3 Results</w:t>
      </w:r>
    </w:p>
    <w:p>
      <w:pPr>
        <w:pStyle w:val="Heading3"/>
        <w:spacing w:after="120" w:before="240"/>
      </w:pPr>
      <w:r>
        <w:rPr>
          <w:rFonts w:ascii="Times New Roman" w:cs="Times New Roman" w:eastAsia="Times New Roman" w:hAnsi="Times New Roman"/>
          <w:b/>
          <w:bCs/>
          <w:color w:val="000000"/>
          <w:sz w:val="26"/>
          <w:szCs w:val="26"/>
        </w:rPr>
        <w:t xml:space="preserve">5.3.1 Descriptive: The Nativity Gap Within Race</w:t>
      </w:r>
    </w:p>
    <w:p>
      <w:pPr>
        <w:spacing w:after="200" w:before="0" w:line="360" w:lineRule="auto"/>
        <w:ind/>
        <w:jc w:val="left"/>
      </w:pPr>
      <w:r>
        <w:rPr>
          <w:rFonts w:ascii="Times New Roman" w:cs="Times New Roman" w:eastAsia="Times New Roman" w:hAnsi="Times New Roman"/>
          <w:sz w:val="24"/>
          <w:szCs w:val="24"/>
        </w:rPr>
        <w:t xml:space="preserve">Among Hispanic women aged 40–49, the childlessness rate for the native-born is 22.6%, nearly double the 12.0% rate for the foreign-born. A similarly vast gap exists in the Other/AAPI category: 25.8% for the native-born versus 11.8% for the foreign-born. Crucially, native-born Hispanic women (22.6%) are statistically indistinguishable from native-born White women (23.5%), providing strong prima facie evidence of generational convergence.</w:t>
      </w:r>
    </w:p>
    <w:p>
      <w:pPr>
        <w:pStyle w:val="Heading3"/>
        <w:spacing w:after="120" w:before="240"/>
      </w:pPr>
      <w:r>
        <w:rPr>
          <w:rFonts w:ascii="Times New Roman" w:cs="Times New Roman" w:eastAsia="Times New Roman" w:hAnsi="Times New Roman"/>
          <w:b/>
          <w:bCs/>
          <w:color w:val="000000"/>
          <w:sz w:val="26"/>
          <w:szCs w:val="26"/>
        </w:rPr>
        <w:t xml:space="preserve">5.3.2 Sequential Models: Testing the Compositional Hypothesis</w:t>
      </w:r>
    </w:p>
    <w:p>
      <w:pPr>
        <w:spacing w:after="200" w:before="0" w:line="360" w:lineRule="auto"/>
        <w:ind/>
        <w:jc w:val="left"/>
      </w:pPr>
      <w:r>
        <w:rPr>
          <w:rFonts w:ascii="Times New Roman" w:cs="Times New Roman" w:eastAsia="Times New Roman" w:hAnsi="Times New Roman"/>
          <w:b/>
          <w:bCs/>
          <w:sz w:val="24"/>
          <w:szCs w:val="24"/>
        </w:rPr>
        <w:t xml:space="preserve">Model 1 → Model 2: </w:t>
      </w:r>
      <w:r>
        <w:rPr>
          <w:rFonts w:ascii="Times New Roman" w:cs="Times New Roman" w:eastAsia="Times New Roman" w:hAnsi="Times New Roman"/>
          <w:sz w:val="24"/>
          <w:szCs w:val="24"/>
        </w:rPr>
        <w:t xml:space="preserve">The Hispanic OR moves dramatically toward 1.0 when nativity is introduced, representing 59% attenuation of the Hispanic-White childlessness gap. The foreign-born coefficient enters as OR = 0.556 (p = 0.029), confirming the Nativity Hypothesis.</w:t>
      </w:r>
    </w:p>
    <w:p>
      <w:pPr>
        <w:spacing w:after="200" w:before="0" w:line="360" w:lineRule="auto"/>
        <w:ind/>
        <w:jc w:val="left"/>
      </w:pPr>
      <w:r>
        <w:rPr>
          <w:rFonts w:ascii="Times New Roman" w:cs="Times New Roman" w:eastAsia="Times New Roman" w:hAnsi="Times New Roman"/>
          <w:b/>
          <w:bCs/>
          <w:sz w:val="24"/>
          <w:szCs w:val="24"/>
        </w:rPr>
        <w:t xml:space="preserve">The Black-White Gap: </w:t>
      </w:r>
      <w:r>
        <w:rPr>
          <w:rFonts w:ascii="Times New Roman" w:cs="Times New Roman" w:eastAsia="Times New Roman" w:hAnsi="Times New Roman"/>
          <w:sz w:val="24"/>
          <w:szCs w:val="24"/>
        </w:rPr>
        <w:t xml:space="preserve">The Black coefficient changes by only 1.7% when nativity is added, confirming H2. The Black-White differential operates through channels other than immigration composition — most plausibly through marriage market dynamics and structural economic exclusion.</w:t>
      </w:r>
    </w:p>
    <w:p>
      <w:pPr>
        <w:spacing w:after="200" w:before="0" w:line="360" w:lineRule="auto"/>
        <w:ind/>
        <w:jc w:val="left"/>
      </w:pPr>
      <w:r>
        <w:rPr>
          <w:rFonts w:ascii="Times New Roman" w:cs="Times New Roman" w:eastAsia="Times New Roman" w:hAnsi="Times New Roman"/>
          <w:b/>
          <w:bCs/>
          <w:sz w:val="24"/>
          <w:szCs w:val="24"/>
        </w:rPr>
        <w:t xml:space="preserve">Model 2 → Model 3 (Mediation): </w:t>
      </w:r>
      <w:r>
        <w:rPr>
          <w:rFonts w:ascii="Times New Roman" w:cs="Times New Roman" w:eastAsia="Times New Roman" w:hAnsi="Times New Roman"/>
          <w:sz w:val="24"/>
          <w:szCs w:val="24"/>
        </w:rPr>
        <w:t xml:space="preserve">The nativity coefficient attenuates to OR = 0.710 (p = 0.284) and loses significance in the full model. The foreign-born effect is mediated through higher marriage rates and religious affiliation, confirming H3.</w:t>
      </w:r>
    </w:p>
    <w:p>
      <w:pPr>
        <w:pStyle w:val="Heading3"/>
        <w:spacing w:after="120" w:before="240"/>
      </w:pPr>
      <w:r>
        <w:rPr>
          <w:rFonts w:ascii="Times New Roman" w:cs="Times New Roman" w:eastAsia="Times New Roman" w:hAnsi="Times New Roman"/>
          <w:b/>
          <w:bCs/>
          <w:color w:val="000000"/>
          <w:sz w:val="26"/>
          <w:szCs w:val="26"/>
        </w:rPr>
        <w:t xml:space="preserve">5.3.3 Post-Treatment Bias Analysis</w:t>
      </w:r>
    </w:p>
    <w:p>
      <w:pPr>
        <w:spacing w:after="200" w:before="0" w:line="360" w:lineRule="auto"/>
        <w:ind/>
        <w:jc w:val="left"/>
      </w:pPr>
      <w:r>
        <w:rPr>
          <w:rFonts w:ascii="Times New Roman" w:cs="Times New Roman" w:eastAsia="Times New Roman" w:hAnsi="Times New Roman"/>
          <w:sz w:val="24"/>
          <w:szCs w:val="24"/>
        </w:rPr>
        <w:t xml:space="preserve">The post-treatment analysis distinguishes total from direct effects. The total effect of being foreign-born (Model 2: OR = 0.556) — including the portion that operates through marriage and religion — nearly halves the odds of childlessness. The direct effect (Model 3: OR = 0.710) — net of these mediating pathways — is substantially attenuated and statistically non-significant. This confirms that the foreign-born fertility advantage operates largely through observable institutional pathways, not through an unmeasured cultural residual.</w:t>
      </w:r>
    </w:p>
    <w:p>
      <w:pPr>
        <w:pStyle w:val="Heading3"/>
        <w:spacing w:after="120" w:before="240"/>
      </w:pPr>
      <w:r>
        <w:rPr>
          <w:rFonts w:ascii="Times New Roman" w:cs="Times New Roman" w:eastAsia="Times New Roman" w:hAnsi="Times New Roman"/>
          <w:b/>
          <w:bCs/>
          <w:color w:val="000000"/>
          <w:sz w:val="26"/>
          <w:szCs w:val="26"/>
        </w:rPr>
        <w:t xml:space="preserve">5.3.4 Predicted Probabilities: The Substantive Effect</w:t>
      </w:r>
    </w:p>
    <w:p>
      <w:pPr>
        <w:spacing w:after="200" w:before="0" w:line="360" w:lineRule="auto"/>
        <w:ind/>
        <w:jc w:val="left"/>
      </w:pPr>
      <w:r>
        <w:rPr>
          <w:rFonts w:ascii="Times New Roman" w:cs="Times New Roman" w:eastAsia="Times New Roman" w:hAnsi="Times New Roman"/>
          <w:sz w:val="24"/>
          <w:szCs w:val="24"/>
        </w:rPr>
        <w:t xml:space="preserve">To illustrate the substantive magnitude of findings, predicted probabilities were calculated for specific demographic profiles. A married, foreign-born Hispanic woman without a college degree has a predicted probability of childlessness of 5.3%. An unmarried, native-born White woman with a college degree has a predicted probability of 33.0%. This six-fold difference demonstrates how powerfully marriage, nativity, and education interact to structure fertility outcomes.</w:t>
      </w:r>
    </w:p>
    <w:p>
      <w:pPr>
        <w:pStyle w:val="Heading3"/>
        <w:spacing w:after="120" w:before="240"/>
      </w:pPr>
      <w:r>
        <w:rPr>
          <w:rFonts w:ascii="Times New Roman" w:cs="Times New Roman" w:eastAsia="Times New Roman" w:hAnsi="Times New Roman"/>
          <w:b/>
          <w:bCs/>
          <w:color w:val="000000"/>
          <w:sz w:val="26"/>
          <w:szCs w:val="26"/>
        </w:rPr>
        <w:t xml:space="preserve">5.3.5 The AAPI Null: A Puzzle</w:t>
      </w:r>
    </w:p>
    <w:p>
      <w:pPr>
        <w:spacing w:after="200" w:before="0" w:line="360" w:lineRule="auto"/>
        <w:ind/>
        <w:jc w:val="left"/>
      </w:pPr>
      <w:r>
        <w:rPr>
          <w:rFonts w:ascii="Times New Roman" w:cs="Times New Roman" w:eastAsia="Times New Roman" w:hAnsi="Times New Roman"/>
          <w:sz w:val="24"/>
          <w:szCs w:val="24"/>
        </w:rPr>
        <w:t xml:space="preserve">The NH Other/Multiple category — predominantly AAPI women — shows a non-significant aggregate coefficient across all models, despite large nativity gaps in the descriptive data (25.8% native-born vs. 11.8% foreign-born). This null aggregate result masks profound within-group heterogeneity: East Asian-origin women (Chinese, Japanese, Korean), particularly with advanced degrees, have among the highest childlessness rates of any U.S. subpopulation, while Southeast Asian and South Asian women exhibit fertility patterns closer to the national average. These opposing forces cancel in the aggregate regression, producing a null coefficient that conceals more than it reveals. Disaggregating AAPI fertility by national origin is a critical direction for future research; cell sizes in the current sample are too small for reliable national-origin-specific estimation.</w:t>
      </w:r>
    </w:p>
    <w:p>
      <w:pPr>
        <w:pStyle w:val="Heading3"/>
        <w:spacing w:after="120" w:before="240"/>
      </w:pPr>
      <w:r>
        <w:rPr>
          <w:rFonts w:ascii="Times New Roman" w:cs="Times New Roman" w:eastAsia="Times New Roman" w:hAnsi="Times New Roman"/>
          <w:b/>
          <w:bCs/>
          <w:color w:val="000000"/>
          <w:sz w:val="26"/>
          <w:szCs w:val="26"/>
        </w:rPr>
        <w:t xml:space="preserve">5.3.6 Fertility Intentions: The Puzzle of Unwanted Childlessness</w:t>
      </w:r>
    </w:p>
    <w:p>
      <w:pPr>
        <w:spacing w:after="200" w:before="0" w:line="360" w:lineRule="auto"/>
        <w:ind/>
        <w:jc w:val="left"/>
      </w:pPr>
      <w:r>
        <w:rPr>
          <w:rFonts w:ascii="Times New Roman" w:cs="Times New Roman" w:eastAsia="Times New Roman" w:hAnsi="Times New Roman"/>
          <w:sz w:val="24"/>
          <w:szCs w:val="24"/>
        </w:rPr>
        <w:t xml:space="preserve">Women aged 40–49 who previously reported wanting to have a child are 1.89 times more likely to be childless (OR = 1.89, p = 0.001). This apparent paradox resolves when we recognize that women who already have children do not report "wanting" more; those reporting a desire for children are precisely the involuntarily childless — women whose aspirations went unrealized. A significant portion of observed childlessness at ages 40–49 is not by choice.</w:t>
      </w:r>
    </w:p>
    <w:p>
      <w:pPr>
        <w:spacing w:after="200" w:before="0" w:line="360" w:lineRule="auto"/>
        <w:ind/>
        <w:jc w:val="left"/>
      </w:pPr>
      <w:r>
        <w:rPr>
          <w:rFonts w:ascii="Times New Roman" w:cs="Times New Roman" w:eastAsia="Times New Roman" w:hAnsi="Times New Roman"/>
          <w:sz w:val="24"/>
          <w:szCs w:val="24"/>
        </w:rPr>
        <w:t xml:space="preserve">This finding should be interpreted with methodological care. Fertility intentions are a subjective measure with no objective external criterion for validation; their validity can only be inferred through associations with other variables, as is demonstrated here. Intentions may also be subject to retrospective rationalization. The finding is therefore treated as suggestive of a meaningful proportion of involuntary childlessness, not as a definitive causal claim.</w:t>
      </w:r>
    </w:p>
    <w:p>
      <w:pPr>
        <w:pStyle w:val="Heading2"/>
        <w:spacing w:after="180" w:before="360"/>
      </w:pPr>
      <w:r>
        <w:rPr>
          <w:rFonts w:ascii="Times New Roman" w:cs="Times New Roman" w:eastAsia="Times New Roman" w:hAnsi="Times New Roman"/>
          <w:b/>
          <w:bCs/>
          <w:color w:val="000000"/>
          <w:sz w:val="28"/>
          <w:szCs w:val="28"/>
        </w:rPr>
        <w:t xml:space="preserve">5.4 Discussion</w:t>
      </w:r>
    </w:p>
    <w:p>
      <w:pPr>
        <w:spacing w:after="200" w:before="0" w:line="360" w:lineRule="auto"/>
        <w:ind/>
        <w:jc w:val="left"/>
      </w:pPr>
      <w:r>
        <w:rPr>
          <w:rFonts w:ascii="Times New Roman" w:cs="Times New Roman" w:eastAsia="Times New Roman" w:hAnsi="Times New Roman"/>
          <w:sz w:val="24"/>
          <w:szCs w:val="24"/>
        </w:rPr>
        <w:t xml:space="preserve">The evidence from the NSFG largely confirms the Nativity Hypothesis. The 59% reduction in the Hispanic-White childlessness gap upon accounting for nativity demonstrates the power of compositional effects. For fertility research, any analysis of racial fertility differentials that fails to disaggregate by nativity risks serious misinterpretation. The convergence of native-born Hispanic fertility patterns with those of native-born White women suggests that the "Hispanic fertility advantage" is generationally bounded and likely to fade over time as immigrant assimilation continues.</w:t>
      </w:r>
    </w:p>
    <w:p>
      <w:pPr>
        <w:spacing w:after="200" w:before="0" w:line="360" w:lineRule="auto"/>
        <w:ind/>
        <w:jc w:val="left"/>
      </w:pPr>
      <w:r>
        <w:rPr>
          <w:rFonts w:ascii="Times New Roman" w:cs="Times New Roman" w:eastAsia="Times New Roman" w:hAnsi="Times New Roman"/>
          <w:sz w:val="24"/>
          <w:szCs w:val="24"/>
        </w:rPr>
        <w:t xml:space="preserve">The successful mediation of the nativity effect through marriage and religion demystifies the immigrant fertility advantage. It is not an ineffable cultural value, but a higher propensity to enter the specific social institutions — marriage and religious communities — that remain the primary loci of childbearing in the United States.</w:t>
      </w:r>
    </w:p>
    <w:p>
      <w:pPr>
        <w:spacing w:after="200" w:before="0" w:line="360" w:lineRule="auto"/>
        <w:ind/>
        <w:jc w:val="left"/>
      </w:pPr>
      <w:r>
        <w:rPr>
          <w:rFonts w:ascii="Times New Roman" w:cs="Times New Roman" w:eastAsia="Times New Roman" w:hAnsi="Times New Roman"/>
          <w:sz w:val="24"/>
          <w:szCs w:val="24"/>
        </w:rPr>
        <w:t xml:space="preserve">The analysis has important limitations. The binary nativity measure cannot distinguish second-generation women (U.S.-born children of immigrants) from third-plus-generation Americans, preventing a full test of segmented assimilation theory which requires this three-category measure. The small cell sizes for foreign-born Black and AAPI subgroups limit statistical precision for these groups. And the cross-sectional design precludes causal inference. Nevertheless, this chapter provides the key piece of evidence for the dissertation's central argument: the demographic forces of immigration are a primary driver of broad patterns of childlessness in the United States, and the "disappearance" of race in Chapter 4 was a statistical footprint of unmeasured nativity composition.</w:t>
      </w:r>
    </w:p>
    <w:p>
      <w:pPr>
        <w:pageBreakBefore/>
      </w:pPr>
    </w:p>
    <w:p>
      <w:pPr>
        <w:pStyle w:val="Heading1"/>
        <w:spacing w:after="240" w:before="480"/>
      </w:pPr>
      <w:r>
        <w:rPr>
          <w:rFonts w:ascii="Times New Roman" w:cs="Times New Roman" w:eastAsia="Times New Roman" w:hAnsi="Times New Roman"/>
          <w:b/>
          <w:bCs/>
          <w:color w:val="000000"/>
          <w:sz w:val="32"/>
          <w:szCs w:val="32"/>
        </w:rPr>
        <w:t xml:space="preserve">Chapter 6: Conclusion — Financial Structure, Immigration, and the Unequal Distribution of Childlessness</w:t>
      </w:r>
    </w:p>
    <w:p>
      <w:pPr>
        <w:spacing w:after="200" w:before="0" w:line="360" w:lineRule="auto"/>
        <w:ind/>
        <w:jc w:val="left"/>
      </w:pPr>
      <w:r>
        <w:rPr>
          <w:rFonts w:ascii="Times New Roman" w:cs="Times New Roman" w:eastAsia="Times New Roman" w:hAnsi="Times New Roman"/>
          <w:sz w:val="24"/>
          <w:szCs w:val="24"/>
        </w:rPr>
        <w:t xml:space="preserve">This dissertation began with an empirical puzzle: the rise of childlessness in the United States is not a uniform tide lifting all boats, but a deeply stratified phenomenon. The likelihood of an American reaching their late forties without having a child is profoundly shaped by their race, their education, their wealth, and, as this research has argued, their proximity to the immigrant experience. The central contention of this work has been that no single theoretical lens or dataset can adequately explain this complex reality. A complete account requires bridging two spheres of social life that are often studied in isolation: the financial structure of American households and the demographic engine of immigration and assimilation.</w:t>
      </w:r>
    </w:p>
    <w:p>
      <w:pPr>
        <w:pStyle w:val="Heading2"/>
        <w:spacing w:after="180" w:before="360"/>
      </w:pPr>
      <w:r>
        <w:rPr>
          <w:rFonts w:ascii="Times New Roman" w:cs="Times New Roman" w:eastAsia="Times New Roman" w:hAnsi="Times New Roman"/>
          <w:b/>
          <w:bCs/>
          <w:color w:val="000000"/>
          <w:sz w:val="28"/>
          <w:szCs w:val="28"/>
        </w:rPr>
        <w:t xml:space="preserve">6.1 The Three-Paper Synthesis</w:t>
      </w:r>
    </w:p>
    <w:p>
      <w:pPr>
        <w:spacing w:after="200" w:before="0" w:line="360" w:lineRule="auto"/>
        <w:ind/>
        <w:jc w:val="left"/>
      </w:pPr>
      <w:r>
        <w:rPr>
          <w:rFonts w:ascii="Times New Roman" w:cs="Times New Roman" w:eastAsia="Times New Roman" w:hAnsi="Times New Roman"/>
          <w:sz w:val="24"/>
          <w:szCs w:val="24"/>
        </w:rPr>
        <w:t xml:space="preserve">Paper 1 (Chapter 3) established the material consequences of parenthood. The transition to parenthood — specifically the arrival of the first child — is the single most powerful demographic predictor of entering revolving debt. This finding reframes parental financial stress not just as a matter of long-term opportunity costs, but as an immediate liquidity strain. The parenthood debt penalty should be read as a conservative lower bound, given systematic underreporting of financial distress in household surveys.</w:t>
      </w:r>
    </w:p>
    <w:p>
      <w:pPr>
        <w:spacing w:after="200" w:before="0" w:line="360" w:lineRule="auto"/>
        <w:ind/>
        <w:jc w:val="left"/>
      </w:pPr>
      <w:r>
        <w:rPr>
          <w:rFonts w:ascii="Times New Roman" w:cs="Times New Roman" w:eastAsia="Times New Roman" w:hAnsi="Times New Roman"/>
          <w:sz w:val="24"/>
          <w:szCs w:val="24"/>
        </w:rPr>
        <w:t xml:space="preserve">Paper 2 (Chapter 4) inverted the question to examine the financial antecedents of childlessness. Childlessness is most prevalent at two opposite poles of the financial spectrum: among households successfully accumulating retirement assets (an opportunity cost mechanism) and among those denied access to credit (a material constraint mechanism). This chapter's finding that racial gaps are fully mediated by financial and demographic controls, combined with evidence in the broader literature that housing wealth has independent causal effects on fertility, points toward a more complete picture: the financial architecture of childlessness is multidimensional.</w:t>
      </w:r>
    </w:p>
    <w:p>
      <w:pPr>
        <w:spacing w:after="200" w:before="0" w:line="360" w:lineRule="auto"/>
        <w:ind/>
        <w:jc w:val="left"/>
      </w:pPr>
      <w:r>
        <w:rPr>
          <w:rFonts w:ascii="Times New Roman" w:cs="Times New Roman" w:eastAsia="Times New Roman" w:hAnsi="Times New Roman"/>
          <w:sz w:val="24"/>
          <w:szCs w:val="24"/>
        </w:rPr>
        <w:t xml:space="preserve">Paper 3 (Chapter 5) provided the answer to the puzzle left open by Chapter 4. Nativity composition explains 59% of the observed childlessness gap between Hispanic and White women. The nativity effect is itself largely mediated through differences in marriage and religious affiliation. This chapter revealed that the "disappearance" of race in Chapter 4 was a statistical footprint of an unmeasured underlying process: immigrant assimilation.</w:t>
      </w:r>
    </w:p>
    <w:p>
      <w:pPr>
        <w:pStyle w:val="Heading2"/>
        <w:spacing w:after="180" w:before="360"/>
      </w:pPr>
      <w:r>
        <w:rPr>
          <w:rFonts w:ascii="Times New Roman" w:cs="Times New Roman" w:eastAsia="Times New Roman" w:hAnsi="Times New Roman"/>
          <w:b/>
          <w:bCs/>
          <w:color w:val="000000"/>
          <w:sz w:val="28"/>
          <w:szCs w:val="28"/>
        </w:rPr>
        <w:t xml:space="preserve">6.2 The Overarching Argument</w:t>
      </w:r>
    </w:p>
    <w:p>
      <w:pPr>
        <w:spacing w:after="200" w:before="0" w:line="360" w:lineRule="auto"/>
        <w:ind/>
        <w:jc w:val="left"/>
      </w:pPr>
      <w:r>
        <w:rPr>
          <w:rFonts w:ascii="Times New Roman" w:cs="Times New Roman" w:eastAsia="Times New Roman" w:hAnsi="Times New Roman"/>
          <w:sz w:val="24"/>
          <w:szCs w:val="24"/>
        </w:rPr>
        <w:t xml:space="preserve">Childlessness in America is shaped by two intersecting structural forces: the financial architecture of household life and the demographic architecture of immigrant incorporation. The financial precarity that drives debt and the opportunity costs that encourage asset accumulation are real and powerful forces shaping fertility decisions within groups. Simultaneously, the steady churn of immigration and generational convergence fundamentally reshapes the composition of those groups over time. Neither force is sufficient alone; together, they explain patterns that neither could illuminate independently.</w:t>
      </w:r>
    </w:p>
    <w:p>
      <w:pPr>
        <w:spacing w:after="200" w:before="0" w:line="360" w:lineRule="auto"/>
        <w:ind/>
        <w:jc w:val="left"/>
      </w:pPr>
      <w:r>
        <w:rPr>
          <w:rFonts w:ascii="Times New Roman" w:cs="Times New Roman" w:eastAsia="Times New Roman" w:hAnsi="Times New Roman"/>
          <w:sz w:val="24"/>
          <w:szCs w:val="24"/>
        </w:rPr>
        <w:t xml:space="preserve">The primary methodological contribution of this dissertation is the demonstration of this argument through the triangulation of two imperfect but complementary datasets. The SCF's financial depth but demographic limitations motivated the turn to the NSFG; the NSFG's demographic richness provided the nativity test the SCF could not perform. Only by using each dataset to answer the questions it is best equipped to handle does the full picture emerge.</w:t>
      </w:r>
    </w:p>
    <w:p>
      <w:pPr>
        <w:pStyle w:val="Heading2"/>
        <w:spacing w:after="180" w:before="360"/>
      </w:pPr>
      <w:r>
        <w:rPr>
          <w:rFonts w:ascii="Times New Roman" w:cs="Times New Roman" w:eastAsia="Times New Roman" w:hAnsi="Times New Roman"/>
          <w:b/>
          <w:bCs/>
          <w:color w:val="000000"/>
          <w:sz w:val="28"/>
          <w:szCs w:val="28"/>
        </w:rPr>
        <w:t xml:space="preserve">6.3 Theoretical Contributions</w:t>
      </w:r>
    </w:p>
    <w:p>
      <w:pPr>
        <w:spacing w:after="200" w:before="0" w:line="360" w:lineRule="auto"/>
        <w:ind/>
        <w:jc w:val="left"/>
      </w:pPr>
      <w:r>
        <w:rPr>
          <w:rFonts w:ascii="Times New Roman" w:cs="Times New Roman" w:eastAsia="Times New Roman" w:hAnsi="Times New Roman"/>
          <w:sz w:val="24"/>
          <w:szCs w:val="24"/>
        </w:rPr>
        <w:t xml:space="preserve">First, this research extends assimilation theory into the domain of fertility outcomes, using childlessness as a metric of intergenerational convergence and showing that the nativity effect on fertility is channeled through concrete social institutions — marriage and religion — rather than abstract cultural values.</w:t>
      </w:r>
    </w:p>
    <w:p>
      <w:pPr>
        <w:spacing w:after="200" w:before="0" w:line="360" w:lineRule="auto"/>
        <w:ind/>
        <w:jc w:val="left"/>
      </w:pPr>
      <w:r>
        <w:rPr>
          <w:rFonts w:ascii="Times New Roman" w:cs="Times New Roman" w:eastAsia="Times New Roman" w:hAnsi="Times New Roman"/>
          <w:sz w:val="24"/>
          <w:szCs w:val="24"/>
        </w:rPr>
        <w:t xml:space="preserve">Second, it contributes a structural account to the literature on family formation and financial barriers. Moving beyond income to the balance sheet, it provides a more nuanced framework for understanding the economic context of childbearing, while acknowledging that aggregate wealth — particularly housing wealth — retains independent effects that complement the balance sheet story.</w:t>
      </w:r>
    </w:p>
    <w:p>
      <w:pPr>
        <w:spacing w:after="200" w:before="0" w:line="360" w:lineRule="auto"/>
        <w:ind/>
        <w:jc w:val="left"/>
      </w:pPr>
      <w:r>
        <w:rPr>
          <w:rFonts w:ascii="Times New Roman" w:cs="Times New Roman" w:eastAsia="Times New Roman" w:hAnsi="Times New Roman"/>
          <w:sz w:val="24"/>
          <w:szCs w:val="24"/>
        </w:rPr>
        <w:t xml:space="preserve">Third, the dissertation offers a measurement critique to the field of demography: aggregate racial fertility statistics in a high-immigration society are compositional artifacts, and disaggregation by nativity and generation is a methodological necessity, not an optional nuance.</w:t>
      </w:r>
    </w:p>
    <w:p>
      <w:pPr>
        <w:pStyle w:val="Heading2"/>
        <w:spacing w:after="180" w:before="360"/>
      </w:pPr>
      <w:r>
        <w:rPr>
          <w:rFonts w:ascii="Times New Roman" w:cs="Times New Roman" w:eastAsia="Times New Roman" w:hAnsi="Times New Roman"/>
          <w:b/>
          <w:bCs/>
          <w:color w:val="000000"/>
          <w:sz w:val="28"/>
          <w:szCs w:val="28"/>
        </w:rPr>
        <w:t xml:space="preserve">6.4 Policy Implications</w:t>
      </w:r>
    </w:p>
    <w:p>
      <w:pPr>
        <w:spacing w:after="200" w:before="0" w:line="360" w:lineRule="auto"/>
        <w:ind/>
        <w:jc w:val="left"/>
      </w:pPr>
      <w:r>
        <w:rPr>
          <w:rFonts w:ascii="Times New Roman" w:cs="Times New Roman" w:eastAsia="Times New Roman" w:hAnsi="Times New Roman"/>
          <w:b/>
          <w:bCs/>
          <w:sz w:val="24"/>
          <w:szCs w:val="24"/>
        </w:rPr>
        <w:t xml:space="preserve">For Family Support Policy: </w:t>
      </w:r>
      <w:r>
        <w:rPr>
          <w:rFonts w:ascii="Times New Roman" w:cs="Times New Roman" w:eastAsia="Times New Roman" w:hAnsi="Times New Roman"/>
          <w:sz w:val="24"/>
          <w:szCs w:val="24"/>
        </w:rPr>
        <w:t xml:space="preserve">The parenthood debt penalty is concentrated at the first child. Financial support programs — from expanded tax credits to paid family leave — should target this initial transition, the moment of greatest financial shock and vulnerability.</w:t>
      </w:r>
    </w:p>
    <w:p>
      <w:pPr>
        <w:spacing w:after="200" w:before="0" w:line="360" w:lineRule="auto"/>
        <w:ind/>
        <w:jc w:val="left"/>
      </w:pPr>
      <w:r>
        <w:rPr>
          <w:rFonts w:ascii="Times New Roman" w:cs="Times New Roman" w:eastAsia="Times New Roman" w:hAnsi="Times New Roman"/>
          <w:b/>
          <w:bCs/>
          <w:sz w:val="24"/>
          <w:szCs w:val="24"/>
        </w:rPr>
        <w:t xml:space="preserve">For Financial Policy: </w:t>
      </w:r>
      <w:r>
        <w:rPr>
          <w:rFonts w:ascii="Times New Roman" w:cs="Times New Roman" w:eastAsia="Times New Roman" w:hAnsi="Times New Roman"/>
          <w:sz w:val="24"/>
          <w:szCs w:val="24"/>
        </w:rPr>
        <w:t xml:space="preserve">Expanding credit access is a double-edged sword: it may ease short-term liquidity problems while increasing debt prevalence. Policies that more directly boost household financial stability — emergency savings programs, child tax credit expansion, wage growth — are likely to be more effective at reducing the debt burden on parents.</w:t>
      </w:r>
    </w:p>
    <w:p>
      <w:pPr>
        <w:spacing w:after="200" w:before="0" w:line="360" w:lineRule="auto"/>
        <w:ind/>
        <w:jc w:val="left"/>
      </w:pPr>
      <w:r>
        <w:rPr>
          <w:rFonts w:ascii="Times New Roman" w:cs="Times New Roman" w:eastAsia="Times New Roman" w:hAnsi="Times New Roman"/>
          <w:b/>
          <w:bCs/>
          <w:sz w:val="24"/>
          <w:szCs w:val="24"/>
        </w:rPr>
        <w:t xml:space="preserve">For Demographic and Immigration Policy: </w:t>
      </w:r>
      <w:r>
        <w:rPr>
          <w:rFonts w:ascii="Times New Roman" w:cs="Times New Roman" w:eastAsia="Times New Roman" w:hAnsi="Times New Roman"/>
          <w:sz w:val="24"/>
          <w:szCs w:val="24"/>
        </w:rPr>
        <w:t xml:space="preserve">The pronatalism of first-generation immigrants provides a temporary demographic dividend, buffering aggregate fertility rates. Policymakers should recognize that this effect is generationally bounded: as the children and grandchildren of immigrants assimilate to American fertility norms, this demographic buffer will fade, and sub-replacement fertility will become more universal.</w:t>
      </w:r>
    </w:p>
    <w:p>
      <w:pPr>
        <w:pStyle w:val="Heading2"/>
        <w:spacing w:after="180" w:before="360"/>
      </w:pPr>
      <w:r>
        <w:rPr>
          <w:rFonts w:ascii="Times New Roman" w:cs="Times New Roman" w:eastAsia="Times New Roman" w:hAnsi="Times New Roman"/>
          <w:b/>
          <w:bCs/>
          <w:color w:val="000000"/>
          <w:sz w:val="28"/>
          <w:szCs w:val="28"/>
        </w:rPr>
        <w:t xml:space="preserve">6.5 Limitations and Future Research</w:t>
      </w:r>
    </w:p>
    <w:p>
      <w:pPr>
        <w:spacing w:after="200" w:before="0" w:line="360" w:lineRule="auto"/>
        <w:ind/>
        <w:jc w:val="left"/>
      </w:pPr>
      <w:r>
        <w:rPr>
          <w:rFonts w:ascii="Times New Roman" w:cs="Times New Roman" w:eastAsia="Times New Roman" w:hAnsi="Times New Roman"/>
          <w:sz w:val="24"/>
          <w:szCs w:val="24"/>
        </w:rPr>
        <w:t xml:space="preserve">This dissertation opens more questions than it answers. The binary nativity measure could be expanded to three-category generational status by pooling earlier NSFG waves that include parental birthplace data, allowing a more rigorous test of segmented assimilation theory. Small subgroup cell sizes prevented a deep dive into national-origin variation; future work with larger datasets should explore the profound heterogeneity within the Hispanic and AAPI populations — particularly the dramatic fertility differences between East Asian, South Asian, and Southeast Asian subgroups. A true longitudinal study tracking household finances before and after a birth is needed to move from the robust correlations documented here toward a more definitive causal account of the debt-parenthood relationship. Finally, validation studies examining whether foreign-born women in the NSFG systematically differ from the non-responding foreign-born population would clarify the boundary conditions of the nativity hypothesis.</w:t>
      </w:r>
    </w:p>
    <w:p>
      <w:pPr>
        <w:spacing w:after="200" w:before="0" w:line="360" w:lineRule="auto"/>
        <w:ind/>
        <w:jc w:val="left"/>
      </w:pPr>
      <w:r>
        <w:rPr>
          <w:rFonts w:ascii="Times New Roman" w:cs="Times New Roman" w:eastAsia="Times New Roman" w:hAnsi="Times New Roman"/>
          <w:sz w:val="24"/>
          <w:szCs w:val="24"/>
        </w:rPr>
        <w:t xml:space="preserve">In conclusion, this dissertation has demonstrated that the seemingly personal decision of whether to have a child is deeply embedded in the intersecting structures of finance and immigration. By mapping these forces, we gain a clearer understanding not only of the past and present, but also of the future of the American family.</w:t>
      </w:r>
    </w:p>
    <w:p>
      <w:pPr>
        <w:pageBreakBefore/>
      </w:pPr>
    </w:p>
    <w:p>
      <w:pPr>
        <w:pStyle w:val="Heading1"/>
        <w:spacing w:after="240" w:before="480"/>
      </w:pPr>
      <w:r>
        <w:rPr>
          <w:rFonts w:ascii="Times New Roman" w:cs="Times New Roman" w:eastAsia="Times New Roman" w:hAnsi="Times New Roman"/>
          <w:b/>
          <w:bCs/>
          <w:color w:val="000000"/>
          <w:sz w:val="32"/>
          <w:szCs w:val="32"/>
        </w:rPr>
        <w:t xml:space="preserve">References</w:t>
      </w:r>
    </w:p>
    <w:p>
      <w:pPr>
        <w:spacing w:after="200" w:before="0" w:line="360" w:lineRule="auto"/>
        <w:ind w:left="720" w:hanging="720"/>
        <w:jc w:val="left"/>
      </w:pPr>
      <w:r>
        <w:rPr>
          <w:rFonts w:ascii="Times New Roman" w:cs="Times New Roman" w:eastAsia="Times New Roman" w:hAnsi="Times New Roman"/>
          <w:sz w:val="24"/>
          <w:szCs w:val="24"/>
        </w:rPr>
        <w:t xml:space="preserve">Alba, Richard, and Victor Nee. 2003. Remaking the American Mainstream: Assimilation and Contemporary Immigration. Cambridge, MA: Harvard University Press.</w:t>
      </w:r>
    </w:p>
    <w:p>
      <w:pPr>
        <w:spacing w:after="200" w:before="0" w:line="360" w:lineRule="auto"/>
        <w:ind w:left="720" w:hanging="720"/>
        <w:jc w:val="left"/>
      </w:pPr>
      <w:r>
        <w:rPr>
          <w:rFonts w:ascii="Times New Roman" w:cs="Times New Roman" w:eastAsia="Times New Roman" w:hAnsi="Times New Roman"/>
          <w:sz w:val="24"/>
          <w:szCs w:val="24"/>
        </w:rPr>
        <w:t xml:space="preserve">Becker, Gary S. 1981. A Treatise on the Family. Cambridge, MA: Harvard University Press.</w:t>
      </w:r>
    </w:p>
    <w:p>
      <w:pPr>
        <w:spacing w:after="200" w:before="0" w:line="360" w:lineRule="auto"/>
        <w:ind w:left="720" w:hanging="720"/>
        <w:jc w:val="left"/>
      </w:pPr>
      <w:r>
        <w:rPr>
          <w:rFonts w:ascii="Times New Roman" w:cs="Times New Roman" w:eastAsia="Times New Roman" w:hAnsi="Times New Roman"/>
          <w:sz w:val="24"/>
          <w:szCs w:val="24"/>
        </w:rPr>
        <w:t xml:space="preserve">Board of Governors of the Federal Reserve System. 2023. "Survey of Consumer Finances, 2022." Washington, DC: Federal Reserve Board.</w:t>
      </w:r>
    </w:p>
    <w:p>
      <w:pPr>
        <w:spacing w:after="200" w:before="0" w:line="360" w:lineRule="auto"/>
        <w:ind w:left="720" w:hanging="720"/>
        <w:jc w:val="left"/>
      </w:pPr>
      <w:r>
        <w:rPr>
          <w:rFonts w:ascii="Times New Roman" w:cs="Times New Roman" w:eastAsia="Times New Roman" w:hAnsi="Times New Roman"/>
          <w:sz w:val="24"/>
          <w:szCs w:val="24"/>
        </w:rPr>
        <w:t xml:space="preserve">Cherlin, Andrew J. 2004. "The Deinstitutionalization of American Marriage." Journal of Marriage and Family 66(4):848–61.</w:t>
      </w:r>
    </w:p>
    <w:p>
      <w:pPr>
        <w:spacing w:after="200" w:before="0" w:line="360" w:lineRule="auto"/>
        <w:ind w:left="720" w:hanging="720"/>
        <w:jc w:val="left"/>
      </w:pPr>
      <w:r>
        <w:rPr>
          <w:rFonts w:ascii="Times New Roman" w:cs="Times New Roman" w:eastAsia="Times New Roman" w:hAnsi="Times New Roman"/>
          <w:sz w:val="24"/>
          <w:szCs w:val="24"/>
        </w:rPr>
        <w:t xml:space="preserve">Dwyer, Rachel E., Laura McCloud, and Randy Hodson. 2012. "Debt and Graduation from American Universities." Social Forces 90(4):1133–55.</w:t>
      </w:r>
    </w:p>
    <w:p>
      <w:pPr>
        <w:spacing w:after="200" w:before="0" w:line="360" w:lineRule="auto"/>
        <w:ind w:left="720" w:hanging="720"/>
        <w:jc w:val="left"/>
      </w:pPr>
      <w:r>
        <w:rPr>
          <w:rFonts w:ascii="Times New Roman" w:cs="Times New Roman" w:eastAsia="Times New Roman" w:hAnsi="Times New Roman"/>
          <w:sz w:val="24"/>
          <w:szCs w:val="24"/>
        </w:rPr>
        <w:t xml:space="preserve">Gordon, Milton M. 1964. Assimilation in American Life: The Role of Race, Religion, and National Origins. New York: Oxford University Press.</w:t>
      </w:r>
    </w:p>
    <w:p>
      <w:pPr>
        <w:spacing w:after="200" w:before="0" w:line="360" w:lineRule="auto"/>
        <w:ind w:left="720" w:hanging="720"/>
        <w:jc w:val="left"/>
      </w:pPr>
      <w:r>
        <w:rPr>
          <w:rFonts w:ascii="Times New Roman" w:cs="Times New Roman" w:eastAsia="Times New Roman" w:hAnsi="Times New Roman"/>
          <w:sz w:val="24"/>
          <w:szCs w:val="24"/>
        </w:rPr>
        <w:t xml:space="preserve">Hayford, Sarah R., and S. Philip Morgan. 2008. "Religiosity and Fertility in the United States: The Role of Fertility Intentions." Social Forces 86(3):1163–88.</w:t>
      </w:r>
    </w:p>
    <w:p>
      <w:pPr>
        <w:spacing w:after="200" w:before="0" w:line="360" w:lineRule="auto"/>
        <w:ind w:left="720" w:hanging="720"/>
        <w:jc w:val="left"/>
      </w:pPr>
      <w:r>
        <w:rPr>
          <w:rFonts w:ascii="Times New Roman" w:cs="Times New Roman" w:eastAsia="Times New Roman" w:hAnsi="Times New Roman"/>
          <w:sz w:val="24"/>
          <w:szCs w:val="24"/>
        </w:rPr>
        <w:t xml:space="preserve">Hays, Sharon. 1996. The Cultural Contradictions of Motherhood. New Haven, CT: Yale University Press.</w:t>
      </w:r>
    </w:p>
    <w:p>
      <w:pPr>
        <w:spacing w:after="200" w:before="0" w:line="360" w:lineRule="auto"/>
        <w:ind w:left="720" w:hanging="720"/>
        <w:jc w:val="left"/>
      </w:pPr>
      <w:r>
        <w:rPr>
          <w:rFonts w:ascii="Times New Roman" w:cs="Times New Roman" w:eastAsia="Times New Roman" w:hAnsi="Times New Roman"/>
          <w:sz w:val="24"/>
          <w:szCs w:val="24"/>
        </w:rPr>
        <w:t xml:space="preserve">Hill, Kenneth, and Neile C. Johnson. 2004. "The Lull in U.S. Immigration-Related Fertility." Population and Development Review 30(2):337–46.</w:t>
      </w:r>
    </w:p>
    <w:p>
      <w:pPr>
        <w:spacing w:after="200" w:before="0" w:line="360" w:lineRule="auto"/>
        <w:ind w:left="720" w:hanging="720"/>
        <w:jc w:val="left"/>
      </w:pPr>
      <w:r>
        <w:rPr>
          <w:rFonts w:ascii="Times New Roman" w:cs="Times New Roman" w:eastAsia="Times New Roman" w:hAnsi="Times New Roman"/>
          <w:sz w:val="24"/>
          <w:szCs w:val="24"/>
        </w:rPr>
        <w:t xml:space="preserve">Lesthaeghe, Ron. 2010. "The Second Demographic Transition: A Concise Overview." Proceedings of the National Academy of Sciences 107(Supplement 2):851–855.</w:t>
      </w:r>
    </w:p>
    <w:p>
      <w:pPr>
        <w:spacing w:after="200" w:before="0" w:line="360" w:lineRule="auto"/>
        <w:ind w:left="720" w:hanging="720"/>
        <w:jc w:val="left"/>
      </w:pPr>
      <w:r>
        <w:rPr>
          <w:rFonts w:ascii="Times New Roman" w:cs="Times New Roman" w:eastAsia="Times New Roman" w:hAnsi="Times New Roman"/>
          <w:sz w:val="24"/>
          <w:szCs w:val="24"/>
        </w:rPr>
        <w:t xml:space="preserve">National Center for Health Statistics. 2024. "National Survey of Family Growth, 2022–2023." Hyattsville, MD: U.S. Department of Health and Human Services.</w:t>
      </w:r>
    </w:p>
    <w:p>
      <w:pPr>
        <w:spacing w:after="200" w:before="0" w:line="360" w:lineRule="auto"/>
        <w:ind w:left="720" w:hanging="720"/>
        <w:jc w:val="left"/>
      </w:pPr>
      <w:r>
        <w:rPr>
          <w:rFonts w:ascii="Times New Roman" w:cs="Times New Roman" w:eastAsia="Times New Roman" w:hAnsi="Times New Roman"/>
          <w:sz w:val="24"/>
          <w:szCs w:val="24"/>
        </w:rPr>
        <w:t xml:space="preserve">Oliver, Melvin L., and Thomas M. Shapiro. 2006. Black Wealth/White Wealth: A New Perspective on Racial Inequality. 10th Anniversary ed. New York: Routledge.</w:t>
      </w:r>
    </w:p>
    <w:p>
      <w:pPr>
        <w:spacing w:after="200" w:before="0" w:line="360" w:lineRule="auto"/>
        <w:ind w:left="720" w:hanging="720"/>
        <w:jc w:val="left"/>
      </w:pPr>
      <w:r>
        <w:rPr>
          <w:rFonts w:ascii="Times New Roman" w:cs="Times New Roman" w:eastAsia="Times New Roman" w:hAnsi="Times New Roman"/>
          <w:sz w:val="24"/>
          <w:szCs w:val="24"/>
        </w:rPr>
        <w:t xml:space="preserve">Parrado, Emilio A. 2011. "How High is Hispanic/Mexican Fertility in the United States?" Social Science Research 40(3):878–891.</w:t>
      </w:r>
    </w:p>
    <w:p>
      <w:pPr>
        <w:spacing w:after="200" w:before="0" w:line="360" w:lineRule="auto"/>
        <w:ind w:left="720" w:hanging="720"/>
        <w:jc w:val="left"/>
      </w:pPr>
      <w:r>
        <w:rPr>
          <w:rFonts w:ascii="Times New Roman" w:cs="Times New Roman" w:eastAsia="Times New Roman" w:hAnsi="Times New Roman"/>
          <w:sz w:val="24"/>
          <w:szCs w:val="24"/>
        </w:rPr>
        <w:t xml:space="preserve">Parrado, Emilio A., and S. Philip Morgan. 2008. "Hispanic Fertility in the United States." Demography 45(3):661–81.</w:t>
      </w:r>
    </w:p>
    <w:p>
      <w:pPr>
        <w:spacing w:after="200" w:before="0" w:line="360" w:lineRule="auto"/>
        <w:ind w:left="720" w:hanging="720"/>
        <w:jc w:val="left"/>
      </w:pPr>
      <w:r>
        <w:rPr>
          <w:rFonts w:ascii="Times New Roman" w:cs="Times New Roman" w:eastAsia="Times New Roman" w:hAnsi="Times New Roman"/>
          <w:sz w:val="24"/>
          <w:szCs w:val="24"/>
        </w:rPr>
        <w:t xml:space="preserve">Portes, Alejandro, and Min Zhou. 1993. "The New Second Generation: Segmented Assimilation and Its Variants." The ANNALS of the American Academy of Political and Social Science 530(1):74–96.</w:t>
      </w:r>
    </w:p>
    <w:p>
      <w:pPr>
        <w:spacing w:after="200" w:before="0" w:line="360" w:lineRule="auto"/>
        <w:ind w:left="720" w:hanging="720"/>
        <w:jc w:val="left"/>
      </w:pPr>
      <w:r>
        <w:rPr>
          <w:rFonts w:ascii="Times New Roman" w:cs="Times New Roman" w:eastAsia="Times New Roman" w:hAnsi="Times New Roman"/>
          <w:sz w:val="24"/>
          <w:szCs w:val="24"/>
        </w:rPr>
        <w:t xml:space="preserve">Rubin, Donald B. 1987. Multiple Imputation for Nonresponse in Surveys. New York: John Wiley &amp; Sons.</w:t>
      </w:r>
    </w:p>
    <w:p>
      <w:pPr>
        <w:spacing w:after="200" w:before="0" w:line="360" w:lineRule="auto"/>
        <w:ind w:left="720" w:hanging="720"/>
        <w:jc w:val="left"/>
      </w:pPr>
      <w:r>
        <w:rPr>
          <w:rFonts w:ascii="Times New Roman" w:cs="Times New Roman" w:eastAsia="Times New Roman" w:hAnsi="Times New Roman"/>
          <w:sz w:val="24"/>
          <w:szCs w:val="24"/>
        </w:rPr>
        <w:t xml:space="preserve">Sobotka, Tomáš. 2017. "Post-transitional Fertility: The Advent of Childlessness." Pp. 285–322 in Fertility and Education, edited by S. K. and T. Sobotka. Vienna: Vienna Institute of Demography.</w:t>
      </w:r>
    </w:p>
    <w:p>
      <w:pPr>
        <w:spacing w:after="200" w:before="0" w:line="360" w:lineRule="auto"/>
        <w:ind w:left="720" w:hanging="720"/>
        <w:jc w:val="left"/>
      </w:pPr>
      <w:r>
        <w:rPr>
          <w:rFonts w:ascii="Times New Roman" w:cs="Times New Roman" w:eastAsia="Times New Roman" w:hAnsi="Times New Roman"/>
          <w:sz w:val="24"/>
          <w:szCs w:val="24"/>
        </w:rPr>
        <w:t xml:space="preserve">Sullivan, Teresa A., Elizabeth Warren, and Jay Lawrence Westbrook. 2006. The Fragile Middle Class: Americans in Debt. New Haven, CT: Yale University Press.</w:t>
      </w:r>
    </w:p>
    <w:p>
      <w:pPr>
        <w:spacing w:after="200" w:before="0" w:line="360" w:lineRule="auto"/>
        <w:ind w:left="720" w:hanging="720"/>
        <w:jc w:val="left"/>
      </w:pPr>
      <w:r>
        <w:rPr>
          <w:rFonts w:ascii="Times New Roman" w:cs="Times New Roman" w:eastAsia="Times New Roman" w:hAnsi="Times New Roman"/>
          <w:sz w:val="24"/>
          <w:szCs w:val="24"/>
        </w:rPr>
        <w:t xml:space="preserve">Tibshirani, Robert. 1996. "Regression Shrinkage and Selection via the Lasso." Journal of the Royal Statistical Society: Series B 58(1):267–88.</w:t>
      </w:r>
    </w:p>
    <w:p>
      <w:pPr>
        <w:spacing w:after="200" w:before="0" w:line="360" w:lineRule="auto"/>
        <w:ind w:left="720" w:hanging="720"/>
        <w:jc w:val="left"/>
      </w:pPr>
      <w:r>
        <w:rPr>
          <w:rFonts w:ascii="Times New Roman" w:cs="Times New Roman" w:eastAsia="Times New Roman" w:hAnsi="Times New Roman"/>
          <w:sz w:val="24"/>
          <w:szCs w:val="24"/>
        </w:rPr>
        <w:t xml:space="preserve">Warren, Elizabeth, and Amelia Warren Tyagi. 2003. The Two-Income Trap. New York: Basic Books.</w:t>
      </w:r>
    </w:p>
    <w:p>
      <w:pPr>
        <w:spacing w:after="200" w:before="0" w:line="360" w:lineRule="auto"/>
        <w:ind w:left="720" w:hanging="720"/>
        <w:jc w:val="left"/>
      </w:pPr>
      <w:r>
        <w:rPr>
          <w:rFonts w:ascii="Times New Roman" w:cs="Times New Roman" w:eastAsia="Times New Roman" w:hAnsi="Times New Roman"/>
          <w:sz w:val="24"/>
          <w:szCs w:val="24"/>
        </w:rPr>
        <w:t xml:space="preserve">Wilson, William Julius. 1987. The Truly Disadvantaged: The Inner City, the Underclass, and Public Policy. Chicago: University of Chicago Press.</w:t>
      </w:r>
    </w:p>
    <w:p>
      <w:pPr>
        <w:spacing w:after="200" w:before="0" w:line="360" w:lineRule="auto"/>
        <w:ind w:left="720" w:hanging="720"/>
        <w:jc w:val="left"/>
      </w:pPr>
      <w:r>
        <w:rPr>
          <w:rFonts w:ascii="Times New Roman" w:cs="Times New Roman" w:eastAsia="Times New Roman" w:hAnsi="Times New Roman"/>
          <w:sz w:val="24"/>
          <w:szCs w:val="24"/>
        </w:rPr>
        <w:t xml:space="preserve">Zhou, Min. 1997. "Segmented Assimilation: Issues, Controversies, and Recent Research." International Migration Review 31(4):975–1008.</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2026-04-19T16:13:42.593Z</dcterms:created>
  <dcterms:modified xsi:type="dcterms:W3CDTF">2026-04-19T16:13:42.594Z</dcterms:modified>
</cp:coreProperties>
</file>

<file path=docProps/custom.xml><?xml version="1.0" encoding="utf-8"?>
<Properties xmlns="http://schemas.openxmlformats.org/officeDocument/2006/custom-properties" xmlns:vt="http://schemas.openxmlformats.org/officeDocument/2006/docPropsVTypes"/>
</file>